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5505DB" w:rsidRDefault="00013019" w:rsidP="00013019">
      <w:pPr>
        <w:pStyle w:val="Titulo"/>
        <w:rPr>
          <w:rFonts w:ascii="Swis721 Th BT" w:hAnsi="Swis721 Th BT"/>
          <w:b/>
          <w:color w:val="FF3399"/>
        </w:rPr>
      </w:pPr>
      <w:r w:rsidRPr="005505DB">
        <w:rPr>
          <w:rFonts w:ascii="Swis721 Th BT" w:hAnsi="Swis721 Th BT"/>
          <w:b/>
          <w:color w:val="FF3399"/>
        </w:rPr>
        <w:t>Lista de Fornecedores</w:t>
      </w:r>
    </w:p>
    <w:p w:rsidR="00013019" w:rsidRPr="0022172F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5505DB">
        <w:trPr>
          <w:trHeight w:val="453"/>
          <w:jc w:val="center"/>
        </w:trPr>
        <w:tc>
          <w:tcPr>
            <w:tcW w:w="368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Ácido Ascórbico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37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Ferúlico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 xml:space="preserve">Ácido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Hialurônico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Ácido Mandélico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AcquaBio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Adapaleno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Agen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ALPAFLOR® EDELWEISS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AntiOx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 xml:space="preserve"> Plus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Astaxantina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Aurafirm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N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Biosil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 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Biotina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BlueLutein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CafeiSome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Cartidyss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Cellfie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Chá Verde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Cityguard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ClariAge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Col-Frag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Collyss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Dawnergy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DermaSphere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®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Detoxondria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Dragosine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Dunalina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Ecoffea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Elevastin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Epin’Derm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ET-VC™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Sarfam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Eurol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® BT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Extrato de Acerola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Fensebiome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Filmexel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Fucogel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®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Purifarma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Gluconolactona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HyaloCollagreen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ECO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Sovitá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HyaluPure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 2k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PureKemika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Hyanify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™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Hyaxel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®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Biotec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Hydrofiltrat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Menyanthes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 xml:space="preserve"> G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Hymagic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™-4D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Iberomagistral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Infraguard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Alianza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Isoflavonas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de soja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Lactosome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 xml:space="preserve"> 55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LactoSporin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®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47722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PN Farma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L-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carnosina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Licopeno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Liftonin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®-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Xpert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Vepakum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Linefactor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™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Embacaps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Lingonberry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Lipowheat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Luteolina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Madecassoside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Irial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Mag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Matrixyl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>™ 3000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Moistshild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HA™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MSM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Munapsys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NANO BTX-C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PharmaSpecial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Nectaria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Lithops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Niacinamida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Nikkol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VC-IP®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Olea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Vitae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Óleo de peixe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Oligo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HÁ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 xml:space="preserve">P.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emblica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PDRN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Peptan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Purifarma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Peptídeos de Colágeno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Peptídeos de colágeno marinho hidrolisado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Phycojuvenine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PomAge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Proshield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 xml:space="preserve"> MDC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47722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Aqia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RADICARE®-GOLD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Vepakum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Farma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Red Orange Complex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Resveratrol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Scutaline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Aqia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  <w:lang w:val="en-US"/>
              </w:rPr>
              <w:t>SkinBlitz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Chemyunion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 xml:space="preserve">Sulfato de </w:t>
            </w: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glicosamina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Tocotrienol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Urolitina</w:t>
            </w:r>
            <w:proofErr w:type="spellEnd"/>
            <w:r w:rsidRPr="005505DB">
              <w:rPr>
                <w:rFonts w:ascii="Swis721 Th BT" w:hAnsi="Swis721 Th BT"/>
                <w:sz w:val="23"/>
                <w:szCs w:val="23"/>
              </w:rPr>
              <w:t xml:space="preserve"> A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Sovitá</w:t>
            </w:r>
            <w:proofErr w:type="spellEnd"/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V/WA</w:t>
            </w:r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Vederine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5505DB">
              <w:rPr>
                <w:rFonts w:ascii="Swis721 Th BT" w:hAnsi="Swis721 Th BT"/>
                <w:sz w:val="23"/>
                <w:szCs w:val="23"/>
              </w:rPr>
              <w:t>Verisol</w:t>
            </w:r>
            <w:proofErr w:type="spellEnd"/>
          </w:p>
        </w:tc>
        <w:tc>
          <w:tcPr>
            <w:tcW w:w="3680" w:type="dxa"/>
            <w:vAlign w:val="center"/>
          </w:tcPr>
          <w:p w:rsidR="005505DB" w:rsidRPr="005505DB" w:rsidRDefault="0047722C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Ibero Magistral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5505DB" w:rsidRPr="00B6397E" w:rsidTr="005505DB">
        <w:trPr>
          <w:trHeight w:val="554"/>
          <w:jc w:val="center"/>
        </w:trPr>
        <w:tc>
          <w:tcPr>
            <w:tcW w:w="3680" w:type="dxa"/>
            <w:vAlign w:val="center"/>
          </w:tcPr>
          <w:p w:rsidR="005505DB" w:rsidRPr="005505DB" w:rsidRDefault="005505DB" w:rsidP="005505DB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5505DB">
              <w:rPr>
                <w:rFonts w:ascii="Swis721 Th BT" w:hAnsi="Swis721 Th BT"/>
                <w:sz w:val="23"/>
                <w:szCs w:val="23"/>
              </w:rPr>
              <w:t>Zinco</w:t>
            </w:r>
          </w:p>
        </w:tc>
        <w:tc>
          <w:tcPr>
            <w:tcW w:w="3680" w:type="dxa"/>
            <w:vAlign w:val="center"/>
          </w:tcPr>
          <w:p w:rsidR="005505DB" w:rsidRPr="005505DB" w:rsidRDefault="005505DB" w:rsidP="005505DB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013019" w:rsidRPr="005505DB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FF3399"/>
        </w:rPr>
      </w:pPr>
      <w:r w:rsidRPr="005505DB">
        <w:rPr>
          <w:rFonts w:ascii="Swis721 Th BT" w:hAnsi="Swis721 Th BT"/>
          <w:b/>
          <w:color w:val="FF3399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5505DB">
        <w:trPr>
          <w:trHeight w:val="390"/>
        </w:trPr>
        <w:tc>
          <w:tcPr>
            <w:tcW w:w="3508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881540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881540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881540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881540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2C65" w:rsidRDefault="00222C65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Pr="00881540" w:rsidRDefault="00881540" w:rsidP="00881540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881540">
        <w:rPr>
          <w:rFonts w:ascii="Swis721 Th BT" w:hAnsi="Swis721 Th BT" w:cs="Arial"/>
          <w:b/>
          <w:color w:val="FF3399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>Emulsão O/A</w:t>
      </w:r>
    </w:p>
    <w:tbl>
      <w:tblPr>
        <w:tblStyle w:val="Tabelacomgrade"/>
        <w:tblW w:w="949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2307"/>
        <w:gridCol w:w="2845"/>
        <w:gridCol w:w="1537"/>
        <w:gridCol w:w="2087"/>
      </w:tblGrid>
      <w:tr w:rsidR="00881540" w:rsidRPr="00881540" w:rsidTr="001640F9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after="200" w:line="276" w:lineRule="auto"/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QSP100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 xml:space="preserve">GLUCONATO DE SÓDIO 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Sodium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Gluconate</w:t>
            </w:r>
            <w:proofErr w:type="spellEnd"/>
          </w:p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0,10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GLICERINA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ARISTOFLEX AVC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Copolymer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1,80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PHARMASPECIAL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OLIVEM 1000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5,00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MANTEIGA DE KARITÉ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Shea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VITAMINA E</w:t>
            </w:r>
          </w:p>
        </w:tc>
        <w:tc>
          <w:tcPr>
            <w:tcW w:w="284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Acetate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</w:tbl>
    <w:p w:rsidR="00881540" w:rsidRPr="00881540" w:rsidRDefault="00881540" w:rsidP="00881540">
      <w:pPr>
        <w:rPr>
          <w:rFonts w:ascii="Swis721 Th BT" w:hAnsi="Swis721 Th BT" w:cs="Arial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Em recipiente com capacidade adequada, pesar toda fase 1 e homogeneizar e esperar completa hidratação do </w:t>
      </w:r>
      <w:proofErr w:type="spellStart"/>
      <w:r w:rsidRPr="00881540">
        <w:rPr>
          <w:rFonts w:ascii="Swis721 Th BT" w:hAnsi="Swis721 Th BT" w:cs="Arial"/>
        </w:rPr>
        <w:t>Aristoflex</w:t>
      </w:r>
      <w:proofErr w:type="spellEnd"/>
      <w:r w:rsidRPr="00881540">
        <w:rPr>
          <w:rFonts w:ascii="Swis721 Th BT" w:hAnsi="Swis721 Th BT" w:cs="Arial"/>
        </w:rPr>
        <w:t xml:space="preserve"> AVC.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Após completa hidratação iniciar aquecimento sob alta rotação 1000rpm.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2 e levar para aquecimento.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/>
          <w:b/>
          <w:color w:val="FF3399"/>
          <w:sz w:val="48"/>
          <w:szCs w:val="60"/>
        </w:rPr>
      </w:pPr>
      <w:r w:rsidRPr="00881540">
        <w:rPr>
          <w:rFonts w:ascii="Swis721 Th BT" w:hAnsi="Swis721 Th BT"/>
          <w:b/>
          <w:color w:val="FF3399"/>
          <w:sz w:val="48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 xml:space="preserve">EMULSÃO ÁGUA SILICONE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881540" w:rsidRPr="00881540" w:rsidTr="001640F9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 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Água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N/A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EDTA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 xml:space="preserve">DISODIUM EDTA 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DC 245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DIMETHICONE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8,000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 xml:space="preserve">DC 5225 C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CICLOPENTASILOXANE AND PEG/PPG – 18/18 DIMETHICONE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15,000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Belsil</w:t>
            </w:r>
            <w:proofErr w:type="spellEnd"/>
            <w:r w:rsidRPr="00881540">
              <w:rPr>
                <w:rFonts w:ascii="Swis721 Th BT" w:hAnsi="Swis721 Th BT"/>
              </w:rPr>
              <w:t xml:space="preserve"> EG 5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CYCLOPENTASILOXANE &amp; DIMETHICONE / VINYL DIMETHICONE CROSSPOLYMER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5,000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Spectrastat</w:t>
            </w:r>
            <w:proofErr w:type="spellEnd"/>
            <w:r w:rsidRPr="00881540">
              <w:rPr>
                <w:rFonts w:ascii="Swis721 Th BT" w:hAnsi="Swis721 Th BT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CAPRYLHYDROXAMIC ACID (AND) CAPRYLYL GLYCOL (AND) GLYCERIN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0,800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Fagron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Fragrância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PARFUM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Q.S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- </w:t>
            </w:r>
          </w:p>
        </w:tc>
      </w:tr>
    </w:tbl>
    <w:p w:rsidR="00881540" w:rsidRPr="00881540" w:rsidRDefault="00881540" w:rsidP="00881540">
      <w:pPr>
        <w:tabs>
          <w:tab w:val="left" w:pos="3375"/>
        </w:tabs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881540">
        <w:rPr>
          <w:rFonts w:ascii="Swis721 Th BT" w:hAnsi="Swis721 Th BT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/>
          <w:b/>
          <w:color w:val="FF3399"/>
          <w:sz w:val="24"/>
          <w:szCs w:val="24"/>
        </w:rPr>
        <w:softHyphen/>
        <w:t>do de Preparo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>Em um recipiente pesar a água e solubilizar o EDTA, em seguida adicionar os componentes subsequentes da fase 1.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Após em recipiente auxiliar pesar a fase 2 (silicones) e homogeneizar até solubilização do </w:t>
      </w:r>
      <w:proofErr w:type="spellStart"/>
      <w:r w:rsidRPr="00881540">
        <w:rPr>
          <w:rFonts w:ascii="Swis721 Th BT" w:hAnsi="Swis721 Th BT"/>
          <w:sz w:val="24"/>
          <w:szCs w:val="24"/>
        </w:rPr>
        <w:t>Belsil</w:t>
      </w:r>
      <w:proofErr w:type="spellEnd"/>
      <w:r w:rsidRPr="00881540">
        <w:rPr>
          <w:rFonts w:ascii="Swis721 Th BT" w:hAnsi="Swis721 Th BT"/>
          <w:sz w:val="24"/>
          <w:szCs w:val="24"/>
        </w:rPr>
        <w:t xml:space="preserve"> EG 5 no sistema.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Colocar o recipiente com silicone em agitação mecânica, e em alta rotação verter a fase aquosa sobre a fase de silicone. 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Adicionar sistema conservante e subsequente essência. 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/>
          <w:b/>
          <w:color w:val="F30388"/>
          <w:sz w:val="50"/>
        </w:rPr>
      </w:pPr>
      <w:r w:rsidRPr="00881540">
        <w:rPr>
          <w:rFonts w:ascii="Swis721 Th BT" w:hAnsi="Swis721 Th BT"/>
          <w:b/>
          <w:color w:val="F30388"/>
          <w:sz w:val="50"/>
        </w:rPr>
        <w:t>Apoio Farmacotécnico</w:t>
      </w:r>
    </w:p>
    <w:p w:rsidR="00881540" w:rsidRPr="00881540" w:rsidRDefault="00881540" w:rsidP="00881540">
      <w:pPr>
        <w:spacing w:after="0" w:line="240" w:lineRule="auto"/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881540">
        <w:rPr>
          <w:rFonts w:ascii="Swis721 Th BT" w:hAnsi="Swis721 Th BT"/>
          <w:b/>
          <w:color w:val="404040" w:themeColor="text1" w:themeTint="BF"/>
          <w:sz w:val="40"/>
        </w:rPr>
        <w:t>Creme Base</w:t>
      </w:r>
    </w:p>
    <w:tbl>
      <w:tblPr>
        <w:tblpPr w:leftFromText="141" w:rightFromText="141" w:vertAnchor="text" w:horzAnchor="margin" w:tblpXSpec="center" w:tblpY="527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14"/>
        <w:gridCol w:w="2598"/>
        <w:gridCol w:w="1984"/>
        <w:gridCol w:w="2126"/>
      </w:tblGrid>
      <w:tr w:rsidR="00881540" w:rsidRPr="00881540" w:rsidTr="001640F9">
        <w:trPr>
          <w:trHeight w:val="3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Água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Aqua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Qsp100,000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-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EDTA Na</w:t>
            </w:r>
            <w:r w:rsidRPr="00881540">
              <w:rPr>
                <w:rFonts w:ascii="Swis721 Th BT" w:hAnsi="Swis721 Th BT"/>
                <w:color w:val="404040" w:themeColor="text1" w:themeTint="BF"/>
                <w:szCs w:val="24"/>
                <w:vertAlign w:val="subscript"/>
              </w:rPr>
              <w:t>2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Disodiumedta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Glycerin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Goma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Xantana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Xanthan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Gum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0,250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Emulium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22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 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Tribehenin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PEG-20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Esters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I9magistral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Karité</w:t>
            </w:r>
            <w:proofErr w:type="spellEnd"/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Shea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butter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DUB ININ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Isononanoate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Alianza</w:t>
            </w:r>
            <w:proofErr w:type="spellEnd"/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Tinogard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TT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Pentaerythrityl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 xml:space="preserve"> tetra-di-t-butyl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Chempecs</w:t>
            </w:r>
            <w:proofErr w:type="spellEnd"/>
          </w:p>
        </w:tc>
      </w:tr>
      <w:tr w:rsidR="00881540" w:rsidRPr="00881540" w:rsidTr="001640F9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Optiphen</w:t>
            </w:r>
            <w:proofErr w:type="spellEnd"/>
          </w:p>
        </w:tc>
        <w:tc>
          <w:tcPr>
            <w:tcW w:w="2598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Phenoxyethanol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(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and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)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caprylylglycol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:rsidR="00881540" w:rsidRPr="00881540" w:rsidRDefault="00881540" w:rsidP="001640F9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Fagron</w:t>
            </w:r>
            <w:proofErr w:type="spellEnd"/>
          </w:p>
        </w:tc>
      </w:tr>
    </w:tbl>
    <w:p w:rsidR="00881540" w:rsidRPr="00881540" w:rsidRDefault="00881540" w:rsidP="00881540">
      <w:pPr>
        <w:spacing w:after="20" w:line="240" w:lineRule="auto"/>
        <w:jc w:val="both"/>
        <w:rPr>
          <w:rFonts w:ascii="Swis721 Th BT" w:hAnsi="Swis721 Th BT"/>
          <w:color w:val="808080" w:themeColor="background1" w:themeShade="80"/>
          <w:szCs w:val="24"/>
        </w:rPr>
      </w:pPr>
    </w:p>
    <w:p w:rsidR="00881540" w:rsidRPr="00881540" w:rsidRDefault="00881540" w:rsidP="00881540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8E367B"/>
          <w:spacing w:val="15"/>
          <w:sz w:val="24"/>
          <w:szCs w:val="24"/>
        </w:rPr>
      </w:pPr>
    </w:p>
    <w:p w:rsidR="00881540" w:rsidRPr="00881540" w:rsidRDefault="00881540" w:rsidP="00881540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</w:pPr>
      <w:r w:rsidRPr="00881540"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 xml:space="preserve">Em recipiente principal, pesar a fase 1. OBS: adicionar mais 5% de água na fase 1, devido </w:t>
      </w:r>
      <w:proofErr w:type="spellStart"/>
      <w:r w:rsidRPr="00881540">
        <w:rPr>
          <w:rFonts w:ascii="Swis721 Th BT" w:hAnsi="Swis721 Th BT"/>
          <w:color w:val="404040" w:themeColor="text1" w:themeTint="BF"/>
          <w:szCs w:val="24"/>
        </w:rPr>
        <w:t>a</w:t>
      </w:r>
      <w:proofErr w:type="spellEnd"/>
      <w:r w:rsidRPr="00881540">
        <w:rPr>
          <w:rFonts w:ascii="Swis721 Th BT" w:hAnsi="Swis721 Th BT"/>
          <w:color w:val="404040" w:themeColor="text1" w:themeTint="BF"/>
          <w:szCs w:val="24"/>
        </w:rPr>
        <w:t xml:space="preserve"> perda durante o aquecimento.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outro recipiente de capacidade adequada, pesar a fase 2.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Aquecer a 80 graus simultaneamente as duas fases com agitação manual até homogeneização da fase 2.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seguida, verter a fase 2 sob a fase 1 com agitação mecânica de 2500rpm.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Colocar as demais fases uma a uma sob agitação mecânica de 2500rpm.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proofErr w:type="gramStart"/>
      <w:r w:rsidRPr="00881540">
        <w:rPr>
          <w:rFonts w:ascii="Swis721 Th BT" w:hAnsi="Swis721 Th BT"/>
          <w:color w:val="404040" w:themeColor="text1" w:themeTint="BF"/>
          <w:szCs w:val="24"/>
        </w:rPr>
        <w:t>pH</w:t>
      </w:r>
      <w:proofErr w:type="gramEnd"/>
      <w:r w:rsidRPr="00881540">
        <w:rPr>
          <w:rFonts w:ascii="Swis721 Th BT" w:hAnsi="Swis721 Th BT"/>
          <w:color w:val="404040" w:themeColor="text1" w:themeTint="BF"/>
          <w:szCs w:val="24"/>
        </w:rPr>
        <w:t>: 5 a 7.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 w:cs="Times New Roman"/>
          <w:b/>
          <w:color w:val="FF3399"/>
          <w:sz w:val="50"/>
          <w:szCs w:val="50"/>
        </w:rPr>
      </w:pPr>
      <w:r w:rsidRPr="00881540">
        <w:rPr>
          <w:rFonts w:ascii="Swis721 Th BT" w:hAnsi="Swis721 Th BT" w:cs="Times New Roman"/>
          <w:b/>
          <w:color w:val="FF3399"/>
          <w:sz w:val="50"/>
          <w:szCs w:val="50"/>
        </w:rPr>
        <w:t>Apoio Farmacotécnico</w:t>
      </w:r>
    </w:p>
    <w:p w:rsidR="00881540" w:rsidRPr="00881540" w:rsidRDefault="00881540" w:rsidP="00881540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  <w:r w:rsidRPr="00881540">
        <w:rPr>
          <w:rFonts w:ascii="Swis721 Th BT" w:hAnsi="Swis721 Th BT" w:cs="Arial"/>
          <w:b/>
          <w:color w:val="404040" w:themeColor="text1" w:themeTint="BF"/>
          <w:sz w:val="38"/>
        </w:rPr>
        <w:t xml:space="preserve">Base Sérum </w:t>
      </w:r>
    </w:p>
    <w:p w:rsidR="00881540" w:rsidRPr="00881540" w:rsidRDefault="00881540" w:rsidP="00881540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24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1778"/>
        <w:gridCol w:w="3425"/>
        <w:gridCol w:w="1601"/>
        <w:gridCol w:w="1865"/>
      </w:tblGrid>
      <w:tr w:rsidR="00881540" w:rsidRPr="00881540" w:rsidTr="001640F9">
        <w:trPr>
          <w:trHeight w:val="397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FASE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COMPONENTES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line="276" w:lineRule="auto"/>
              <w:ind w:left="1129" w:hanging="1129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INCI NAME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COMPOSIÇÃO (%)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FORNECEDOR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ÁGUA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AQUA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QSP100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-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EDTA 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DISODIUM EDTA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ARISTOFLEX AVC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AMMONIUM ACRYLOYLDIMETHYLTAURATE/VP COPOLYMER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0,300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PHARMASPECIAL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GLICERINA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GLYCERIN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4,000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GOMA XANTANA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XANTHAM GUM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0,150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640F9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SPECTRASTAT™ PHL</w:t>
            </w:r>
          </w:p>
        </w:tc>
        <w:tc>
          <w:tcPr>
            <w:tcW w:w="3411" w:type="dxa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  <w:t>CAPRYLHYDROXAMIC ACID (AND) 1,2-HEXANEDIOL (AND) PROPANEDIOL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2,000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640F9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EMFAL </w:t>
            </w:r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000000" w:themeColor="text1"/>
        </w:rPr>
      </w:pPr>
      <w:r w:rsidRPr="00881540">
        <w:rPr>
          <w:rFonts w:ascii="Swis721 Th BT" w:hAnsi="Swis721 Th BT" w:cs="Times New Roman"/>
          <w:b/>
          <w:color w:val="000000" w:themeColor="text1"/>
        </w:rPr>
        <w:br w:type="textWrapping" w:clear="all"/>
      </w: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>Em recipiente com capacidade adequada, pesar toda fase 1 e solubilizar.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</w:t>
      </w:r>
      <w:r w:rsidRPr="00881540">
        <w:rPr>
          <w:rFonts w:ascii="Swis721 Th BT" w:hAnsi="Swis721 Th BT" w:cs="Times New Roman"/>
          <w:color w:val="000000" w:themeColor="text1"/>
        </w:rPr>
        <w:t xml:space="preserve">pulverizar sobre o sistema principal o </w:t>
      </w:r>
      <w:proofErr w:type="spellStart"/>
      <w:r w:rsidRPr="00881540">
        <w:rPr>
          <w:rFonts w:ascii="Swis721 Th BT" w:hAnsi="Swis721 Th BT" w:cs="Times New Roman"/>
          <w:color w:val="000000" w:themeColor="text1"/>
        </w:rPr>
        <w:t>Aristoflex</w:t>
      </w:r>
      <w:proofErr w:type="spellEnd"/>
      <w:r w:rsidRPr="00881540">
        <w:rPr>
          <w:rFonts w:ascii="Swis721 Th BT" w:hAnsi="Swis721 Th BT" w:cs="Times New Roman"/>
          <w:color w:val="000000" w:themeColor="text1"/>
        </w:rPr>
        <w:t xml:space="preserve"> AVC, e aguarda até completa hidratação do mesmo. Em seguida agitar em alta rotação até formação de um gel. 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dispersar a Goma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Xantana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previamente em Glicerina e adicionar sobre o sistema principal em alta rotação. 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 w:cs="Arial"/>
          <w:b/>
          <w:color w:val="FF3399"/>
          <w:sz w:val="50"/>
          <w:szCs w:val="60"/>
        </w:rPr>
      </w:pPr>
      <w:r w:rsidRPr="00881540">
        <w:rPr>
          <w:rFonts w:ascii="Swis721 Th BT" w:hAnsi="Swis721 Th BT" w:cs="Arial"/>
          <w:b/>
          <w:color w:val="FF3399"/>
          <w:sz w:val="50"/>
          <w:szCs w:val="60"/>
        </w:rPr>
        <w:t>Apoio Farmacotéc</w:t>
      </w:r>
      <w:bookmarkStart w:id="0" w:name="_GoBack"/>
      <w:bookmarkEnd w:id="0"/>
      <w:r w:rsidRPr="00881540">
        <w:rPr>
          <w:rFonts w:ascii="Swis721 Th BT" w:hAnsi="Swis721 Th BT" w:cs="Arial"/>
          <w:b/>
          <w:color w:val="FF3399"/>
          <w:sz w:val="50"/>
          <w:szCs w:val="60"/>
        </w:rPr>
        <w:t>nico</w:t>
      </w:r>
    </w:p>
    <w:p w:rsidR="00881540" w:rsidRPr="00881540" w:rsidRDefault="00881540" w:rsidP="00881540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CREME TOQUE SECO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41"/>
        <w:gridCol w:w="3239"/>
        <w:gridCol w:w="1456"/>
        <w:gridCol w:w="1962"/>
      </w:tblGrid>
      <w:tr w:rsidR="00881540" w:rsidRPr="00881540" w:rsidTr="001640F9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Componentes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Inci</w:t>
            </w:r>
            <w:proofErr w:type="spellEnd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Composição</w:t>
            </w:r>
          </w:p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Água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74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-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Gluconato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Sódio</w:t>
            </w:r>
            <w:proofErr w:type="spellEnd"/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Sodium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Glucoante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0,300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Glicerina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Divesos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2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Aristoflex</w:t>
            </w:r>
            <w:proofErr w:type="spellEnd"/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Copolymer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1,000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PharmaSpecial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ind w:right="-555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  3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Olivem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1000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Biovital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Karité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Butyrospermum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Parkii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(Shea)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Butter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Biotec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DUB 810C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Coco-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/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Caprate</w:t>
            </w:r>
            <w:proofErr w:type="spellEnd"/>
          </w:p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Alianza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Magistral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Vitamina E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Acetate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0,500%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4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Optiphen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Phenoxyethanol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and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1,000%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Jovii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5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Cyclopentasiloxane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3,000%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6</w:t>
            </w:r>
          </w:p>
        </w:tc>
        <w:tc>
          <w:tcPr>
            <w:tcW w:w="2161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Valvance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Touch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210</w:t>
            </w:r>
          </w:p>
        </w:tc>
        <w:tc>
          <w:tcPr>
            <w:tcW w:w="3259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Silica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881540" w:rsidRPr="00881540" w:rsidRDefault="00881540" w:rsidP="001640F9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Sarfam</w:t>
            </w:r>
            <w:proofErr w:type="spellEnd"/>
          </w:p>
        </w:tc>
      </w:tr>
    </w:tbl>
    <w:p w:rsidR="00881540" w:rsidRPr="00881540" w:rsidRDefault="00881540" w:rsidP="00881540">
      <w:pPr>
        <w:rPr>
          <w:rFonts w:ascii="Swis721 Th BT" w:hAnsi="Swis721 Th BT" w:cs="Arial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com capacidade adequada, pesar toda fase 1 e homogeneizar.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Pesar fase 2 e pulverizar no sistema principal, esperar completa hidratação.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Após completa hidratação (formação de </w:t>
      </w:r>
      <w:proofErr w:type="spellStart"/>
      <w:r w:rsidRPr="00881540">
        <w:rPr>
          <w:rFonts w:ascii="Swis721 Th BT" w:hAnsi="Swis721 Th BT" w:cs="Arial"/>
        </w:rPr>
        <w:t>semi-gel</w:t>
      </w:r>
      <w:proofErr w:type="spellEnd"/>
      <w:r w:rsidRPr="00881540">
        <w:rPr>
          <w:rFonts w:ascii="Swis721 Th BT" w:hAnsi="Swis721 Th BT" w:cs="Arial"/>
        </w:rPr>
        <w:t xml:space="preserve"> transparente) iniciar aquecimento sob alta rotação 1000rpm.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3 e levar para aquecimento.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pStyle w:val="Titulo"/>
        <w:rPr>
          <w:rFonts w:ascii="Swis721 Th BT" w:hAnsi="Swis721 Th BT" w:cs="Times New Roman"/>
          <w:b/>
          <w:color w:val="FF3399"/>
          <w:szCs w:val="60"/>
        </w:rPr>
      </w:pPr>
      <w:r w:rsidRPr="00881540">
        <w:rPr>
          <w:rFonts w:ascii="Swis721 Th BT" w:hAnsi="Swis721 Th BT" w:cs="Times New Roman"/>
          <w:b/>
          <w:color w:val="FF3399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Solução base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52"/>
        <w:gridCol w:w="3228"/>
        <w:gridCol w:w="1456"/>
        <w:gridCol w:w="1962"/>
      </w:tblGrid>
      <w:tr w:rsidR="00881540" w:rsidRPr="00881540" w:rsidTr="001640F9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</w:p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881540" w:rsidRPr="00881540" w:rsidRDefault="00881540" w:rsidP="001640F9">
            <w:pPr>
              <w:ind w:left="1129" w:hanging="1129"/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Composição</w:t>
            </w:r>
          </w:p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proofErr w:type="gram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p</w:t>
            </w:r>
            <w:proofErr w:type="gramEnd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Fornecedor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Água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Benzoato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Sódio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Sodium Benzoate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Sorbato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Potássio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 xml:space="preserve">Potassium Sorbate 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881540" w:rsidRPr="00881540" w:rsidTr="001640F9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EDTA</w:t>
            </w:r>
          </w:p>
        </w:tc>
        <w:tc>
          <w:tcPr>
            <w:tcW w:w="3275" w:type="dxa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Disodium EDTA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640F9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  <w:lang w:val="en-US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softHyphen/>
        <w:t>do de Preparo</w:t>
      </w:r>
    </w:p>
    <w:p w:rsidR="00881540" w:rsidRPr="00881540" w:rsidRDefault="00881540" w:rsidP="00881540">
      <w:pPr>
        <w:pStyle w:val="PargrafodaLista"/>
        <w:numPr>
          <w:ilvl w:val="0"/>
          <w:numId w:val="9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um recipiente pesar a água e solubilizar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Sorbato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potássio 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Benzoato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Sódio, se necessário utilizar a chapa de aquecimento para acelerar o processo. </w:t>
      </w:r>
    </w:p>
    <w:p w:rsidR="00881540" w:rsidRPr="00881540" w:rsidRDefault="00881540" w:rsidP="00881540">
      <w:pPr>
        <w:pStyle w:val="PargrafodaLista"/>
        <w:numPr>
          <w:ilvl w:val="0"/>
          <w:numId w:val="9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Depois solubilizar todos os ingredientes subsequentes.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 xml:space="preserve">EMBALAGEM: </w:t>
      </w:r>
      <w:r w:rsidRPr="00881540">
        <w:rPr>
          <w:rFonts w:ascii="Swis721 Th BT" w:hAnsi="Swis721 Th BT" w:cs="Times New Roman"/>
          <w:sz w:val="24"/>
          <w:szCs w:val="24"/>
        </w:rPr>
        <w:t xml:space="preserve">Recomendamos a utilização de frascos gotejadores para o acondicionamento final do produto.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:rsidR="00881540" w:rsidRPr="00881540" w:rsidRDefault="00881540" w:rsidP="00881540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040"/>
        <w:gridCol w:w="3828"/>
        <w:gridCol w:w="1275"/>
        <w:gridCol w:w="1843"/>
      </w:tblGrid>
      <w:tr w:rsidR="00881540" w:rsidRPr="00881540" w:rsidTr="001640F9">
        <w:trPr>
          <w:trHeight w:val="102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881540" w:rsidRPr="00881540" w:rsidTr="001640F9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881540" w:rsidRPr="00881540" w:rsidTr="001640F9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590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Aristoflex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AVC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All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Chemistry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com capacidade adequada, pesar toda fase 1 de modo que o EDTA, fique completamente solúvel na água.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pulverizar sobre a água a fase 2, e deixar por hidratação aproximadamente por 30 minutos.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Adicione a fase 3 (sistema conservante), e leve para agitação entre 1.500 a 2.500 rpm.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envasar em recipiente adequado.</w:t>
      </w: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Incompatibilidades Farmacotécnicas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Estável em pH 4,0 a 9,0 Em pH &lt; 4, após alguns meses pode ocorrer o rompimento do polímero e uma consequente queda de viscosidade;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Em pH &gt; 9, pode haver liberação de amônia;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>Incompatível com Eletrólitos;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 xml:space="preserve">Não indicado para incorporação de </w:t>
      </w:r>
      <w:proofErr w:type="spellStart"/>
      <w:r w:rsidRPr="00881540">
        <w:rPr>
          <w:rFonts w:ascii="Swis721 Th BT" w:hAnsi="Swis721 Th BT"/>
        </w:rPr>
        <w:t>tensoativos</w:t>
      </w:r>
      <w:proofErr w:type="spellEnd"/>
      <w:r w:rsidRPr="00881540">
        <w:rPr>
          <w:rFonts w:ascii="Swis721 Th BT" w:hAnsi="Swis721 Th BT"/>
        </w:rPr>
        <w:t xml:space="preserve">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 w:val="24"/>
          <w:szCs w:val="24"/>
        </w:rPr>
      </w:pPr>
    </w:p>
    <w:p w:rsidR="00881540" w:rsidRPr="00881540" w:rsidRDefault="00881540" w:rsidP="00881540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CREME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881540" w:rsidRPr="00881540" w:rsidTr="001640F9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881540" w:rsidRPr="00881540" w:rsidTr="001640F9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881540" w:rsidRPr="00881540" w:rsidTr="001640F9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Glicerina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Carbopol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Ultrez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TGACC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Triglyceride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5,000%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Vitamina E Oleosa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Tocopheryl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Acetate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0,500%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Óleo Vegetal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Óleo Vegetal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Solução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NaOH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qs</w:t>
            </w:r>
            <w:proofErr w:type="spellEnd"/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640F9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proofErr w:type="gram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640F9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:rsidR="00881540" w:rsidRPr="00881540" w:rsidRDefault="00881540" w:rsidP="00881540">
      <w:pPr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principal, pesar toda fase 1 de modo que o EDTA, fique completamente solúvel na água.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Pesar e pulverizar a fase 2 sob a água e deixar em hidratação aproximadamente por 30 minutos.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hidratar o polímero, levar para agitação de 800 RPM e aquecimento de 80</w:t>
      </w:r>
      <w:r w:rsidRPr="00881540">
        <w:rPr>
          <w:rFonts w:ascii="Swis721 Th BT" w:hAnsi="Swis721 Th BT" w:cs="Arial"/>
          <w:color w:val="474747"/>
          <w:sz w:val="21"/>
          <w:szCs w:val="21"/>
          <w:shd w:val="clear" w:color="auto" w:fill="FFFFFF"/>
        </w:rPr>
        <w:t xml:space="preserve"> °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Pesar a fase 3 (fase oleosa), e leve para aquecimento de 80 ° e verter na fase principal.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verter a fase 3, neutralizar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Carbopol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com solução de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NaOH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20%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qs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verter a fase 5 (conservante) e envasar.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B6397E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sectPr w:rsidR="00881540" w:rsidRPr="00B6397E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881540" w:rsidRPr="00881540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15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881540" w:rsidRPr="00881540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15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F95ED8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7C3"/>
    <w:multiLevelType w:val="hybridMultilevel"/>
    <w:tmpl w:val="0B226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07F"/>
    <w:multiLevelType w:val="hybridMultilevel"/>
    <w:tmpl w:val="136C9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695E"/>
    <w:multiLevelType w:val="hybridMultilevel"/>
    <w:tmpl w:val="00A0617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B6A88"/>
    <w:multiLevelType w:val="hybridMultilevel"/>
    <w:tmpl w:val="46383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A0B70"/>
    <w:rsid w:val="000D13D7"/>
    <w:rsid w:val="001019FC"/>
    <w:rsid w:val="001024A5"/>
    <w:rsid w:val="0014448E"/>
    <w:rsid w:val="00163993"/>
    <w:rsid w:val="00167886"/>
    <w:rsid w:val="00190078"/>
    <w:rsid w:val="001A6492"/>
    <w:rsid w:val="002069F4"/>
    <w:rsid w:val="0022172F"/>
    <w:rsid w:val="00222C65"/>
    <w:rsid w:val="002421CE"/>
    <w:rsid w:val="002759AC"/>
    <w:rsid w:val="0027643C"/>
    <w:rsid w:val="00277247"/>
    <w:rsid w:val="00277A66"/>
    <w:rsid w:val="0028490B"/>
    <w:rsid w:val="002860F4"/>
    <w:rsid w:val="002955CF"/>
    <w:rsid w:val="002E37BE"/>
    <w:rsid w:val="002F7092"/>
    <w:rsid w:val="00307A43"/>
    <w:rsid w:val="003143EF"/>
    <w:rsid w:val="003413FC"/>
    <w:rsid w:val="0037655C"/>
    <w:rsid w:val="003B0848"/>
    <w:rsid w:val="003D65EB"/>
    <w:rsid w:val="003E5802"/>
    <w:rsid w:val="0040411B"/>
    <w:rsid w:val="004124D3"/>
    <w:rsid w:val="0046646F"/>
    <w:rsid w:val="00466482"/>
    <w:rsid w:val="004707A2"/>
    <w:rsid w:val="0047722C"/>
    <w:rsid w:val="00480C18"/>
    <w:rsid w:val="004A4E2F"/>
    <w:rsid w:val="004A6B90"/>
    <w:rsid w:val="0051065D"/>
    <w:rsid w:val="00512DBE"/>
    <w:rsid w:val="005325E1"/>
    <w:rsid w:val="0053323D"/>
    <w:rsid w:val="005505DB"/>
    <w:rsid w:val="005531C2"/>
    <w:rsid w:val="00553C1A"/>
    <w:rsid w:val="00571BEB"/>
    <w:rsid w:val="0062358B"/>
    <w:rsid w:val="00642D0B"/>
    <w:rsid w:val="0064688B"/>
    <w:rsid w:val="00681F8B"/>
    <w:rsid w:val="006E72C1"/>
    <w:rsid w:val="006F2021"/>
    <w:rsid w:val="006F36FB"/>
    <w:rsid w:val="0070476F"/>
    <w:rsid w:val="00741BC4"/>
    <w:rsid w:val="00745EC5"/>
    <w:rsid w:val="00753A8B"/>
    <w:rsid w:val="00776763"/>
    <w:rsid w:val="00791997"/>
    <w:rsid w:val="00794255"/>
    <w:rsid w:val="00796193"/>
    <w:rsid w:val="007B0521"/>
    <w:rsid w:val="007E29F2"/>
    <w:rsid w:val="007E3BD7"/>
    <w:rsid w:val="007F2242"/>
    <w:rsid w:val="007F7630"/>
    <w:rsid w:val="008571EE"/>
    <w:rsid w:val="00857469"/>
    <w:rsid w:val="008655E0"/>
    <w:rsid w:val="00881540"/>
    <w:rsid w:val="008B5889"/>
    <w:rsid w:val="008B74BB"/>
    <w:rsid w:val="008C154B"/>
    <w:rsid w:val="008C2ECB"/>
    <w:rsid w:val="008C6FCA"/>
    <w:rsid w:val="008E5D71"/>
    <w:rsid w:val="008F73B0"/>
    <w:rsid w:val="00924E6C"/>
    <w:rsid w:val="0093135D"/>
    <w:rsid w:val="00936EC9"/>
    <w:rsid w:val="00953D4A"/>
    <w:rsid w:val="009631B0"/>
    <w:rsid w:val="0098192C"/>
    <w:rsid w:val="00982205"/>
    <w:rsid w:val="0098379B"/>
    <w:rsid w:val="00990AC3"/>
    <w:rsid w:val="00A067C8"/>
    <w:rsid w:val="00A1323D"/>
    <w:rsid w:val="00A13B03"/>
    <w:rsid w:val="00A260DB"/>
    <w:rsid w:val="00A30637"/>
    <w:rsid w:val="00A334B5"/>
    <w:rsid w:val="00A36095"/>
    <w:rsid w:val="00A44AC8"/>
    <w:rsid w:val="00A523B0"/>
    <w:rsid w:val="00A82B3F"/>
    <w:rsid w:val="00AB2A9A"/>
    <w:rsid w:val="00AB6471"/>
    <w:rsid w:val="00AD1667"/>
    <w:rsid w:val="00AD5EE6"/>
    <w:rsid w:val="00AF2BA4"/>
    <w:rsid w:val="00B07DCF"/>
    <w:rsid w:val="00B43B11"/>
    <w:rsid w:val="00B53B65"/>
    <w:rsid w:val="00B62AA5"/>
    <w:rsid w:val="00B6397E"/>
    <w:rsid w:val="00B64F99"/>
    <w:rsid w:val="00B72CDC"/>
    <w:rsid w:val="00BD1927"/>
    <w:rsid w:val="00BF52EC"/>
    <w:rsid w:val="00C1286A"/>
    <w:rsid w:val="00C22891"/>
    <w:rsid w:val="00C475AF"/>
    <w:rsid w:val="00C678A3"/>
    <w:rsid w:val="00C80F88"/>
    <w:rsid w:val="00CB0A75"/>
    <w:rsid w:val="00CE62E8"/>
    <w:rsid w:val="00CF29FF"/>
    <w:rsid w:val="00CF613A"/>
    <w:rsid w:val="00D018D9"/>
    <w:rsid w:val="00D1244E"/>
    <w:rsid w:val="00D15680"/>
    <w:rsid w:val="00D44D8C"/>
    <w:rsid w:val="00D57937"/>
    <w:rsid w:val="00D57E2F"/>
    <w:rsid w:val="00DD7DCD"/>
    <w:rsid w:val="00E0194E"/>
    <w:rsid w:val="00E072AF"/>
    <w:rsid w:val="00E119D6"/>
    <w:rsid w:val="00E1770F"/>
    <w:rsid w:val="00E71F71"/>
    <w:rsid w:val="00EA77D2"/>
    <w:rsid w:val="00ED2AFE"/>
    <w:rsid w:val="00ED5534"/>
    <w:rsid w:val="00F06A40"/>
    <w:rsid w:val="00F22432"/>
    <w:rsid w:val="00F34225"/>
    <w:rsid w:val="00F95ED8"/>
    <w:rsid w:val="00FA0122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8154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1808</Words>
  <Characters>9766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Conta da Microsoft</cp:lastModifiedBy>
  <cp:revision>8</cp:revision>
  <dcterms:created xsi:type="dcterms:W3CDTF">2023-03-08T21:00:00Z</dcterms:created>
  <dcterms:modified xsi:type="dcterms:W3CDTF">2025-01-06T13:18:00Z</dcterms:modified>
</cp:coreProperties>
</file>