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EB32D5" w14:textId="236525DB" w:rsidR="00CD65C2" w:rsidRDefault="00D1428E">
      <w:r>
        <w:rPr>
          <w:noProof/>
          <w:lang w:eastAsia="pt-BR"/>
        </w:rPr>
        <w:drawing>
          <wp:anchor distT="0" distB="0" distL="114300" distR="114300" simplePos="0" relativeHeight="252046336" behindDoc="0" locked="0" layoutInCell="1" allowOverlap="1" wp14:anchorId="7A6A0B63" wp14:editId="4CD63CF1">
            <wp:simplePos x="0" y="0"/>
            <wp:positionH relativeFrom="column">
              <wp:posOffset>-1158240</wp:posOffset>
            </wp:positionH>
            <wp:positionV relativeFrom="paragraph">
              <wp:posOffset>-915035</wp:posOffset>
            </wp:positionV>
            <wp:extent cx="7878036" cy="10047514"/>
            <wp:effectExtent l="0" t="0" r="8890" b="0"/>
            <wp:wrapNone/>
            <wp:docPr id="739657981" name="Imagem 739657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657981" name="Ca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878036" cy="10047514"/>
                    </a:xfrm>
                    <a:prstGeom prst="rect">
                      <a:avLst/>
                    </a:prstGeom>
                  </pic:spPr>
                </pic:pic>
              </a:graphicData>
            </a:graphic>
            <wp14:sizeRelH relativeFrom="margin">
              <wp14:pctWidth>0</wp14:pctWidth>
            </wp14:sizeRelH>
            <wp14:sizeRelV relativeFrom="margin">
              <wp14:pctHeight>0</wp14:pctHeight>
            </wp14:sizeRelV>
          </wp:anchor>
        </w:drawing>
      </w:r>
    </w:p>
    <w:p w14:paraId="7C09CF38" w14:textId="77777777" w:rsidR="00CD65C2" w:rsidRDefault="00CD65C2">
      <w:pPr>
        <w:rPr>
          <w:lang w:eastAsia="pt-BR"/>
        </w:rPr>
      </w:pPr>
    </w:p>
    <w:p w14:paraId="1F5FA03D" w14:textId="77777777" w:rsidR="00CD65C2" w:rsidRDefault="00CD65C2">
      <w:pPr>
        <w:rPr>
          <w:lang w:eastAsia="pt-BR"/>
        </w:rPr>
      </w:pPr>
    </w:p>
    <w:p w14:paraId="3293189B" w14:textId="77777777" w:rsidR="00CD65C2" w:rsidRDefault="00CD65C2">
      <w:pPr>
        <w:rPr>
          <w:lang w:eastAsia="pt-BR"/>
        </w:rPr>
      </w:pPr>
    </w:p>
    <w:p w14:paraId="5023C0FC" w14:textId="77777777" w:rsidR="00CD65C2" w:rsidRDefault="00CD65C2">
      <w:pPr>
        <w:rPr>
          <w:lang w:eastAsia="pt-BR"/>
        </w:rPr>
      </w:pPr>
    </w:p>
    <w:p w14:paraId="06AF52C0" w14:textId="77777777" w:rsidR="00CD65C2" w:rsidRDefault="00CD65C2">
      <w:pPr>
        <w:rPr>
          <w:lang w:eastAsia="pt-BR"/>
        </w:rPr>
      </w:pPr>
    </w:p>
    <w:p w14:paraId="0F064301" w14:textId="77777777" w:rsidR="00CD65C2" w:rsidRDefault="00CD65C2">
      <w:pPr>
        <w:rPr>
          <w:lang w:eastAsia="pt-BR"/>
        </w:rPr>
      </w:pPr>
    </w:p>
    <w:p w14:paraId="7E453A20" w14:textId="77777777" w:rsidR="00CD65C2" w:rsidRDefault="00CD65C2">
      <w:pPr>
        <w:rPr>
          <w:lang w:eastAsia="pt-BR"/>
        </w:rPr>
      </w:pPr>
    </w:p>
    <w:p w14:paraId="40D3E9BE" w14:textId="77777777" w:rsidR="00CD65C2" w:rsidRDefault="00CD65C2">
      <w:pPr>
        <w:rPr>
          <w:lang w:eastAsia="pt-BR"/>
        </w:rPr>
      </w:pPr>
    </w:p>
    <w:p w14:paraId="1CBAEB47" w14:textId="77777777" w:rsidR="00CD65C2" w:rsidRDefault="00CD65C2">
      <w:pPr>
        <w:rPr>
          <w:lang w:eastAsia="pt-BR"/>
        </w:rPr>
      </w:pPr>
    </w:p>
    <w:p w14:paraId="49E0C0AF" w14:textId="77777777" w:rsidR="00CD65C2" w:rsidRDefault="00CD65C2">
      <w:pPr>
        <w:rPr>
          <w:lang w:eastAsia="pt-BR"/>
        </w:rPr>
      </w:pPr>
    </w:p>
    <w:p w14:paraId="4E4CD4C3" w14:textId="77777777" w:rsidR="00CD65C2" w:rsidRDefault="00CD65C2">
      <w:pPr>
        <w:rPr>
          <w:lang w:eastAsia="pt-BR"/>
        </w:rPr>
      </w:pPr>
    </w:p>
    <w:p w14:paraId="748B18D9" w14:textId="77777777" w:rsidR="00CD65C2" w:rsidRDefault="00CD65C2"/>
    <w:p w14:paraId="17453F23" w14:textId="77777777" w:rsidR="00CD65C2" w:rsidRDefault="00CD65C2"/>
    <w:p w14:paraId="5693D065" w14:textId="77777777" w:rsidR="00CD65C2" w:rsidRDefault="00CD65C2"/>
    <w:p w14:paraId="7FAE92BF" w14:textId="77777777" w:rsidR="00CD65C2" w:rsidRDefault="00CD65C2"/>
    <w:p w14:paraId="6740A458" w14:textId="77777777" w:rsidR="00CD65C2" w:rsidRDefault="00CD65C2"/>
    <w:p w14:paraId="35EDA0A8" w14:textId="77777777" w:rsidR="00CD65C2" w:rsidRDefault="00CD65C2"/>
    <w:p w14:paraId="78391AF4" w14:textId="77777777" w:rsidR="00CD65C2" w:rsidRDefault="00CD65C2"/>
    <w:p w14:paraId="41CBFF3F" w14:textId="77777777" w:rsidR="00CD65C2" w:rsidRDefault="00CD65C2"/>
    <w:p w14:paraId="4A0BF06C" w14:textId="77777777" w:rsidR="00CD65C2" w:rsidRDefault="00CD65C2"/>
    <w:p w14:paraId="47134596" w14:textId="77777777" w:rsidR="00CD65C2" w:rsidRDefault="00CD65C2"/>
    <w:p w14:paraId="496169FA" w14:textId="77777777" w:rsidR="00CD65C2" w:rsidRDefault="00CD65C2"/>
    <w:p w14:paraId="392B7789" w14:textId="77777777" w:rsidR="00CD65C2" w:rsidRDefault="00CD65C2"/>
    <w:p w14:paraId="539582D5" w14:textId="77777777" w:rsidR="00CD65C2" w:rsidRDefault="00CD65C2"/>
    <w:p w14:paraId="29C90AD5" w14:textId="77777777" w:rsidR="00CD65C2" w:rsidRDefault="00CD65C2"/>
    <w:p w14:paraId="20B164F9" w14:textId="77777777" w:rsidR="00CD65C2" w:rsidRDefault="00CD65C2"/>
    <w:p w14:paraId="507B64E5" w14:textId="77777777" w:rsidR="00CD65C2" w:rsidRDefault="00CD65C2"/>
    <w:bookmarkStart w:id="0" w:name="_GoBack" w:displacedByCustomXml="next"/>
    <w:sdt>
      <w:sdtPr>
        <w:rPr>
          <w:rFonts w:asciiTheme="minorHAnsi" w:eastAsiaTheme="minorHAnsi" w:hAnsiTheme="minorHAnsi" w:cstheme="minorBidi"/>
          <w:b w:val="0"/>
          <w:color w:val="auto"/>
          <w:sz w:val="22"/>
          <w:szCs w:val="22"/>
          <w:lang w:eastAsia="en-US"/>
        </w:rPr>
        <w:id w:val="1753466615"/>
        <w:docPartObj>
          <w:docPartGallery w:val="Table of Contents"/>
          <w:docPartUnique/>
        </w:docPartObj>
      </w:sdtPr>
      <w:sdtEndPr>
        <w:rPr>
          <w:bCs/>
        </w:rPr>
      </w:sdtEndPr>
      <w:sdtContent>
        <w:p w14:paraId="28DA8720" w14:textId="77777777" w:rsidR="00CD65C2" w:rsidRDefault="00FA41FC">
          <w:pPr>
            <w:pStyle w:val="CabealhodoSumrio1"/>
            <w:rPr>
              <w:rFonts w:hint="eastAsia"/>
              <w:sz w:val="40"/>
              <w:szCs w:val="40"/>
            </w:rPr>
          </w:pPr>
          <w:r>
            <w:rPr>
              <w:sz w:val="40"/>
              <w:szCs w:val="40"/>
            </w:rPr>
            <w:t>Sumário</w:t>
          </w:r>
        </w:p>
        <w:p w14:paraId="00BF487A" w14:textId="666B67E5" w:rsidR="00D1428E" w:rsidRPr="00D1428E" w:rsidRDefault="00FA41FC">
          <w:pPr>
            <w:pStyle w:val="Sumrio1"/>
            <w:tabs>
              <w:tab w:val="right" w:leader="dot" w:pos="9061"/>
            </w:tabs>
            <w:rPr>
              <w:rFonts w:ascii="Swis721 Th BT" w:eastAsiaTheme="minorEastAsia" w:hAnsi="Swis721 Th BT"/>
              <w:noProof/>
              <w:sz w:val="23"/>
              <w:szCs w:val="23"/>
              <w:lang w:eastAsia="pt-BR"/>
            </w:rPr>
          </w:pPr>
          <w:r>
            <w:rPr>
              <w:rFonts w:ascii="Swis721 Th BT" w:hAnsi="Swis721 Th BT"/>
              <w:b/>
              <w:bCs/>
              <w:sz w:val="23"/>
              <w:szCs w:val="23"/>
            </w:rPr>
            <w:fldChar w:fldCharType="begin"/>
          </w:r>
          <w:r>
            <w:rPr>
              <w:rFonts w:ascii="Swis721 Th BT" w:hAnsi="Swis721 Th BT"/>
              <w:b/>
              <w:bCs/>
              <w:sz w:val="23"/>
              <w:szCs w:val="23"/>
            </w:rPr>
            <w:instrText xml:space="preserve"> TOC \o "1-3" \h \z \u </w:instrText>
          </w:r>
          <w:r>
            <w:rPr>
              <w:rFonts w:ascii="Swis721 Th BT" w:hAnsi="Swis721 Th BT"/>
              <w:b/>
              <w:bCs/>
              <w:sz w:val="23"/>
              <w:szCs w:val="23"/>
            </w:rPr>
            <w:fldChar w:fldCharType="separate"/>
          </w:r>
          <w:hyperlink w:anchor="_Toc165537153" w:history="1">
            <w:r w:rsidR="00D1428E" w:rsidRPr="00D1428E">
              <w:rPr>
                <w:rStyle w:val="Hyperlink"/>
                <w:rFonts w:ascii="Swis721 Th BT" w:hAnsi="Swis721 Th BT"/>
                <w:b/>
                <w:noProof/>
                <w:sz w:val="23"/>
                <w:szCs w:val="23"/>
              </w:rPr>
              <w:t>SÍNDROME PRÉ-MENSTRUAL</w:t>
            </w:r>
            <w:r w:rsidR="00D1428E" w:rsidRPr="00D1428E">
              <w:rPr>
                <w:rFonts w:ascii="Swis721 Th BT" w:hAnsi="Swis721 Th BT"/>
                <w:noProof/>
                <w:webHidden/>
                <w:sz w:val="23"/>
                <w:szCs w:val="23"/>
              </w:rPr>
              <w:tab/>
            </w:r>
            <w:r w:rsidR="00D1428E" w:rsidRPr="00D1428E">
              <w:rPr>
                <w:rFonts w:ascii="Swis721 Th BT" w:hAnsi="Swis721 Th BT"/>
                <w:noProof/>
                <w:webHidden/>
                <w:sz w:val="23"/>
                <w:szCs w:val="23"/>
              </w:rPr>
              <w:fldChar w:fldCharType="begin"/>
            </w:r>
            <w:r w:rsidR="00D1428E" w:rsidRPr="00D1428E">
              <w:rPr>
                <w:rFonts w:ascii="Swis721 Th BT" w:hAnsi="Swis721 Th BT"/>
                <w:noProof/>
                <w:webHidden/>
                <w:sz w:val="23"/>
                <w:szCs w:val="23"/>
              </w:rPr>
              <w:instrText xml:space="preserve"> PAGEREF _Toc165537153 \h </w:instrText>
            </w:r>
            <w:r w:rsidR="00D1428E" w:rsidRPr="00D1428E">
              <w:rPr>
                <w:rFonts w:ascii="Swis721 Th BT" w:hAnsi="Swis721 Th BT"/>
                <w:noProof/>
                <w:webHidden/>
                <w:sz w:val="23"/>
                <w:szCs w:val="23"/>
              </w:rPr>
            </w:r>
            <w:r w:rsidR="00D1428E" w:rsidRPr="00D1428E">
              <w:rPr>
                <w:rFonts w:ascii="Swis721 Th BT" w:hAnsi="Swis721 Th BT"/>
                <w:noProof/>
                <w:webHidden/>
                <w:sz w:val="23"/>
                <w:szCs w:val="23"/>
              </w:rPr>
              <w:fldChar w:fldCharType="separate"/>
            </w:r>
            <w:r w:rsidR="00D1428E">
              <w:rPr>
                <w:rFonts w:ascii="Swis721 Th BT" w:hAnsi="Swis721 Th BT"/>
                <w:noProof/>
                <w:webHidden/>
                <w:sz w:val="23"/>
                <w:szCs w:val="23"/>
              </w:rPr>
              <w:t>8</w:t>
            </w:r>
            <w:r w:rsidR="00D1428E" w:rsidRPr="00D1428E">
              <w:rPr>
                <w:rFonts w:ascii="Swis721 Th BT" w:hAnsi="Swis721 Th BT"/>
                <w:noProof/>
                <w:webHidden/>
                <w:sz w:val="23"/>
                <w:szCs w:val="23"/>
              </w:rPr>
              <w:fldChar w:fldCharType="end"/>
            </w:r>
          </w:hyperlink>
        </w:p>
        <w:p w14:paraId="454C0E4B"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54" w:history="1">
            <w:r w:rsidRPr="00D1428E">
              <w:rPr>
                <w:rStyle w:val="Hyperlink"/>
                <w:rFonts w:ascii="Swis721 Th BT" w:hAnsi="Swis721 Th BT"/>
                <w:i/>
                <w:noProof/>
                <w:sz w:val="23"/>
                <w:szCs w:val="23"/>
              </w:rPr>
              <w:t>Salvia officinalis</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_Toc165537154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9</w:t>
            </w:r>
            <w:r w:rsidRPr="00D1428E">
              <w:rPr>
                <w:rFonts w:ascii="Swis721 Th BT" w:hAnsi="Swis721 Th BT"/>
                <w:noProof/>
                <w:webHidden/>
                <w:sz w:val="23"/>
                <w:szCs w:val="23"/>
              </w:rPr>
              <w:fldChar w:fldCharType="end"/>
            </w:r>
          </w:hyperlink>
        </w:p>
        <w:p w14:paraId="11CD1FE7"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55"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_Toc165537155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10</w:t>
            </w:r>
            <w:r w:rsidRPr="00D1428E">
              <w:rPr>
                <w:rFonts w:ascii="Swis721 Th BT" w:hAnsi="Swis721 Th BT"/>
                <w:noProof/>
                <w:webHidden/>
                <w:sz w:val="23"/>
                <w:szCs w:val="23"/>
              </w:rPr>
              <w:fldChar w:fldCharType="end"/>
            </w:r>
          </w:hyperlink>
        </w:p>
        <w:p w14:paraId="054D98E5"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56" w:history="1">
            <w:r w:rsidRPr="00D1428E">
              <w:rPr>
                <w:rStyle w:val="Hyperlink"/>
                <w:rFonts w:ascii="Swis721 Th BT" w:hAnsi="Swis721 Th BT"/>
                <w:noProof/>
                <w:sz w:val="23"/>
                <w:szCs w:val="23"/>
              </w:rPr>
              <w:t>Curcumina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_Toc165537156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11</w:t>
            </w:r>
            <w:r w:rsidRPr="00D1428E">
              <w:rPr>
                <w:rFonts w:ascii="Swis721 Th BT" w:hAnsi="Swis721 Th BT"/>
                <w:noProof/>
                <w:webHidden/>
                <w:sz w:val="23"/>
                <w:szCs w:val="23"/>
              </w:rPr>
              <w:fldChar w:fldCharType="end"/>
            </w:r>
          </w:hyperlink>
        </w:p>
        <w:p w14:paraId="0CEF309B"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57"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_Toc165537157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12</w:t>
            </w:r>
            <w:r w:rsidRPr="00D1428E">
              <w:rPr>
                <w:rFonts w:ascii="Swis721 Th BT" w:hAnsi="Swis721 Th BT"/>
                <w:noProof/>
                <w:webHidden/>
                <w:sz w:val="23"/>
                <w:szCs w:val="23"/>
              </w:rPr>
              <w:fldChar w:fldCharType="end"/>
            </w:r>
          </w:hyperlink>
        </w:p>
        <w:p w14:paraId="4F28729D"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58" w:history="1">
            <w:r w:rsidRPr="00D1428E">
              <w:rPr>
                <w:rStyle w:val="Hyperlink"/>
                <w:rFonts w:ascii="Swis721 Th BT" w:hAnsi="Swis721 Th BT"/>
                <w:noProof/>
                <w:sz w:val="23"/>
                <w:szCs w:val="23"/>
              </w:rPr>
              <w:t>Sulfato de Zinco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_Toc165537158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13</w:t>
            </w:r>
            <w:r w:rsidRPr="00D1428E">
              <w:rPr>
                <w:rFonts w:ascii="Swis721 Th BT" w:hAnsi="Swis721 Th BT"/>
                <w:noProof/>
                <w:webHidden/>
                <w:sz w:val="23"/>
                <w:szCs w:val="23"/>
              </w:rPr>
              <w:fldChar w:fldCharType="end"/>
            </w:r>
          </w:hyperlink>
        </w:p>
        <w:p w14:paraId="5DC1D5BD"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59"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_Toc165537159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14</w:t>
            </w:r>
            <w:r w:rsidRPr="00D1428E">
              <w:rPr>
                <w:rFonts w:ascii="Swis721 Th BT" w:hAnsi="Swis721 Th BT"/>
                <w:noProof/>
                <w:webHidden/>
                <w:sz w:val="23"/>
                <w:szCs w:val="23"/>
              </w:rPr>
              <w:fldChar w:fldCharType="end"/>
            </w:r>
          </w:hyperlink>
        </w:p>
        <w:p w14:paraId="7031924B"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60" w:history="1">
            <w:r w:rsidRPr="00D1428E">
              <w:rPr>
                <w:rStyle w:val="Hyperlink"/>
                <w:rFonts w:ascii="Swis721 Th BT" w:hAnsi="Swis721 Th BT"/>
                <w:noProof/>
                <w:sz w:val="23"/>
                <w:szCs w:val="23"/>
              </w:rPr>
              <w:t>Ômega 3</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_Toc165537160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15</w:t>
            </w:r>
            <w:r w:rsidRPr="00D1428E">
              <w:rPr>
                <w:rFonts w:ascii="Swis721 Th BT" w:hAnsi="Swis721 Th BT"/>
                <w:noProof/>
                <w:webHidden/>
                <w:sz w:val="23"/>
                <w:szCs w:val="23"/>
              </w:rPr>
              <w:fldChar w:fldCharType="end"/>
            </w:r>
          </w:hyperlink>
        </w:p>
        <w:p w14:paraId="38C630E5"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61"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_Toc165537161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16</w:t>
            </w:r>
            <w:r w:rsidRPr="00D1428E">
              <w:rPr>
                <w:rFonts w:ascii="Swis721 Th BT" w:hAnsi="Swis721 Th BT"/>
                <w:noProof/>
                <w:webHidden/>
                <w:sz w:val="23"/>
                <w:szCs w:val="23"/>
              </w:rPr>
              <w:fldChar w:fldCharType="end"/>
            </w:r>
          </w:hyperlink>
        </w:p>
        <w:p w14:paraId="264E9F87"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62" w:history="1">
            <w:r w:rsidRPr="00D1428E">
              <w:rPr>
                <w:rStyle w:val="Hyperlink"/>
                <w:rFonts w:ascii="Swis721 Th BT" w:hAnsi="Swis721 Th BT"/>
                <w:i/>
                <w:noProof/>
                <w:sz w:val="23"/>
                <w:szCs w:val="23"/>
              </w:rPr>
              <w:t>Vitex agnus castus</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_Toc165537162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17</w:t>
            </w:r>
            <w:r w:rsidRPr="00D1428E">
              <w:rPr>
                <w:rFonts w:ascii="Swis721 Th BT" w:hAnsi="Swis721 Th BT"/>
                <w:noProof/>
                <w:webHidden/>
                <w:sz w:val="23"/>
                <w:szCs w:val="23"/>
              </w:rPr>
              <w:fldChar w:fldCharType="end"/>
            </w:r>
          </w:hyperlink>
        </w:p>
        <w:p w14:paraId="314ACBD2"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63"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_Toc165537163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18</w:t>
            </w:r>
            <w:r w:rsidRPr="00D1428E">
              <w:rPr>
                <w:rFonts w:ascii="Swis721 Th BT" w:hAnsi="Swis721 Th BT"/>
                <w:noProof/>
                <w:webHidden/>
                <w:sz w:val="23"/>
                <w:szCs w:val="23"/>
              </w:rPr>
              <w:fldChar w:fldCharType="end"/>
            </w:r>
          </w:hyperlink>
        </w:p>
        <w:p w14:paraId="1D79FF99"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64" w:history="1">
            <w:r w:rsidRPr="00D1428E">
              <w:rPr>
                <w:rStyle w:val="Hyperlink"/>
                <w:rFonts w:ascii="Swis721 Th BT" w:hAnsi="Swis721 Th BT"/>
                <w:noProof/>
                <w:sz w:val="23"/>
                <w:szCs w:val="23"/>
              </w:rPr>
              <w:t>Melatonina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_Toc165537164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19</w:t>
            </w:r>
            <w:r w:rsidRPr="00D1428E">
              <w:rPr>
                <w:rFonts w:ascii="Swis721 Th BT" w:hAnsi="Swis721 Th BT"/>
                <w:noProof/>
                <w:webHidden/>
                <w:sz w:val="23"/>
                <w:szCs w:val="23"/>
              </w:rPr>
              <w:fldChar w:fldCharType="end"/>
            </w:r>
          </w:hyperlink>
        </w:p>
        <w:p w14:paraId="6C4F4EEC"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65"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_Toc165537165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20</w:t>
            </w:r>
            <w:r w:rsidRPr="00D1428E">
              <w:rPr>
                <w:rFonts w:ascii="Swis721 Th BT" w:hAnsi="Swis721 Th BT"/>
                <w:noProof/>
                <w:webHidden/>
                <w:sz w:val="23"/>
                <w:szCs w:val="23"/>
              </w:rPr>
              <w:fldChar w:fldCharType="end"/>
            </w:r>
          </w:hyperlink>
        </w:p>
        <w:p w14:paraId="3993925F"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66" w:history="1">
            <w:r w:rsidRPr="00D1428E">
              <w:rPr>
                <w:rStyle w:val="Hyperlink"/>
                <w:rFonts w:ascii="Swis721 Th BT" w:hAnsi="Swis721 Th BT"/>
                <w:noProof/>
                <w:sz w:val="23"/>
                <w:szCs w:val="23"/>
              </w:rPr>
              <w:t>Aromaterapia com Óleo de Lavanda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_Toc165537166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21</w:t>
            </w:r>
            <w:r w:rsidRPr="00D1428E">
              <w:rPr>
                <w:rFonts w:ascii="Swis721 Th BT" w:hAnsi="Swis721 Th BT"/>
                <w:noProof/>
                <w:webHidden/>
                <w:sz w:val="23"/>
                <w:szCs w:val="23"/>
              </w:rPr>
              <w:fldChar w:fldCharType="end"/>
            </w:r>
          </w:hyperlink>
        </w:p>
        <w:p w14:paraId="6D6309DF"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67"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_Toc165537167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22</w:t>
            </w:r>
            <w:r w:rsidRPr="00D1428E">
              <w:rPr>
                <w:rFonts w:ascii="Swis721 Th BT" w:hAnsi="Swis721 Th BT"/>
                <w:noProof/>
                <w:webHidden/>
                <w:sz w:val="23"/>
                <w:szCs w:val="23"/>
              </w:rPr>
              <w:fldChar w:fldCharType="end"/>
            </w:r>
          </w:hyperlink>
        </w:p>
        <w:p w14:paraId="0B7E952B"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68" w:history="1">
            <w:r w:rsidRPr="00D1428E">
              <w:rPr>
                <w:rStyle w:val="Hyperlink"/>
                <w:rFonts w:ascii="Swis721 Th BT" w:hAnsi="Swis721 Th BT"/>
                <w:noProof/>
                <w:sz w:val="23"/>
                <w:szCs w:val="23"/>
              </w:rPr>
              <w:t>Fluoxetina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_Toc165537168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23</w:t>
            </w:r>
            <w:r w:rsidRPr="00D1428E">
              <w:rPr>
                <w:rFonts w:ascii="Swis721 Th BT" w:hAnsi="Swis721 Th BT"/>
                <w:noProof/>
                <w:webHidden/>
                <w:sz w:val="23"/>
                <w:szCs w:val="23"/>
              </w:rPr>
              <w:fldChar w:fldCharType="end"/>
            </w:r>
          </w:hyperlink>
        </w:p>
        <w:p w14:paraId="122D4E7E"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69"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_Toc165537169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24</w:t>
            </w:r>
            <w:r w:rsidRPr="00D1428E">
              <w:rPr>
                <w:rFonts w:ascii="Swis721 Th BT" w:hAnsi="Swis721 Th BT"/>
                <w:noProof/>
                <w:webHidden/>
                <w:sz w:val="23"/>
                <w:szCs w:val="23"/>
              </w:rPr>
              <w:fldChar w:fldCharType="end"/>
            </w:r>
          </w:hyperlink>
        </w:p>
        <w:p w14:paraId="6F28F044" w14:textId="0D023F4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70" w:history="1">
            <w:r w:rsidRPr="00D1428E">
              <w:rPr>
                <w:rStyle w:val="Hyperlink"/>
                <w:rFonts w:ascii="Swis721 Th BT" w:hAnsi="Swis721 Th BT"/>
                <w:b/>
                <w:noProof/>
                <w:sz w:val="23"/>
                <w:szCs w:val="23"/>
              </w:rPr>
              <w:t>DISMENORREIA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_Toc165537170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25</w:t>
            </w:r>
            <w:r w:rsidRPr="00D1428E">
              <w:rPr>
                <w:rFonts w:ascii="Swis721 Th BT" w:hAnsi="Swis721 Th BT"/>
                <w:noProof/>
                <w:webHidden/>
                <w:sz w:val="23"/>
                <w:szCs w:val="23"/>
              </w:rPr>
              <w:fldChar w:fldCharType="end"/>
            </w:r>
          </w:hyperlink>
        </w:p>
        <w:p w14:paraId="10965F43"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71" w:history="1">
            <w:r w:rsidRPr="00D1428E">
              <w:rPr>
                <w:rStyle w:val="Hyperlink"/>
                <w:rFonts w:ascii="Swis721 Th BT" w:hAnsi="Swis721 Th BT"/>
                <w:i/>
                <w:noProof/>
                <w:sz w:val="23"/>
                <w:szCs w:val="23"/>
              </w:rPr>
              <w:t>Chlorella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_Toc165537171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26</w:t>
            </w:r>
            <w:r w:rsidRPr="00D1428E">
              <w:rPr>
                <w:rFonts w:ascii="Swis721 Th BT" w:hAnsi="Swis721 Th BT"/>
                <w:noProof/>
                <w:webHidden/>
                <w:sz w:val="23"/>
                <w:szCs w:val="23"/>
              </w:rPr>
              <w:fldChar w:fldCharType="end"/>
            </w:r>
          </w:hyperlink>
        </w:p>
        <w:p w14:paraId="73D138DF"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72"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_Toc165537172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27</w:t>
            </w:r>
            <w:r w:rsidRPr="00D1428E">
              <w:rPr>
                <w:rFonts w:ascii="Swis721 Th BT" w:hAnsi="Swis721 Th BT"/>
                <w:noProof/>
                <w:webHidden/>
                <w:sz w:val="23"/>
                <w:szCs w:val="23"/>
              </w:rPr>
              <w:fldChar w:fldCharType="end"/>
            </w:r>
          </w:hyperlink>
        </w:p>
        <w:p w14:paraId="3C7FB14F"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73" w:history="1">
            <w:r w:rsidRPr="00D1428E">
              <w:rPr>
                <w:rStyle w:val="Hyperlink"/>
                <w:rFonts w:ascii="Swis721 Th BT" w:hAnsi="Swis721 Th BT"/>
                <w:noProof/>
                <w:sz w:val="23"/>
                <w:szCs w:val="23"/>
              </w:rPr>
              <w:t>Boro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_Toc165537173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28</w:t>
            </w:r>
            <w:r w:rsidRPr="00D1428E">
              <w:rPr>
                <w:rFonts w:ascii="Swis721 Th BT" w:hAnsi="Swis721 Th BT"/>
                <w:noProof/>
                <w:webHidden/>
                <w:sz w:val="23"/>
                <w:szCs w:val="23"/>
              </w:rPr>
              <w:fldChar w:fldCharType="end"/>
            </w:r>
          </w:hyperlink>
        </w:p>
        <w:p w14:paraId="09C1E591"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74"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_Toc165537174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29</w:t>
            </w:r>
            <w:r w:rsidRPr="00D1428E">
              <w:rPr>
                <w:rFonts w:ascii="Swis721 Th BT" w:hAnsi="Swis721 Th BT"/>
                <w:noProof/>
                <w:webHidden/>
                <w:sz w:val="23"/>
                <w:szCs w:val="23"/>
              </w:rPr>
              <w:fldChar w:fldCharType="end"/>
            </w:r>
          </w:hyperlink>
        </w:p>
        <w:p w14:paraId="6E909230"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75" w:history="1">
            <w:r w:rsidRPr="00D1428E">
              <w:rPr>
                <w:rStyle w:val="Hyperlink"/>
                <w:rFonts w:ascii="Swis721 Th BT" w:hAnsi="Swis721 Th BT"/>
                <w:noProof/>
                <w:sz w:val="23"/>
                <w:szCs w:val="23"/>
              </w:rPr>
              <w:t>Outras Formulações para Dismenorreia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_Toc165537175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30</w:t>
            </w:r>
            <w:r w:rsidRPr="00D1428E">
              <w:rPr>
                <w:rFonts w:ascii="Swis721 Th BT" w:hAnsi="Swis721 Th BT"/>
                <w:noProof/>
                <w:webHidden/>
                <w:sz w:val="23"/>
                <w:szCs w:val="23"/>
              </w:rPr>
              <w:fldChar w:fldCharType="end"/>
            </w:r>
          </w:hyperlink>
        </w:p>
        <w:p w14:paraId="3B452337" w14:textId="2638B9BD"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76" w:history="1">
            <w:r w:rsidRPr="00D1428E">
              <w:rPr>
                <w:rStyle w:val="Hyperlink"/>
                <w:rFonts w:ascii="Swis721 Th BT" w:hAnsi="Swis721 Th BT"/>
                <w:b/>
                <w:noProof/>
                <w:sz w:val="23"/>
                <w:szCs w:val="23"/>
              </w:rPr>
              <w:t>SÍNDROME DO OVÁRIO POLICÍSTICO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_Toc165537176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32</w:t>
            </w:r>
            <w:r w:rsidRPr="00D1428E">
              <w:rPr>
                <w:rFonts w:ascii="Swis721 Th BT" w:hAnsi="Swis721 Th BT"/>
                <w:noProof/>
                <w:webHidden/>
                <w:sz w:val="23"/>
                <w:szCs w:val="23"/>
              </w:rPr>
              <w:fldChar w:fldCharType="end"/>
            </w:r>
          </w:hyperlink>
        </w:p>
        <w:p w14:paraId="6664BE7C"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77" w:history="1">
            <w:r w:rsidRPr="00D1428E">
              <w:rPr>
                <w:rStyle w:val="Hyperlink"/>
                <w:rFonts w:ascii="Swis721 Th BT" w:hAnsi="Swis721 Th BT"/>
                <w:noProof/>
                <w:sz w:val="23"/>
                <w:szCs w:val="23"/>
              </w:rPr>
              <w:t>Vitamina D3</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_Toc165537177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33</w:t>
            </w:r>
            <w:r w:rsidRPr="00D1428E">
              <w:rPr>
                <w:rFonts w:ascii="Swis721 Th BT" w:hAnsi="Swis721 Th BT"/>
                <w:noProof/>
                <w:webHidden/>
                <w:sz w:val="23"/>
                <w:szCs w:val="23"/>
              </w:rPr>
              <w:fldChar w:fldCharType="end"/>
            </w:r>
          </w:hyperlink>
        </w:p>
        <w:p w14:paraId="41EC7C27"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78"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_Toc165537178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34</w:t>
            </w:r>
            <w:r w:rsidRPr="00D1428E">
              <w:rPr>
                <w:rFonts w:ascii="Swis721 Th BT" w:hAnsi="Swis721 Th BT"/>
                <w:noProof/>
                <w:webHidden/>
                <w:sz w:val="23"/>
                <w:szCs w:val="23"/>
              </w:rPr>
              <w:fldChar w:fldCharType="end"/>
            </w:r>
          </w:hyperlink>
        </w:p>
        <w:p w14:paraId="2863CD98"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79" w:history="1">
            <w:r w:rsidRPr="00D1428E">
              <w:rPr>
                <w:rStyle w:val="Hyperlink"/>
                <w:rFonts w:ascii="Swis721 Th BT" w:hAnsi="Swis721 Th BT"/>
                <w:noProof/>
                <w:sz w:val="23"/>
                <w:szCs w:val="23"/>
              </w:rPr>
              <w:t>Vitamina E e Ômega 3</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_Toc165537179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35</w:t>
            </w:r>
            <w:r w:rsidRPr="00D1428E">
              <w:rPr>
                <w:rFonts w:ascii="Swis721 Th BT" w:hAnsi="Swis721 Th BT"/>
                <w:noProof/>
                <w:webHidden/>
                <w:sz w:val="23"/>
                <w:szCs w:val="23"/>
              </w:rPr>
              <w:fldChar w:fldCharType="end"/>
            </w:r>
          </w:hyperlink>
        </w:p>
        <w:p w14:paraId="17D30980"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80"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_Toc165537180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36</w:t>
            </w:r>
            <w:r w:rsidRPr="00D1428E">
              <w:rPr>
                <w:rFonts w:ascii="Swis721 Th BT" w:hAnsi="Swis721 Th BT"/>
                <w:noProof/>
                <w:webHidden/>
                <w:sz w:val="23"/>
                <w:szCs w:val="23"/>
              </w:rPr>
              <w:fldChar w:fldCharType="end"/>
            </w:r>
          </w:hyperlink>
        </w:p>
        <w:p w14:paraId="16203FB4"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81" w:history="1">
            <w:r w:rsidRPr="00D1428E">
              <w:rPr>
                <w:rStyle w:val="Hyperlink"/>
                <w:rFonts w:ascii="Swis721 Th BT" w:hAnsi="Swis721 Th BT"/>
                <w:noProof/>
                <w:sz w:val="23"/>
                <w:szCs w:val="23"/>
              </w:rPr>
              <w:t>Magnésio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_Toc165537181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37</w:t>
            </w:r>
            <w:r w:rsidRPr="00D1428E">
              <w:rPr>
                <w:rFonts w:ascii="Swis721 Th BT" w:hAnsi="Swis721 Th BT"/>
                <w:noProof/>
                <w:webHidden/>
                <w:sz w:val="23"/>
                <w:szCs w:val="23"/>
              </w:rPr>
              <w:fldChar w:fldCharType="end"/>
            </w:r>
          </w:hyperlink>
        </w:p>
        <w:p w14:paraId="6E38ABD0"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82"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_Toc165537182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38</w:t>
            </w:r>
            <w:r w:rsidRPr="00D1428E">
              <w:rPr>
                <w:rFonts w:ascii="Swis721 Th BT" w:hAnsi="Swis721 Th BT"/>
                <w:noProof/>
                <w:webHidden/>
                <w:sz w:val="23"/>
                <w:szCs w:val="23"/>
              </w:rPr>
              <w:fldChar w:fldCharType="end"/>
            </w:r>
          </w:hyperlink>
        </w:p>
        <w:p w14:paraId="0F243916"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83" w:history="1">
            <w:r w:rsidRPr="00D1428E">
              <w:rPr>
                <w:rStyle w:val="Hyperlink"/>
                <w:rFonts w:ascii="Swis721 Th BT" w:hAnsi="Swis721 Th BT"/>
                <w:noProof/>
                <w:sz w:val="23"/>
                <w:szCs w:val="23"/>
              </w:rPr>
              <w:t>Ácido Elágico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_Toc165537183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39</w:t>
            </w:r>
            <w:r w:rsidRPr="00D1428E">
              <w:rPr>
                <w:rFonts w:ascii="Swis721 Th BT" w:hAnsi="Swis721 Th BT"/>
                <w:noProof/>
                <w:webHidden/>
                <w:sz w:val="23"/>
                <w:szCs w:val="23"/>
              </w:rPr>
              <w:fldChar w:fldCharType="end"/>
            </w:r>
          </w:hyperlink>
        </w:p>
        <w:p w14:paraId="7BAEB178"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84"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_Toc165537184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40</w:t>
            </w:r>
            <w:r w:rsidRPr="00D1428E">
              <w:rPr>
                <w:rFonts w:ascii="Swis721 Th BT" w:hAnsi="Swis721 Th BT"/>
                <w:noProof/>
                <w:webHidden/>
                <w:sz w:val="23"/>
                <w:szCs w:val="23"/>
              </w:rPr>
              <w:fldChar w:fldCharType="end"/>
            </w:r>
          </w:hyperlink>
        </w:p>
        <w:p w14:paraId="77DB3670"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85" w:history="1">
            <w:r w:rsidRPr="00D1428E">
              <w:rPr>
                <w:rStyle w:val="Hyperlink"/>
                <w:rFonts w:ascii="Swis721 Th BT" w:hAnsi="Swis721 Th BT"/>
                <w:noProof/>
                <w:sz w:val="23"/>
                <w:szCs w:val="23"/>
              </w:rPr>
              <w:t>Coenzima Q10</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_Toc165537185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41</w:t>
            </w:r>
            <w:r w:rsidRPr="00D1428E">
              <w:rPr>
                <w:rFonts w:ascii="Swis721 Th BT" w:hAnsi="Swis721 Th BT"/>
                <w:noProof/>
                <w:webHidden/>
                <w:sz w:val="23"/>
                <w:szCs w:val="23"/>
              </w:rPr>
              <w:fldChar w:fldCharType="end"/>
            </w:r>
          </w:hyperlink>
        </w:p>
        <w:p w14:paraId="2FC44B9E"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86"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_Toc165537186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42</w:t>
            </w:r>
            <w:r w:rsidRPr="00D1428E">
              <w:rPr>
                <w:rFonts w:ascii="Swis721 Th BT" w:hAnsi="Swis721 Th BT"/>
                <w:noProof/>
                <w:webHidden/>
                <w:sz w:val="23"/>
                <w:szCs w:val="23"/>
              </w:rPr>
              <w:fldChar w:fldCharType="end"/>
            </w:r>
          </w:hyperlink>
        </w:p>
        <w:p w14:paraId="1895B9A7"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87" w:history="1">
            <w:r w:rsidRPr="00D1428E">
              <w:rPr>
                <w:rStyle w:val="Hyperlink"/>
                <w:rFonts w:ascii="Swis721 Th BT" w:hAnsi="Swis721 Th BT"/>
                <w:noProof/>
                <w:sz w:val="23"/>
                <w:szCs w:val="23"/>
              </w:rPr>
              <w:t>Mio-Inositol e D-Chiro-Inositol</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_Toc165537187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43</w:t>
            </w:r>
            <w:r w:rsidRPr="00D1428E">
              <w:rPr>
                <w:rFonts w:ascii="Swis721 Th BT" w:hAnsi="Swis721 Th BT"/>
                <w:noProof/>
                <w:webHidden/>
                <w:sz w:val="23"/>
                <w:szCs w:val="23"/>
              </w:rPr>
              <w:fldChar w:fldCharType="end"/>
            </w:r>
          </w:hyperlink>
        </w:p>
        <w:p w14:paraId="42FFF98F"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88"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_Toc165537188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44</w:t>
            </w:r>
            <w:r w:rsidRPr="00D1428E">
              <w:rPr>
                <w:rFonts w:ascii="Swis721 Th BT" w:hAnsi="Swis721 Th BT"/>
                <w:noProof/>
                <w:webHidden/>
                <w:sz w:val="23"/>
                <w:szCs w:val="23"/>
              </w:rPr>
              <w:fldChar w:fldCharType="end"/>
            </w:r>
          </w:hyperlink>
        </w:p>
        <w:p w14:paraId="7115BE22"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89" w:history="1">
            <w:r w:rsidRPr="00D1428E">
              <w:rPr>
                <w:rStyle w:val="Hyperlink"/>
                <w:rFonts w:ascii="Swis721 Th BT" w:hAnsi="Swis721 Th BT"/>
                <w:noProof/>
                <w:sz w:val="23"/>
                <w:szCs w:val="23"/>
              </w:rPr>
              <w:t>Inositol e Associações</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_Toc165537189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45</w:t>
            </w:r>
            <w:r w:rsidRPr="00D1428E">
              <w:rPr>
                <w:rFonts w:ascii="Swis721 Th BT" w:hAnsi="Swis721 Th BT"/>
                <w:noProof/>
                <w:webHidden/>
                <w:sz w:val="23"/>
                <w:szCs w:val="23"/>
              </w:rPr>
              <w:fldChar w:fldCharType="end"/>
            </w:r>
          </w:hyperlink>
        </w:p>
        <w:p w14:paraId="6A2C20B9"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90"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_Toc165537190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46</w:t>
            </w:r>
            <w:r w:rsidRPr="00D1428E">
              <w:rPr>
                <w:rFonts w:ascii="Swis721 Th BT" w:hAnsi="Swis721 Th BT"/>
                <w:noProof/>
                <w:webHidden/>
                <w:sz w:val="23"/>
                <w:szCs w:val="23"/>
              </w:rPr>
              <w:fldChar w:fldCharType="end"/>
            </w:r>
          </w:hyperlink>
        </w:p>
        <w:p w14:paraId="39F05B82"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91" w:history="1">
            <w:r w:rsidRPr="00D1428E">
              <w:rPr>
                <w:rStyle w:val="Hyperlink"/>
                <w:rFonts w:ascii="Swis721 Th BT" w:hAnsi="Swis721 Th BT"/>
                <w:noProof/>
                <w:sz w:val="23"/>
                <w:szCs w:val="23"/>
              </w:rPr>
              <w:t xml:space="preserve">N-acetilcisteína </w:t>
            </w:r>
            <w:r w:rsidRPr="00D1428E">
              <w:rPr>
                <w:rStyle w:val="Hyperlink"/>
                <w:rFonts w:ascii="Swis721 Th BT" w:hAnsi="Swis721 Th BT"/>
                <w:i/>
                <w:noProof/>
                <w:sz w:val="23"/>
                <w:szCs w:val="23"/>
              </w:rPr>
              <w:t>versus</w:t>
            </w:r>
            <w:r w:rsidRPr="00D1428E">
              <w:rPr>
                <w:rStyle w:val="Hyperlink"/>
                <w:rFonts w:ascii="Swis721 Th BT" w:hAnsi="Swis721 Th BT"/>
                <w:noProof/>
                <w:sz w:val="23"/>
                <w:szCs w:val="23"/>
              </w:rPr>
              <w:t xml:space="preserve"> L-carnitina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_Toc165537191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47</w:t>
            </w:r>
            <w:r w:rsidRPr="00D1428E">
              <w:rPr>
                <w:rFonts w:ascii="Swis721 Th BT" w:hAnsi="Swis721 Th BT"/>
                <w:noProof/>
                <w:webHidden/>
                <w:sz w:val="23"/>
                <w:szCs w:val="23"/>
              </w:rPr>
              <w:fldChar w:fldCharType="end"/>
            </w:r>
          </w:hyperlink>
        </w:p>
        <w:p w14:paraId="54F35F32"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92"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_Toc165537192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48</w:t>
            </w:r>
            <w:r w:rsidRPr="00D1428E">
              <w:rPr>
                <w:rFonts w:ascii="Swis721 Th BT" w:hAnsi="Swis721 Th BT"/>
                <w:noProof/>
                <w:webHidden/>
                <w:sz w:val="23"/>
                <w:szCs w:val="23"/>
              </w:rPr>
              <w:fldChar w:fldCharType="end"/>
            </w:r>
          </w:hyperlink>
        </w:p>
        <w:p w14:paraId="1797DA42"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93" w:history="1">
            <w:r w:rsidRPr="00D1428E">
              <w:rPr>
                <w:rStyle w:val="Hyperlink"/>
                <w:rFonts w:ascii="Swis721 Th BT" w:hAnsi="Swis721 Th BT"/>
                <w:noProof/>
                <w:sz w:val="23"/>
                <w:szCs w:val="23"/>
              </w:rPr>
              <w:t>N-acetilcisteína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_Toc165537193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49</w:t>
            </w:r>
            <w:r w:rsidRPr="00D1428E">
              <w:rPr>
                <w:rFonts w:ascii="Swis721 Th BT" w:hAnsi="Swis721 Th BT"/>
                <w:noProof/>
                <w:webHidden/>
                <w:sz w:val="23"/>
                <w:szCs w:val="23"/>
              </w:rPr>
              <w:fldChar w:fldCharType="end"/>
            </w:r>
          </w:hyperlink>
        </w:p>
        <w:p w14:paraId="379CC854"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94"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_Toc165537194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50</w:t>
            </w:r>
            <w:r w:rsidRPr="00D1428E">
              <w:rPr>
                <w:rFonts w:ascii="Swis721 Th BT" w:hAnsi="Swis721 Th BT"/>
                <w:noProof/>
                <w:webHidden/>
                <w:sz w:val="23"/>
                <w:szCs w:val="23"/>
              </w:rPr>
              <w:fldChar w:fldCharType="end"/>
            </w:r>
          </w:hyperlink>
        </w:p>
        <w:p w14:paraId="14BE1AC1"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95" w:history="1">
            <w:r w:rsidRPr="00D1428E">
              <w:rPr>
                <w:rStyle w:val="Hyperlink"/>
                <w:rFonts w:ascii="Swis721 Th BT" w:hAnsi="Swis721 Th BT"/>
                <w:noProof/>
                <w:sz w:val="23"/>
                <w:szCs w:val="23"/>
              </w:rPr>
              <w:t>Acetil-L-Carnitina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_Toc165537195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51</w:t>
            </w:r>
            <w:r w:rsidRPr="00D1428E">
              <w:rPr>
                <w:rFonts w:ascii="Swis721 Th BT" w:hAnsi="Swis721 Th BT"/>
                <w:noProof/>
                <w:webHidden/>
                <w:sz w:val="23"/>
                <w:szCs w:val="23"/>
              </w:rPr>
              <w:fldChar w:fldCharType="end"/>
            </w:r>
          </w:hyperlink>
        </w:p>
        <w:p w14:paraId="5C152897"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96"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_Toc165537196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52</w:t>
            </w:r>
            <w:r w:rsidRPr="00D1428E">
              <w:rPr>
                <w:rFonts w:ascii="Swis721 Th BT" w:hAnsi="Swis721 Th BT"/>
                <w:noProof/>
                <w:webHidden/>
                <w:sz w:val="23"/>
                <w:szCs w:val="23"/>
              </w:rPr>
              <w:fldChar w:fldCharType="end"/>
            </w:r>
          </w:hyperlink>
        </w:p>
        <w:p w14:paraId="32C317D3"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97" w:history="1">
            <w:r w:rsidRPr="00D1428E">
              <w:rPr>
                <w:rStyle w:val="Hyperlink"/>
                <w:rFonts w:ascii="Swis721 Th BT" w:hAnsi="Swis721 Th BT"/>
                <w:noProof/>
                <w:sz w:val="23"/>
                <w:szCs w:val="23"/>
              </w:rPr>
              <w:t>Melatonina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_Toc165537197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53</w:t>
            </w:r>
            <w:r w:rsidRPr="00D1428E">
              <w:rPr>
                <w:rFonts w:ascii="Swis721 Th BT" w:hAnsi="Swis721 Th BT"/>
                <w:noProof/>
                <w:webHidden/>
                <w:sz w:val="23"/>
                <w:szCs w:val="23"/>
              </w:rPr>
              <w:fldChar w:fldCharType="end"/>
            </w:r>
          </w:hyperlink>
        </w:p>
        <w:p w14:paraId="0175D3DF"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98"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_Toc165537198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54</w:t>
            </w:r>
            <w:r w:rsidRPr="00D1428E">
              <w:rPr>
                <w:rFonts w:ascii="Swis721 Th BT" w:hAnsi="Swis721 Th BT"/>
                <w:noProof/>
                <w:webHidden/>
                <w:sz w:val="23"/>
                <w:szCs w:val="23"/>
              </w:rPr>
              <w:fldChar w:fldCharType="end"/>
            </w:r>
          </w:hyperlink>
        </w:p>
        <w:p w14:paraId="204DB9CD"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199" w:history="1">
            <w:r w:rsidRPr="00D1428E">
              <w:rPr>
                <w:rStyle w:val="Hyperlink"/>
                <w:rFonts w:ascii="Swis721 Th BT" w:hAnsi="Swis721 Th BT"/>
                <w:noProof/>
                <w:sz w:val="23"/>
                <w:szCs w:val="23"/>
              </w:rPr>
              <w:t>Probióticos</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_Toc165537199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55</w:t>
            </w:r>
            <w:r w:rsidRPr="00D1428E">
              <w:rPr>
                <w:rFonts w:ascii="Swis721 Th BT" w:hAnsi="Swis721 Th BT"/>
                <w:noProof/>
                <w:webHidden/>
                <w:sz w:val="23"/>
                <w:szCs w:val="23"/>
              </w:rPr>
              <w:fldChar w:fldCharType="end"/>
            </w:r>
          </w:hyperlink>
        </w:p>
        <w:p w14:paraId="60DDB242"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00"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_Toc165537200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56</w:t>
            </w:r>
            <w:r w:rsidRPr="00D1428E">
              <w:rPr>
                <w:rFonts w:ascii="Swis721 Th BT" w:hAnsi="Swis721 Th BT"/>
                <w:noProof/>
                <w:webHidden/>
                <w:sz w:val="23"/>
                <w:szCs w:val="23"/>
              </w:rPr>
              <w:fldChar w:fldCharType="end"/>
            </w:r>
          </w:hyperlink>
        </w:p>
        <w:p w14:paraId="340C6994"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01" w:history="1">
            <w:r w:rsidRPr="00D1428E">
              <w:rPr>
                <w:rStyle w:val="Hyperlink"/>
                <w:rFonts w:ascii="Swis721 Th BT" w:hAnsi="Swis721 Th BT"/>
                <w:noProof/>
                <w:sz w:val="23"/>
                <w:szCs w:val="23"/>
              </w:rPr>
              <w:t>Curcumina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_Toc165537201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57</w:t>
            </w:r>
            <w:r w:rsidRPr="00D1428E">
              <w:rPr>
                <w:rFonts w:ascii="Swis721 Th BT" w:hAnsi="Swis721 Th BT"/>
                <w:noProof/>
                <w:webHidden/>
                <w:sz w:val="23"/>
                <w:szCs w:val="23"/>
              </w:rPr>
              <w:fldChar w:fldCharType="end"/>
            </w:r>
          </w:hyperlink>
        </w:p>
        <w:p w14:paraId="5B3B1B98"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02"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_Toc165537202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58</w:t>
            </w:r>
            <w:r w:rsidRPr="00D1428E">
              <w:rPr>
                <w:rFonts w:ascii="Swis721 Th BT" w:hAnsi="Swis721 Th BT"/>
                <w:noProof/>
                <w:webHidden/>
                <w:sz w:val="23"/>
                <w:szCs w:val="23"/>
              </w:rPr>
              <w:fldChar w:fldCharType="end"/>
            </w:r>
          </w:hyperlink>
        </w:p>
        <w:p w14:paraId="059E8557"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03" w:history="1">
            <w:r w:rsidRPr="00D1428E">
              <w:rPr>
                <w:rStyle w:val="Hyperlink"/>
                <w:rFonts w:ascii="Swis721 Th BT" w:hAnsi="Swis721 Th BT"/>
                <w:i/>
                <w:noProof/>
                <w:sz w:val="23"/>
                <w:szCs w:val="23"/>
              </w:rPr>
              <w:t>Origanum majorana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_Toc165537203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59</w:t>
            </w:r>
            <w:r w:rsidRPr="00D1428E">
              <w:rPr>
                <w:rFonts w:ascii="Swis721 Th BT" w:hAnsi="Swis721 Th BT"/>
                <w:noProof/>
                <w:webHidden/>
                <w:sz w:val="23"/>
                <w:szCs w:val="23"/>
              </w:rPr>
              <w:fldChar w:fldCharType="end"/>
            </w:r>
          </w:hyperlink>
        </w:p>
        <w:p w14:paraId="2D6E1C65"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04"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_Toc165537204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60</w:t>
            </w:r>
            <w:r w:rsidRPr="00D1428E">
              <w:rPr>
                <w:rFonts w:ascii="Swis721 Th BT" w:hAnsi="Swis721 Th BT"/>
                <w:noProof/>
                <w:webHidden/>
                <w:sz w:val="23"/>
                <w:szCs w:val="23"/>
              </w:rPr>
              <w:fldChar w:fldCharType="end"/>
            </w:r>
          </w:hyperlink>
        </w:p>
        <w:p w14:paraId="74441499"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05" w:history="1">
            <w:r w:rsidRPr="00D1428E">
              <w:rPr>
                <w:rStyle w:val="Hyperlink"/>
                <w:rFonts w:ascii="Swis721 Th BT" w:hAnsi="Swis721 Th BT"/>
                <w:bCs/>
                <w:i/>
                <w:iCs/>
                <w:noProof/>
                <w:sz w:val="23"/>
                <w:szCs w:val="23"/>
              </w:rPr>
              <w:t>Green Coffee</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_Toc165537205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61</w:t>
            </w:r>
            <w:r w:rsidRPr="00D1428E">
              <w:rPr>
                <w:rFonts w:ascii="Swis721 Th BT" w:hAnsi="Swis721 Th BT"/>
                <w:noProof/>
                <w:webHidden/>
                <w:sz w:val="23"/>
                <w:szCs w:val="23"/>
              </w:rPr>
              <w:fldChar w:fldCharType="end"/>
            </w:r>
          </w:hyperlink>
        </w:p>
        <w:p w14:paraId="72D71D7A"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06"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_Toc165537206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62</w:t>
            </w:r>
            <w:r w:rsidRPr="00D1428E">
              <w:rPr>
                <w:rFonts w:ascii="Swis721 Th BT" w:hAnsi="Swis721 Th BT"/>
                <w:noProof/>
                <w:webHidden/>
                <w:sz w:val="23"/>
                <w:szCs w:val="23"/>
              </w:rPr>
              <w:fldChar w:fldCharType="end"/>
            </w:r>
          </w:hyperlink>
        </w:p>
        <w:p w14:paraId="4192C0BD"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07" w:history="1">
            <w:r w:rsidRPr="00D1428E">
              <w:rPr>
                <w:rStyle w:val="Hyperlink"/>
                <w:rFonts w:ascii="Swis721 Th BT" w:hAnsi="Swis721 Th BT"/>
                <w:bCs/>
                <w:iCs/>
                <w:noProof/>
                <w:sz w:val="23"/>
                <w:szCs w:val="23"/>
              </w:rPr>
              <w:t>Metformina e Pioglitazona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_Toc165537207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63</w:t>
            </w:r>
            <w:r w:rsidRPr="00D1428E">
              <w:rPr>
                <w:rFonts w:ascii="Swis721 Th BT" w:hAnsi="Swis721 Th BT"/>
                <w:noProof/>
                <w:webHidden/>
                <w:sz w:val="23"/>
                <w:szCs w:val="23"/>
              </w:rPr>
              <w:fldChar w:fldCharType="end"/>
            </w:r>
          </w:hyperlink>
        </w:p>
        <w:p w14:paraId="35F8F065"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08"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_Toc165537208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64</w:t>
            </w:r>
            <w:r w:rsidRPr="00D1428E">
              <w:rPr>
                <w:rFonts w:ascii="Swis721 Th BT" w:hAnsi="Swis721 Th BT"/>
                <w:noProof/>
                <w:webHidden/>
                <w:sz w:val="23"/>
                <w:szCs w:val="23"/>
              </w:rPr>
              <w:fldChar w:fldCharType="end"/>
            </w:r>
          </w:hyperlink>
        </w:p>
        <w:p w14:paraId="2A2B3573"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09" w:history="1">
            <w:r w:rsidRPr="00D1428E">
              <w:rPr>
                <w:rStyle w:val="Hyperlink"/>
                <w:rFonts w:ascii="Swis721 Th BT" w:hAnsi="Swis721 Th BT"/>
                <w:bCs/>
                <w:iCs/>
                <w:noProof/>
                <w:sz w:val="23"/>
                <w:szCs w:val="23"/>
              </w:rPr>
              <w:t>Sertralina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_Toc165537209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65</w:t>
            </w:r>
            <w:r w:rsidRPr="00D1428E">
              <w:rPr>
                <w:rFonts w:ascii="Swis721 Th BT" w:hAnsi="Swis721 Th BT"/>
                <w:noProof/>
                <w:webHidden/>
                <w:sz w:val="23"/>
                <w:szCs w:val="23"/>
              </w:rPr>
              <w:fldChar w:fldCharType="end"/>
            </w:r>
          </w:hyperlink>
        </w:p>
        <w:p w14:paraId="56AE3FB0"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10"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_Toc165537210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66</w:t>
            </w:r>
            <w:r w:rsidRPr="00D1428E">
              <w:rPr>
                <w:rFonts w:ascii="Swis721 Th BT" w:hAnsi="Swis721 Th BT"/>
                <w:noProof/>
                <w:webHidden/>
                <w:sz w:val="23"/>
                <w:szCs w:val="23"/>
              </w:rPr>
              <w:fldChar w:fldCharType="end"/>
            </w:r>
          </w:hyperlink>
        </w:p>
        <w:p w14:paraId="75CE24A4" w14:textId="47D0F11D"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11" w:history="1">
            <w:r w:rsidRPr="00D1428E">
              <w:rPr>
                <w:rStyle w:val="Hyperlink"/>
                <w:rFonts w:ascii="Swis721 Th BT" w:hAnsi="Swis721 Th BT"/>
                <w:b/>
                <w:noProof/>
                <w:sz w:val="23"/>
                <w:szCs w:val="23"/>
              </w:rPr>
              <w:t>ENDOMETRIOSE</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_Toc165537211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67</w:t>
            </w:r>
            <w:r w:rsidRPr="00D1428E">
              <w:rPr>
                <w:rFonts w:ascii="Swis721 Th BT" w:hAnsi="Swis721 Th BT"/>
                <w:noProof/>
                <w:webHidden/>
                <w:sz w:val="23"/>
                <w:szCs w:val="23"/>
              </w:rPr>
              <w:fldChar w:fldCharType="end"/>
            </w:r>
          </w:hyperlink>
        </w:p>
        <w:p w14:paraId="0060A264"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12" w:history="1">
            <w:r w:rsidRPr="00D1428E">
              <w:rPr>
                <w:rStyle w:val="Hyperlink"/>
                <w:rFonts w:ascii="Swis721 Th BT" w:hAnsi="Swis721 Th BT"/>
                <w:bCs/>
                <w:iCs/>
                <w:noProof/>
                <w:sz w:val="23"/>
                <w:szCs w:val="23"/>
              </w:rPr>
              <w:t>Vitamina C e E</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_Toc165537212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68</w:t>
            </w:r>
            <w:r w:rsidRPr="00D1428E">
              <w:rPr>
                <w:rFonts w:ascii="Swis721 Th BT" w:hAnsi="Swis721 Th BT"/>
                <w:noProof/>
                <w:webHidden/>
                <w:sz w:val="23"/>
                <w:szCs w:val="23"/>
              </w:rPr>
              <w:fldChar w:fldCharType="end"/>
            </w:r>
          </w:hyperlink>
        </w:p>
        <w:p w14:paraId="16427EB8"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13"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_Toc165537213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69</w:t>
            </w:r>
            <w:r w:rsidRPr="00D1428E">
              <w:rPr>
                <w:rFonts w:ascii="Swis721 Th BT" w:hAnsi="Swis721 Th BT"/>
                <w:noProof/>
                <w:webHidden/>
                <w:sz w:val="23"/>
                <w:szCs w:val="23"/>
              </w:rPr>
              <w:fldChar w:fldCharType="end"/>
            </w:r>
          </w:hyperlink>
        </w:p>
        <w:p w14:paraId="100408A7"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14" w:history="1">
            <w:r w:rsidRPr="00D1428E">
              <w:rPr>
                <w:rStyle w:val="Hyperlink"/>
                <w:rFonts w:ascii="Swis721 Th BT" w:hAnsi="Swis721 Th BT"/>
                <w:bCs/>
                <w:iCs/>
                <w:noProof/>
                <w:sz w:val="23"/>
                <w:szCs w:val="23"/>
              </w:rPr>
              <w:t>Vitamina D</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_Toc165537214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70</w:t>
            </w:r>
            <w:r w:rsidRPr="00D1428E">
              <w:rPr>
                <w:rFonts w:ascii="Swis721 Th BT" w:hAnsi="Swis721 Th BT"/>
                <w:noProof/>
                <w:webHidden/>
                <w:sz w:val="23"/>
                <w:szCs w:val="23"/>
              </w:rPr>
              <w:fldChar w:fldCharType="end"/>
            </w:r>
          </w:hyperlink>
        </w:p>
        <w:p w14:paraId="05CCAC2B"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15"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_Toc165537215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71</w:t>
            </w:r>
            <w:r w:rsidRPr="00D1428E">
              <w:rPr>
                <w:rFonts w:ascii="Swis721 Th BT" w:hAnsi="Swis721 Th BT"/>
                <w:noProof/>
                <w:webHidden/>
                <w:sz w:val="23"/>
                <w:szCs w:val="23"/>
              </w:rPr>
              <w:fldChar w:fldCharType="end"/>
            </w:r>
          </w:hyperlink>
        </w:p>
        <w:p w14:paraId="17F5ADD2"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16" w:history="1">
            <w:r w:rsidRPr="00D1428E">
              <w:rPr>
                <w:rStyle w:val="Hyperlink"/>
                <w:rFonts w:ascii="Swis721 Th BT" w:hAnsi="Swis721 Th BT"/>
                <w:bCs/>
                <w:iCs/>
                <w:noProof/>
                <w:sz w:val="23"/>
                <w:szCs w:val="23"/>
              </w:rPr>
              <w:t>N-Acetilcisteína, Ácido Alfa-Lipóico, Zinco e Bromelina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_Toc165537216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72</w:t>
            </w:r>
            <w:r w:rsidRPr="00D1428E">
              <w:rPr>
                <w:rFonts w:ascii="Swis721 Th BT" w:hAnsi="Swis721 Th BT"/>
                <w:noProof/>
                <w:webHidden/>
                <w:sz w:val="23"/>
                <w:szCs w:val="23"/>
              </w:rPr>
              <w:fldChar w:fldCharType="end"/>
            </w:r>
          </w:hyperlink>
        </w:p>
        <w:p w14:paraId="4719FFCD"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17"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_Toc165537217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73</w:t>
            </w:r>
            <w:r w:rsidRPr="00D1428E">
              <w:rPr>
                <w:rFonts w:ascii="Swis721 Th BT" w:hAnsi="Swis721 Th BT"/>
                <w:noProof/>
                <w:webHidden/>
                <w:sz w:val="23"/>
                <w:szCs w:val="23"/>
              </w:rPr>
              <w:fldChar w:fldCharType="end"/>
            </w:r>
          </w:hyperlink>
        </w:p>
        <w:p w14:paraId="4B773571"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18" w:history="1">
            <w:r w:rsidRPr="00D1428E">
              <w:rPr>
                <w:rStyle w:val="Hyperlink"/>
                <w:rFonts w:ascii="Swis721 Th BT" w:hAnsi="Swis721 Th BT"/>
                <w:noProof/>
                <w:sz w:val="23"/>
                <w:szCs w:val="23"/>
              </w:rPr>
              <w:t>Miodesin</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_Toc165537218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74</w:t>
            </w:r>
            <w:r w:rsidRPr="00D1428E">
              <w:rPr>
                <w:rFonts w:ascii="Swis721 Th BT" w:hAnsi="Swis721 Th BT"/>
                <w:noProof/>
                <w:webHidden/>
                <w:sz w:val="23"/>
                <w:szCs w:val="23"/>
              </w:rPr>
              <w:fldChar w:fldCharType="end"/>
            </w:r>
          </w:hyperlink>
        </w:p>
        <w:p w14:paraId="374A1787"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19"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_Toc165537219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75</w:t>
            </w:r>
            <w:r w:rsidRPr="00D1428E">
              <w:rPr>
                <w:rFonts w:ascii="Swis721 Th BT" w:hAnsi="Swis721 Th BT"/>
                <w:noProof/>
                <w:webHidden/>
                <w:sz w:val="23"/>
                <w:szCs w:val="23"/>
              </w:rPr>
              <w:fldChar w:fldCharType="end"/>
            </w:r>
          </w:hyperlink>
        </w:p>
        <w:p w14:paraId="236EECFE" w14:textId="789F2135"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20" w:history="1">
            <w:r w:rsidRPr="00D1428E">
              <w:rPr>
                <w:rStyle w:val="Hyperlink"/>
                <w:rFonts w:ascii="Swis721 Th BT" w:hAnsi="Swis721 Th BT"/>
                <w:b/>
                <w:noProof/>
                <w:sz w:val="23"/>
                <w:szCs w:val="23"/>
              </w:rPr>
              <w:t>MENOPAUSA</w:t>
            </w:r>
          </w:hyperlink>
          <w:r w:rsidRPr="00D1428E">
            <w:rPr>
              <w:rFonts w:ascii="Swis721 Th BT" w:eastAsiaTheme="minorEastAsia" w:hAnsi="Swis721 Th BT"/>
              <w:b/>
              <w:noProof/>
              <w:sz w:val="23"/>
              <w:szCs w:val="23"/>
              <w:lang w:eastAsia="pt-BR"/>
            </w:rPr>
            <w:t xml:space="preserve"> </w:t>
          </w:r>
          <w:hyperlink w:anchor="_Toc165537221" w:history="1">
            <w:r w:rsidRPr="00D1428E">
              <w:rPr>
                <w:rStyle w:val="Hyperlink"/>
                <w:rFonts w:ascii="Swis721 Th BT" w:hAnsi="Swis721 Th BT"/>
                <w:b/>
                <w:noProof/>
                <w:sz w:val="23"/>
                <w:szCs w:val="23"/>
              </w:rPr>
              <w:t>(PERFIL METABÓLICO, OSTEOPENIA E SINTOMAS DO CLIMATÉRIO)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_Toc165537221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76</w:t>
            </w:r>
            <w:r w:rsidRPr="00D1428E">
              <w:rPr>
                <w:rFonts w:ascii="Swis721 Th BT" w:hAnsi="Swis721 Th BT"/>
                <w:noProof/>
                <w:webHidden/>
                <w:sz w:val="23"/>
                <w:szCs w:val="23"/>
              </w:rPr>
              <w:fldChar w:fldCharType="end"/>
            </w:r>
          </w:hyperlink>
        </w:p>
        <w:p w14:paraId="718691F4"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22" w:history="1">
            <w:r w:rsidRPr="00D1428E">
              <w:rPr>
                <w:rStyle w:val="Hyperlink"/>
                <w:rFonts w:ascii="Swis721 Th BT" w:hAnsi="Swis721 Th BT"/>
                <w:bCs/>
                <w:iCs/>
                <w:noProof/>
                <w:sz w:val="23"/>
                <w:szCs w:val="23"/>
              </w:rPr>
              <w:t>Curcumina e Vitamina E</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_Toc165537222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77</w:t>
            </w:r>
            <w:r w:rsidRPr="00D1428E">
              <w:rPr>
                <w:rFonts w:ascii="Swis721 Th BT" w:hAnsi="Swis721 Th BT"/>
                <w:noProof/>
                <w:webHidden/>
                <w:sz w:val="23"/>
                <w:szCs w:val="23"/>
              </w:rPr>
              <w:fldChar w:fldCharType="end"/>
            </w:r>
          </w:hyperlink>
        </w:p>
        <w:p w14:paraId="529A3AFF"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23"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_Toc165537223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78</w:t>
            </w:r>
            <w:r w:rsidRPr="00D1428E">
              <w:rPr>
                <w:rFonts w:ascii="Swis721 Th BT" w:hAnsi="Swis721 Th BT"/>
                <w:noProof/>
                <w:webHidden/>
                <w:sz w:val="23"/>
                <w:szCs w:val="23"/>
              </w:rPr>
              <w:fldChar w:fldCharType="end"/>
            </w:r>
          </w:hyperlink>
        </w:p>
        <w:p w14:paraId="01D61E22"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24" w:history="1">
            <w:r w:rsidRPr="00D1428E">
              <w:rPr>
                <w:rStyle w:val="Hyperlink"/>
                <w:rFonts w:ascii="Swis721 Th BT" w:hAnsi="Swis721 Th BT"/>
                <w:bCs/>
                <w:iCs/>
                <w:noProof/>
                <w:sz w:val="23"/>
                <w:szCs w:val="23"/>
              </w:rPr>
              <w:t>Zinco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_Toc165537224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79</w:t>
            </w:r>
            <w:r w:rsidRPr="00D1428E">
              <w:rPr>
                <w:rFonts w:ascii="Swis721 Th BT" w:hAnsi="Swis721 Th BT"/>
                <w:noProof/>
                <w:webHidden/>
                <w:sz w:val="23"/>
                <w:szCs w:val="23"/>
              </w:rPr>
              <w:fldChar w:fldCharType="end"/>
            </w:r>
          </w:hyperlink>
        </w:p>
        <w:p w14:paraId="0E4EBB7F"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25"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_Toc165537225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80</w:t>
            </w:r>
            <w:r w:rsidRPr="00D1428E">
              <w:rPr>
                <w:rFonts w:ascii="Swis721 Th BT" w:hAnsi="Swis721 Th BT"/>
                <w:noProof/>
                <w:webHidden/>
                <w:sz w:val="23"/>
                <w:szCs w:val="23"/>
              </w:rPr>
              <w:fldChar w:fldCharType="end"/>
            </w:r>
          </w:hyperlink>
        </w:p>
        <w:p w14:paraId="7D7BB301"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26" w:history="1">
            <w:r w:rsidRPr="00D1428E">
              <w:rPr>
                <w:rStyle w:val="Hyperlink"/>
                <w:rFonts w:ascii="Swis721 Th BT" w:hAnsi="Swis721 Th BT"/>
                <w:bCs/>
                <w:iCs/>
                <w:noProof/>
                <w:sz w:val="23"/>
                <w:szCs w:val="23"/>
              </w:rPr>
              <w:t>Cálcio e Vitamina D3</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_Toc165537226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81</w:t>
            </w:r>
            <w:r w:rsidRPr="00D1428E">
              <w:rPr>
                <w:rFonts w:ascii="Swis721 Th BT" w:hAnsi="Swis721 Th BT"/>
                <w:noProof/>
                <w:webHidden/>
                <w:sz w:val="23"/>
                <w:szCs w:val="23"/>
              </w:rPr>
              <w:fldChar w:fldCharType="end"/>
            </w:r>
          </w:hyperlink>
        </w:p>
        <w:p w14:paraId="0D8F233B"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27"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_Toc165537227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82</w:t>
            </w:r>
            <w:r w:rsidRPr="00D1428E">
              <w:rPr>
                <w:rFonts w:ascii="Swis721 Th BT" w:hAnsi="Swis721 Th BT"/>
                <w:noProof/>
                <w:webHidden/>
                <w:sz w:val="23"/>
                <w:szCs w:val="23"/>
              </w:rPr>
              <w:fldChar w:fldCharType="end"/>
            </w:r>
          </w:hyperlink>
        </w:p>
        <w:p w14:paraId="47473745"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28" w:history="1">
            <w:r w:rsidRPr="00D1428E">
              <w:rPr>
                <w:rStyle w:val="Hyperlink"/>
                <w:rFonts w:ascii="Swis721 Th BT" w:hAnsi="Swis721 Th BT"/>
                <w:noProof/>
                <w:sz w:val="23"/>
                <w:szCs w:val="23"/>
              </w:rPr>
              <w:t>Óleo de Semente de Abóbora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_Toc165537228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83</w:t>
            </w:r>
            <w:r w:rsidRPr="00D1428E">
              <w:rPr>
                <w:rFonts w:ascii="Swis721 Th BT" w:hAnsi="Swis721 Th BT"/>
                <w:noProof/>
                <w:webHidden/>
                <w:sz w:val="23"/>
                <w:szCs w:val="23"/>
              </w:rPr>
              <w:fldChar w:fldCharType="end"/>
            </w:r>
          </w:hyperlink>
        </w:p>
        <w:p w14:paraId="12202BAF"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29"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_Toc165537229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84</w:t>
            </w:r>
            <w:r w:rsidRPr="00D1428E">
              <w:rPr>
                <w:rFonts w:ascii="Swis721 Th BT" w:hAnsi="Swis721 Th BT"/>
                <w:noProof/>
                <w:webHidden/>
                <w:sz w:val="23"/>
                <w:szCs w:val="23"/>
              </w:rPr>
              <w:fldChar w:fldCharType="end"/>
            </w:r>
          </w:hyperlink>
        </w:p>
        <w:p w14:paraId="77389557"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30" w:history="1">
            <w:r w:rsidRPr="00D1428E">
              <w:rPr>
                <w:rStyle w:val="Hyperlink"/>
                <w:rFonts w:ascii="Swis721 Th BT" w:hAnsi="Swis721 Th BT"/>
                <w:i/>
                <w:iCs/>
                <w:noProof/>
                <w:sz w:val="23"/>
                <w:szCs w:val="23"/>
              </w:rPr>
              <w:t>Cimicifuga racemosa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_Toc165537230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85</w:t>
            </w:r>
            <w:r w:rsidRPr="00D1428E">
              <w:rPr>
                <w:rFonts w:ascii="Swis721 Th BT" w:hAnsi="Swis721 Th BT"/>
                <w:noProof/>
                <w:webHidden/>
                <w:sz w:val="23"/>
                <w:szCs w:val="23"/>
              </w:rPr>
              <w:fldChar w:fldCharType="end"/>
            </w:r>
          </w:hyperlink>
        </w:p>
        <w:p w14:paraId="50C6105B"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31"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_Toc165537231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86</w:t>
            </w:r>
            <w:r w:rsidRPr="00D1428E">
              <w:rPr>
                <w:rFonts w:ascii="Swis721 Th BT" w:hAnsi="Swis721 Th BT"/>
                <w:noProof/>
                <w:webHidden/>
                <w:sz w:val="23"/>
                <w:szCs w:val="23"/>
              </w:rPr>
              <w:fldChar w:fldCharType="end"/>
            </w:r>
          </w:hyperlink>
        </w:p>
        <w:p w14:paraId="596E66AC"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32" w:history="1">
            <w:r w:rsidRPr="00D1428E">
              <w:rPr>
                <w:rStyle w:val="Hyperlink"/>
                <w:rFonts w:ascii="Swis721 Th BT" w:hAnsi="Swis721 Th BT"/>
                <w:i/>
                <w:iCs/>
                <w:noProof/>
                <w:sz w:val="23"/>
                <w:szCs w:val="23"/>
              </w:rPr>
              <w:t>Nigella sativa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_Toc165537232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87</w:t>
            </w:r>
            <w:r w:rsidRPr="00D1428E">
              <w:rPr>
                <w:rFonts w:ascii="Swis721 Th BT" w:hAnsi="Swis721 Th BT"/>
                <w:noProof/>
                <w:webHidden/>
                <w:sz w:val="23"/>
                <w:szCs w:val="23"/>
              </w:rPr>
              <w:fldChar w:fldCharType="end"/>
            </w:r>
          </w:hyperlink>
        </w:p>
        <w:p w14:paraId="7B65B8BC"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33"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_Toc165537233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88</w:t>
            </w:r>
            <w:r w:rsidRPr="00D1428E">
              <w:rPr>
                <w:rFonts w:ascii="Swis721 Th BT" w:hAnsi="Swis721 Th BT"/>
                <w:noProof/>
                <w:webHidden/>
                <w:sz w:val="23"/>
                <w:szCs w:val="23"/>
              </w:rPr>
              <w:fldChar w:fldCharType="end"/>
            </w:r>
          </w:hyperlink>
        </w:p>
        <w:p w14:paraId="086D05DA"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34" w:history="1">
            <w:r w:rsidRPr="00D1428E">
              <w:rPr>
                <w:rStyle w:val="Hyperlink"/>
                <w:rFonts w:ascii="Swis721 Th BT" w:hAnsi="Swis721 Th BT"/>
                <w:bCs/>
                <w:i/>
                <w:iCs/>
                <w:noProof/>
                <w:sz w:val="23"/>
                <w:szCs w:val="23"/>
              </w:rPr>
              <w:t>Black Rice</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_Toc165537234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89</w:t>
            </w:r>
            <w:r w:rsidRPr="00D1428E">
              <w:rPr>
                <w:rFonts w:ascii="Swis721 Th BT" w:hAnsi="Swis721 Th BT"/>
                <w:noProof/>
                <w:webHidden/>
                <w:sz w:val="23"/>
                <w:szCs w:val="23"/>
              </w:rPr>
              <w:fldChar w:fldCharType="end"/>
            </w:r>
          </w:hyperlink>
        </w:p>
        <w:p w14:paraId="598631EB"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35"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_Toc165537235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90</w:t>
            </w:r>
            <w:r w:rsidRPr="00D1428E">
              <w:rPr>
                <w:rFonts w:ascii="Swis721 Th BT" w:hAnsi="Swis721 Th BT"/>
                <w:noProof/>
                <w:webHidden/>
                <w:sz w:val="23"/>
                <w:szCs w:val="23"/>
              </w:rPr>
              <w:fldChar w:fldCharType="end"/>
            </w:r>
          </w:hyperlink>
        </w:p>
        <w:p w14:paraId="0C35E748"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36" w:history="1">
            <w:r w:rsidRPr="00D1428E">
              <w:rPr>
                <w:rStyle w:val="Hyperlink"/>
                <w:rFonts w:ascii="Swis721 Th BT" w:hAnsi="Swis721 Th BT"/>
                <w:bCs/>
                <w:i/>
                <w:iCs/>
                <w:noProof/>
                <w:sz w:val="23"/>
                <w:szCs w:val="23"/>
              </w:rPr>
              <w:t>Green Tea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_Toc165537236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91</w:t>
            </w:r>
            <w:r w:rsidRPr="00D1428E">
              <w:rPr>
                <w:rFonts w:ascii="Swis721 Th BT" w:hAnsi="Swis721 Th BT"/>
                <w:noProof/>
                <w:webHidden/>
                <w:sz w:val="23"/>
                <w:szCs w:val="23"/>
              </w:rPr>
              <w:fldChar w:fldCharType="end"/>
            </w:r>
          </w:hyperlink>
        </w:p>
        <w:p w14:paraId="0AF65FA5"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37"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_Toc165537237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92</w:t>
            </w:r>
            <w:r w:rsidRPr="00D1428E">
              <w:rPr>
                <w:rFonts w:ascii="Swis721 Th BT" w:hAnsi="Swis721 Th BT"/>
                <w:noProof/>
                <w:webHidden/>
                <w:sz w:val="23"/>
                <w:szCs w:val="23"/>
              </w:rPr>
              <w:fldChar w:fldCharType="end"/>
            </w:r>
          </w:hyperlink>
        </w:p>
        <w:p w14:paraId="28BFF00B"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38" w:history="1">
            <w:r w:rsidRPr="00D1428E">
              <w:rPr>
                <w:rStyle w:val="Hyperlink"/>
                <w:rFonts w:ascii="Swis721 Th BT" w:hAnsi="Swis721 Th BT"/>
                <w:bCs/>
                <w:iCs/>
                <w:noProof/>
                <w:sz w:val="23"/>
                <w:szCs w:val="23"/>
              </w:rPr>
              <w:t>Vitamina D3</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_Toc165537238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93</w:t>
            </w:r>
            <w:r w:rsidRPr="00D1428E">
              <w:rPr>
                <w:rFonts w:ascii="Swis721 Th BT" w:hAnsi="Swis721 Th BT"/>
                <w:noProof/>
                <w:webHidden/>
                <w:sz w:val="23"/>
                <w:szCs w:val="23"/>
              </w:rPr>
              <w:fldChar w:fldCharType="end"/>
            </w:r>
          </w:hyperlink>
        </w:p>
        <w:p w14:paraId="6668AB30"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39"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_Toc165537239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94</w:t>
            </w:r>
            <w:r w:rsidRPr="00D1428E">
              <w:rPr>
                <w:rFonts w:ascii="Swis721 Th BT" w:hAnsi="Swis721 Th BT"/>
                <w:noProof/>
                <w:webHidden/>
                <w:sz w:val="23"/>
                <w:szCs w:val="23"/>
              </w:rPr>
              <w:fldChar w:fldCharType="end"/>
            </w:r>
          </w:hyperlink>
        </w:p>
        <w:p w14:paraId="587C3E6E"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40" w:history="1">
            <w:r w:rsidRPr="00D1428E">
              <w:rPr>
                <w:rStyle w:val="Hyperlink"/>
                <w:rFonts w:ascii="Swis721 Th BT" w:hAnsi="Swis721 Th BT"/>
                <w:bCs/>
                <w:iCs/>
                <w:noProof/>
                <w:sz w:val="23"/>
                <w:szCs w:val="23"/>
              </w:rPr>
              <w:t>Vitamina D3, Whey Protein e Leucina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_Toc165537240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95</w:t>
            </w:r>
            <w:r w:rsidRPr="00D1428E">
              <w:rPr>
                <w:rFonts w:ascii="Swis721 Th BT" w:hAnsi="Swis721 Th BT"/>
                <w:noProof/>
                <w:webHidden/>
                <w:sz w:val="23"/>
                <w:szCs w:val="23"/>
              </w:rPr>
              <w:fldChar w:fldCharType="end"/>
            </w:r>
          </w:hyperlink>
        </w:p>
        <w:p w14:paraId="3173F4AD"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41"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_Toc165537241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96</w:t>
            </w:r>
            <w:r w:rsidRPr="00D1428E">
              <w:rPr>
                <w:rFonts w:ascii="Swis721 Th BT" w:hAnsi="Swis721 Th BT"/>
                <w:noProof/>
                <w:webHidden/>
                <w:sz w:val="23"/>
                <w:szCs w:val="23"/>
              </w:rPr>
              <w:fldChar w:fldCharType="end"/>
            </w:r>
          </w:hyperlink>
        </w:p>
        <w:p w14:paraId="487E6E35"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42" w:history="1">
            <w:r w:rsidRPr="00D1428E">
              <w:rPr>
                <w:rStyle w:val="Hyperlink"/>
                <w:rFonts w:ascii="Swis721 Th BT" w:hAnsi="Swis721 Th BT"/>
                <w:bCs/>
                <w:iCs/>
                <w:noProof/>
                <w:sz w:val="23"/>
                <w:szCs w:val="23"/>
              </w:rPr>
              <w:t>Vitamina D3, Cálcio e Colágeno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_Toc165537242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97</w:t>
            </w:r>
            <w:r w:rsidRPr="00D1428E">
              <w:rPr>
                <w:rFonts w:ascii="Swis721 Th BT" w:hAnsi="Swis721 Th BT"/>
                <w:noProof/>
                <w:webHidden/>
                <w:sz w:val="23"/>
                <w:szCs w:val="23"/>
              </w:rPr>
              <w:fldChar w:fldCharType="end"/>
            </w:r>
          </w:hyperlink>
        </w:p>
        <w:p w14:paraId="3556CD88"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43"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_Toc165537243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98</w:t>
            </w:r>
            <w:r w:rsidRPr="00D1428E">
              <w:rPr>
                <w:rFonts w:ascii="Swis721 Th BT" w:hAnsi="Swis721 Th BT"/>
                <w:noProof/>
                <w:webHidden/>
                <w:sz w:val="23"/>
                <w:szCs w:val="23"/>
              </w:rPr>
              <w:fldChar w:fldCharType="end"/>
            </w:r>
          </w:hyperlink>
        </w:p>
        <w:p w14:paraId="5E17B1EC"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44" w:history="1">
            <w:r w:rsidRPr="00D1428E">
              <w:rPr>
                <w:rStyle w:val="Hyperlink"/>
                <w:rFonts w:ascii="Swis721 Th BT" w:hAnsi="Swis721 Th BT"/>
                <w:bCs/>
                <w:iCs/>
                <w:noProof/>
                <w:sz w:val="23"/>
                <w:szCs w:val="23"/>
              </w:rPr>
              <w:t>Peptídeos de Colágeno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_Toc165537244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99</w:t>
            </w:r>
            <w:r w:rsidRPr="00D1428E">
              <w:rPr>
                <w:rFonts w:ascii="Swis721 Th BT" w:hAnsi="Swis721 Th BT"/>
                <w:noProof/>
                <w:webHidden/>
                <w:sz w:val="23"/>
                <w:szCs w:val="23"/>
              </w:rPr>
              <w:fldChar w:fldCharType="end"/>
            </w:r>
          </w:hyperlink>
        </w:p>
        <w:p w14:paraId="4E118A91"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45"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_Toc165537245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100</w:t>
            </w:r>
            <w:r w:rsidRPr="00D1428E">
              <w:rPr>
                <w:rFonts w:ascii="Swis721 Th BT" w:hAnsi="Swis721 Th BT"/>
                <w:noProof/>
                <w:webHidden/>
                <w:sz w:val="23"/>
                <w:szCs w:val="23"/>
              </w:rPr>
              <w:fldChar w:fldCharType="end"/>
            </w:r>
          </w:hyperlink>
        </w:p>
        <w:p w14:paraId="11FDC2BB"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46" w:history="1">
            <w:r w:rsidRPr="00D1428E">
              <w:rPr>
                <w:rStyle w:val="Hyperlink"/>
                <w:rFonts w:ascii="Swis721 Th BT" w:hAnsi="Swis721 Th BT"/>
                <w:bCs/>
                <w:iCs/>
                <w:noProof/>
                <w:sz w:val="23"/>
                <w:szCs w:val="23"/>
              </w:rPr>
              <w:t>Vitamina K2</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_Toc165537246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101</w:t>
            </w:r>
            <w:r w:rsidRPr="00D1428E">
              <w:rPr>
                <w:rFonts w:ascii="Swis721 Th BT" w:hAnsi="Swis721 Th BT"/>
                <w:noProof/>
                <w:webHidden/>
                <w:sz w:val="23"/>
                <w:szCs w:val="23"/>
              </w:rPr>
              <w:fldChar w:fldCharType="end"/>
            </w:r>
          </w:hyperlink>
        </w:p>
        <w:p w14:paraId="4F24428B"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47"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_Toc165537247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102</w:t>
            </w:r>
            <w:r w:rsidRPr="00D1428E">
              <w:rPr>
                <w:rFonts w:ascii="Swis721 Th BT" w:hAnsi="Swis721 Th BT"/>
                <w:noProof/>
                <w:webHidden/>
                <w:sz w:val="23"/>
                <w:szCs w:val="23"/>
              </w:rPr>
              <w:fldChar w:fldCharType="end"/>
            </w:r>
          </w:hyperlink>
        </w:p>
        <w:p w14:paraId="3D19BAB1"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48" w:history="1">
            <w:r w:rsidRPr="00D1428E">
              <w:rPr>
                <w:rStyle w:val="Hyperlink"/>
                <w:rFonts w:ascii="Swis721 Th BT" w:hAnsi="Swis721 Th BT"/>
                <w:bCs/>
                <w:iCs/>
                <w:noProof/>
                <w:sz w:val="23"/>
                <w:szCs w:val="23"/>
              </w:rPr>
              <w:t>Licopeno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_Toc165537248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103</w:t>
            </w:r>
            <w:r w:rsidRPr="00D1428E">
              <w:rPr>
                <w:rFonts w:ascii="Swis721 Th BT" w:hAnsi="Swis721 Th BT"/>
                <w:noProof/>
                <w:webHidden/>
                <w:sz w:val="23"/>
                <w:szCs w:val="23"/>
              </w:rPr>
              <w:fldChar w:fldCharType="end"/>
            </w:r>
          </w:hyperlink>
        </w:p>
        <w:p w14:paraId="1F1BFD3B"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49"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_Toc165537249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104</w:t>
            </w:r>
            <w:r w:rsidRPr="00D1428E">
              <w:rPr>
                <w:rFonts w:ascii="Swis721 Th BT" w:hAnsi="Swis721 Th BT"/>
                <w:noProof/>
                <w:webHidden/>
                <w:sz w:val="23"/>
                <w:szCs w:val="23"/>
              </w:rPr>
              <w:fldChar w:fldCharType="end"/>
            </w:r>
          </w:hyperlink>
        </w:p>
        <w:p w14:paraId="0FCE8D9D"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50" w:history="1">
            <w:r w:rsidRPr="00D1428E">
              <w:rPr>
                <w:rStyle w:val="Hyperlink"/>
                <w:rFonts w:ascii="Swis721 Th BT" w:hAnsi="Swis721 Th BT"/>
                <w:bCs/>
                <w:iCs/>
                <w:noProof/>
                <w:sz w:val="23"/>
                <w:szCs w:val="23"/>
              </w:rPr>
              <w:t>Tocotrienóis</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_Toc165537250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105</w:t>
            </w:r>
            <w:r w:rsidRPr="00D1428E">
              <w:rPr>
                <w:rFonts w:ascii="Swis721 Th BT" w:hAnsi="Swis721 Th BT"/>
                <w:noProof/>
                <w:webHidden/>
                <w:sz w:val="23"/>
                <w:szCs w:val="23"/>
              </w:rPr>
              <w:fldChar w:fldCharType="end"/>
            </w:r>
          </w:hyperlink>
        </w:p>
        <w:p w14:paraId="021B76F6"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51"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_Toc165537251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106</w:t>
            </w:r>
            <w:r w:rsidRPr="00D1428E">
              <w:rPr>
                <w:rFonts w:ascii="Swis721 Th BT" w:hAnsi="Swis721 Th BT"/>
                <w:noProof/>
                <w:webHidden/>
                <w:sz w:val="23"/>
                <w:szCs w:val="23"/>
              </w:rPr>
              <w:fldChar w:fldCharType="end"/>
            </w:r>
          </w:hyperlink>
        </w:p>
        <w:p w14:paraId="72AF744F"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52" w:history="1">
            <w:r w:rsidRPr="00D1428E">
              <w:rPr>
                <w:rStyle w:val="Hyperlink"/>
                <w:rFonts w:ascii="Swis721 Th BT" w:hAnsi="Swis721 Th BT"/>
                <w:bCs/>
                <w:iCs/>
                <w:noProof/>
                <w:sz w:val="23"/>
                <w:szCs w:val="23"/>
              </w:rPr>
              <w:t>Resveratrol</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_Toc165537252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107</w:t>
            </w:r>
            <w:r w:rsidRPr="00D1428E">
              <w:rPr>
                <w:rFonts w:ascii="Swis721 Th BT" w:hAnsi="Swis721 Th BT"/>
                <w:noProof/>
                <w:webHidden/>
                <w:sz w:val="23"/>
                <w:szCs w:val="23"/>
              </w:rPr>
              <w:fldChar w:fldCharType="end"/>
            </w:r>
          </w:hyperlink>
        </w:p>
        <w:p w14:paraId="500DFCB4"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53"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_Toc165537253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108</w:t>
            </w:r>
            <w:r w:rsidRPr="00D1428E">
              <w:rPr>
                <w:rFonts w:ascii="Swis721 Th BT" w:hAnsi="Swis721 Th BT"/>
                <w:noProof/>
                <w:webHidden/>
                <w:sz w:val="23"/>
                <w:szCs w:val="23"/>
              </w:rPr>
              <w:fldChar w:fldCharType="end"/>
            </w:r>
          </w:hyperlink>
        </w:p>
        <w:p w14:paraId="43A4557D"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54" w:history="1">
            <w:r w:rsidRPr="00D1428E">
              <w:rPr>
                <w:rStyle w:val="Hyperlink"/>
                <w:rFonts w:ascii="Swis721 Th BT" w:hAnsi="Swis721 Th BT"/>
                <w:noProof/>
                <w:sz w:val="23"/>
                <w:szCs w:val="23"/>
              </w:rPr>
              <w:t>Ashwagandha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_Toc165537254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109</w:t>
            </w:r>
            <w:r w:rsidRPr="00D1428E">
              <w:rPr>
                <w:rFonts w:ascii="Swis721 Th BT" w:hAnsi="Swis721 Th BT"/>
                <w:noProof/>
                <w:webHidden/>
                <w:sz w:val="23"/>
                <w:szCs w:val="23"/>
              </w:rPr>
              <w:fldChar w:fldCharType="end"/>
            </w:r>
          </w:hyperlink>
        </w:p>
        <w:p w14:paraId="12707CEC"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55"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_Toc165537255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110</w:t>
            </w:r>
            <w:r w:rsidRPr="00D1428E">
              <w:rPr>
                <w:rFonts w:ascii="Swis721 Th BT" w:hAnsi="Swis721 Th BT"/>
                <w:noProof/>
                <w:webHidden/>
                <w:sz w:val="23"/>
                <w:szCs w:val="23"/>
              </w:rPr>
              <w:fldChar w:fldCharType="end"/>
            </w:r>
          </w:hyperlink>
        </w:p>
        <w:p w14:paraId="00751B6B"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56" w:history="1">
            <w:r w:rsidRPr="00D1428E">
              <w:rPr>
                <w:rStyle w:val="Hyperlink"/>
                <w:rFonts w:ascii="Swis721 Th BT" w:hAnsi="Swis721 Th BT"/>
                <w:bCs/>
                <w:iCs/>
                <w:noProof/>
                <w:sz w:val="23"/>
                <w:szCs w:val="23"/>
              </w:rPr>
              <w:t>Isoflavona de Soja, B</w:t>
            </w:r>
            <w:r w:rsidRPr="00D1428E">
              <w:rPr>
                <w:rStyle w:val="Hyperlink"/>
                <w:rFonts w:ascii="Swis721 Th BT" w:hAnsi="Swis721 Th BT"/>
                <w:bCs/>
                <w:i/>
                <w:iCs/>
                <w:noProof/>
                <w:sz w:val="23"/>
                <w:szCs w:val="23"/>
              </w:rPr>
              <w:t>lack cohosh</w:t>
            </w:r>
            <w:r w:rsidRPr="00D1428E">
              <w:rPr>
                <w:rStyle w:val="Hyperlink"/>
                <w:rFonts w:ascii="Swis721 Th BT" w:hAnsi="Swis721 Th BT"/>
                <w:bCs/>
                <w:iCs/>
                <w:noProof/>
                <w:sz w:val="23"/>
                <w:szCs w:val="23"/>
              </w:rPr>
              <w:t xml:space="preserve">, </w:t>
            </w:r>
            <w:r w:rsidRPr="00D1428E">
              <w:rPr>
                <w:rStyle w:val="Hyperlink"/>
                <w:rFonts w:ascii="Swis721 Th BT" w:hAnsi="Swis721 Th BT"/>
                <w:bCs/>
                <w:i/>
                <w:iCs/>
                <w:noProof/>
                <w:sz w:val="23"/>
                <w:szCs w:val="23"/>
              </w:rPr>
              <w:t>Vitex agnus-castus</w:t>
            </w:r>
            <w:r w:rsidRPr="00D1428E">
              <w:rPr>
                <w:rStyle w:val="Hyperlink"/>
                <w:rFonts w:ascii="Swis721 Th BT" w:hAnsi="Swis721 Th BT"/>
                <w:bCs/>
                <w:iCs/>
                <w:noProof/>
                <w:sz w:val="23"/>
                <w:szCs w:val="23"/>
              </w:rPr>
              <w:t xml:space="preserve"> e Óleo de Prímula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_Toc165537256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111</w:t>
            </w:r>
            <w:r w:rsidRPr="00D1428E">
              <w:rPr>
                <w:rFonts w:ascii="Swis721 Th BT" w:hAnsi="Swis721 Th BT"/>
                <w:noProof/>
                <w:webHidden/>
                <w:sz w:val="23"/>
                <w:szCs w:val="23"/>
              </w:rPr>
              <w:fldChar w:fldCharType="end"/>
            </w:r>
          </w:hyperlink>
        </w:p>
        <w:p w14:paraId="27A97565"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57"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_Toc165537257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112</w:t>
            </w:r>
            <w:r w:rsidRPr="00D1428E">
              <w:rPr>
                <w:rFonts w:ascii="Swis721 Th BT" w:hAnsi="Swis721 Th BT"/>
                <w:noProof/>
                <w:webHidden/>
                <w:sz w:val="23"/>
                <w:szCs w:val="23"/>
              </w:rPr>
              <w:fldChar w:fldCharType="end"/>
            </w:r>
          </w:hyperlink>
        </w:p>
        <w:p w14:paraId="2B096CE6"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58" w:history="1">
            <w:r w:rsidRPr="00D1428E">
              <w:rPr>
                <w:rStyle w:val="Hyperlink"/>
                <w:rFonts w:ascii="Swis721 Th BT" w:hAnsi="Swis721 Th BT"/>
                <w:bCs/>
                <w:iCs/>
                <w:noProof/>
                <w:sz w:val="23"/>
                <w:szCs w:val="23"/>
              </w:rPr>
              <w:t>Curcumina e Vitamina E</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_Toc165537258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113</w:t>
            </w:r>
            <w:r w:rsidRPr="00D1428E">
              <w:rPr>
                <w:rFonts w:ascii="Swis721 Th BT" w:hAnsi="Swis721 Th BT"/>
                <w:noProof/>
                <w:webHidden/>
                <w:sz w:val="23"/>
                <w:szCs w:val="23"/>
              </w:rPr>
              <w:fldChar w:fldCharType="end"/>
            </w:r>
          </w:hyperlink>
        </w:p>
        <w:p w14:paraId="23A3844B"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59"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_Toc165537259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114</w:t>
            </w:r>
            <w:r w:rsidRPr="00D1428E">
              <w:rPr>
                <w:rFonts w:ascii="Swis721 Th BT" w:hAnsi="Swis721 Th BT"/>
                <w:noProof/>
                <w:webHidden/>
                <w:sz w:val="23"/>
                <w:szCs w:val="23"/>
              </w:rPr>
              <w:fldChar w:fldCharType="end"/>
            </w:r>
          </w:hyperlink>
        </w:p>
        <w:p w14:paraId="5316ED13"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60" w:history="1">
            <w:r w:rsidRPr="00D1428E">
              <w:rPr>
                <w:rStyle w:val="Hyperlink"/>
                <w:rFonts w:ascii="Swis721 Th BT" w:hAnsi="Swis721 Th BT"/>
                <w:bCs/>
                <w:iCs/>
                <w:noProof/>
                <w:sz w:val="23"/>
                <w:szCs w:val="23"/>
              </w:rPr>
              <w:t>Silimarina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_Toc165537260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115</w:t>
            </w:r>
            <w:r w:rsidRPr="00D1428E">
              <w:rPr>
                <w:rFonts w:ascii="Swis721 Th BT" w:hAnsi="Swis721 Th BT"/>
                <w:noProof/>
                <w:webHidden/>
                <w:sz w:val="23"/>
                <w:szCs w:val="23"/>
              </w:rPr>
              <w:fldChar w:fldCharType="end"/>
            </w:r>
          </w:hyperlink>
        </w:p>
        <w:p w14:paraId="3191E076"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61"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_Toc165537261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116</w:t>
            </w:r>
            <w:r w:rsidRPr="00D1428E">
              <w:rPr>
                <w:rFonts w:ascii="Swis721 Th BT" w:hAnsi="Swis721 Th BT"/>
                <w:noProof/>
                <w:webHidden/>
                <w:sz w:val="23"/>
                <w:szCs w:val="23"/>
              </w:rPr>
              <w:fldChar w:fldCharType="end"/>
            </w:r>
          </w:hyperlink>
        </w:p>
        <w:p w14:paraId="445CD5E6"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62" w:history="1">
            <w:r w:rsidRPr="00D1428E">
              <w:rPr>
                <w:rStyle w:val="Hyperlink"/>
                <w:rFonts w:ascii="Swis721 Th BT" w:hAnsi="Swis721 Th BT"/>
                <w:bCs/>
                <w:iCs/>
                <w:noProof/>
                <w:sz w:val="23"/>
                <w:szCs w:val="23"/>
              </w:rPr>
              <w:t>Ormona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_Toc165537262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117</w:t>
            </w:r>
            <w:r w:rsidRPr="00D1428E">
              <w:rPr>
                <w:rFonts w:ascii="Swis721 Th BT" w:hAnsi="Swis721 Th BT"/>
                <w:noProof/>
                <w:webHidden/>
                <w:sz w:val="23"/>
                <w:szCs w:val="23"/>
              </w:rPr>
              <w:fldChar w:fldCharType="end"/>
            </w:r>
          </w:hyperlink>
        </w:p>
        <w:p w14:paraId="3886B9E3"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63"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_Toc165537263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118</w:t>
            </w:r>
            <w:r w:rsidRPr="00D1428E">
              <w:rPr>
                <w:rFonts w:ascii="Swis721 Th BT" w:hAnsi="Swis721 Th BT"/>
                <w:noProof/>
                <w:webHidden/>
                <w:sz w:val="23"/>
                <w:szCs w:val="23"/>
              </w:rPr>
              <w:fldChar w:fldCharType="end"/>
            </w:r>
          </w:hyperlink>
        </w:p>
        <w:p w14:paraId="2396116F"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64" w:history="1">
            <w:r w:rsidRPr="00D1428E">
              <w:rPr>
                <w:rStyle w:val="Hyperlink"/>
                <w:rFonts w:ascii="Swis721 Th BT" w:hAnsi="Swis721 Th BT"/>
                <w:bCs/>
                <w:iCs/>
                <w:noProof/>
                <w:sz w:val="23"/>
                <w:szCs w:val="23"/>
              </w:rPr>
              <w:t>ISRSs e IRSNs</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_Toc165537264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119</w:t>
            </w:r>
            <w:r w:rsidRPr="00D1428E">
              <w:rPr>
                <w:rFonts w:ascii="Swis721 Th BT" w:hAnsi="Swis721 Th BT"/>
                <w:noProof/>
                <w:webHidden/>
                <w:sz w:val="23"/>
                <w:szCs w:val="23"/>
              </w:rPr>
              <w:fldChar w:fldCharType="end"/>
            </w:r>
          </w:hyperlink>
        </w:p>
        <w:p w14:paraId="4F278C3E"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65"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_Toc165537265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120</w:t>
            </w:r>
            <w:r w:rsidRPr="00D1428E">
              <w:rPr>
                <w:rFonts w:ascii="Swis721 Th BT" w:hAnsi="Swis721 Th BT"/>
                <w:noProof/>
                <w:webHidden/>
                <w:sz w:val="23"/>
                <w:szCs w:val="23"/>
              </w:rPr>
              <w:fldChar w:fldCharType="end"/>
            </w:r>
          </w:hyperlink>
        </w:p>
        <w:p w14:paraId="3B3BF3DA" w14:textId="5C2437CE"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66" w:history="1">
            <w:r w:rsidRPr="00D1428E">
              <w:rPr>
                <w:rStyle w:val="Hyperlink"/>
                <w:rFonts w:ascii="Swis721 Th BT" w:hAnsi="Swis721 Th BT"/>
                <w:b/>
                <w:noProof/>
                <w:sz w:val="23"/>
                <w:szCs w:val="23"/>
              </w:rPr>
              <w:t>DISFUNÇÃO SEXUAL FEMININA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_Toc165537266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121</w:t>
            </w:r>
            <w:r w:rsidRPr="00D1428E">
              <w:rPr>
                <w:rFonts w:ascii="Swis721 Th BT" w:hAnsi="Swis721 Th BT"/>
                <w:noProof/>
                <w:webHidden/>
                <w:sz w:val="23"/>
                <w:szCs w:val="23"/>
              </w:rPr>
              <w:fldChar w:fldCharType="end"/>
            </w:r>
          </w:hyperlink>
        </w:p>
        <w:p w14:paraId="0606B70F"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67" w:history="1">
            <w:r w:rsidRPr="00D1428E">
              <w:rPr>
                <w:rStyle w:val="Hyperlink"/>
                <w:rFonts w:ascii="Swis721 Th BT" w:hAnsi="Swis721 Th BT"/>
                <w:noProof/>
                <w:sz w:val="23"/>
                <w:szCs w:val="23"/>
              </w:rPr>
              <w:t>Zinco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_Toc165537267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122</w:t>
            </w:r>
            <w:r w:rsidRPr="00D1428E">
              <w:rPr>
                <w:rFonts w:ascii="Swis721 Th BT" w:hAnsi="Swis721 Th BT"/>
                <w:noProof/>
                <w:webHidden/>
                <w:sz w:val="23"/>
                <w:szCs w:val="23"/>
              </w:rPr>
              <w:fldChar w:fldCharType="end"/>
            </w:r>
          </w:hyperlink>
        </w:p>
        <w:p w14:paraId="4AA96B27"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68"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_Toc165537268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123</w:t>
            </w:r>
            <w:r w:rsidRPr="00D1428E">
              <w:rPr>
                <w:rFonts w:ascii="Swis721 Th BT" w:hAnsi="Swis721 Th BT"/>
                <w:noProof/>
                <w:webHidden/>
                <w:sz w:val="23"/>
                <w:szCs w:val="23"/>
              </w:rPr>
              <w:fldChar w:fldCharType="end"/>
            </w:r>
          </w:hyperlink>
        </w:p>
        <w:p w14:paraId="6080938E"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69" w:history="1">
            <w:r w:rsidRPr="00D1428E">
              <w:rPr>
                <w:rStyle w:val="Hyperlink"/>
                <w:rFonts w:ascii="Swis721 Th BT" w:hAnsi="Swis721 Th BT"/>
                <w:i/>
                <w:noProof/>
                <w:sz w:val="23"/>
                <w:szCs w:val="23"/>
              </w:rPr>
              <w:t>Panax ginseng</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_Toc165537269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124</w:t>
            </w:r>
            <w:r w:rsidRPr="00D1428E">
              <w:rPr>
                <w:rFonts w:ascii="Swis721 Th BT" w:hAnsi="Swis721 Th BT"/>
                <w:noProof/>
                <w:webHidden/>
                <w:sz w:val="23"/>
                <w:szCs w:val="23"/>
              </w:rPr>
              <w:fldChar w:fldCharType="end"/>
            </w:r>
          </w:hyperlink>
        </w:p>
        <w:p w14:paraId="3FA98700"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70"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_Toc165537270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125</w:t>
            </w:r>
            <w:r w:rsidRPr="00D1428E">
              <w:rPr>
                <w:rFonts w:ascii="Swis721 Th BT" w:hAnsi="Swis721 Th BT"/>
                <w:noProof/>
                <w:webHidden/>
                <w:sz w:val="23"/>
                <w:szCs w:val="23"/>
              </w:rPr>
              <w:fldChar w:fldCharType="end"/>
            </w:r>
          </w:hyperlink>
        </w:p>
        <w:p w14:paraId="65ACF1BA"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71" w:history="1">
            <w:r w:rsidRPr="00D1428E">
              <w:rPr>
                <w:rStyle w:val="Hyperlink"/>
                <w:rFonts w:ascii="Swis721 Th BT" w:hAnsi="Swis721 Th BT"/>
                <w:i/>
                <w:noProof/>
                <w:sz w:val="23"/>
                <w:szCs w:val="23"/>
              </w:rPr>
              <w:t>Tribulus terrestris</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_Toc165537271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126</w:t>
            </w:r>
            <w:r w:rsidRPr="00D1428E">
              <w:rPr>
                <w:rFonts w:ascii="Swis721 Th BT" w:hAnsi="Swis721 Th BT"/>
                <w:noProof/>
                <w:webHidden/>
                <w:sz w:val="23"/>
                <w:szCs w:val="23"/>
              </w:rPr>
              <w:fldChar w:fldCharType="end"/>
            </w:r>
          </w:hyperlink>
        </w:p>
        <w:p w14:paraId="36C24789"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72"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_Toc165537272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127</w:t>
            </w:r>
            <w:r w:rsidRPr="00D1428E">
              <w:rPr>
                <w:rFonts w:ascii="Swis721 Th BT" w:hAnsi="Swis721 Th BT"/>
                <w:noProof/>
                <w:webHidden/>
                <w:sz w:val="23"/>
                <w:szCs w:val="23"/>
              </w:rPr>
              <w:fldChar w:fldCharType="end"/>
            </w:r>
          </w:hyperlink>
        </w:p>
        <w:p w14:paraId="563F19E0"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73" w:history="1">
            <w:r w:rsidRPr="00D1428E">
              <w:rPr>
                <w:rStyle w:val="Hyperlink"/>
                <w:rFonts w:ascii="Swis721 Th BT" w:hAnsi="Swis721 Th BT"/>
                <w:noProof/>
                <w:sz w:val="23"/>
                <w:szCs w:val="23"/>
              </w:rPr>
              <w:t>Associação Fitoterápica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_Toc165537273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128</w:t>
            </w:r>
            <w:r w:rsidRPr="00D1428E">
              <w:rPr>
                <w:rFonts w:ascii="Swis721 Th BT" w:hAnsi="Swis721 Th BT"/>
                <w:noProof/>
                <w:webHidden/>
                <w:sz w:val="23"/>
                <w:szCs w:val="23"/>
              </w:rPr>
              <w:fldChar w:fldCharType="end"/>
            </w:r>
          </w:hyperlink>
        </w:p>
        <w:p w14:paraId="4DD08EAD"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74"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_Toc165537274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129</w:t>
            </w:r>
            <w:r w:rsidRPr="00D1428E">
              <w:rPr>
                <w:rFonts w:ascii="Swis721 Th BT" w:hAnsi="Swis721 Th BT"/>
                <w:noProof/>
                <w:webHidden/>
                <w:sz w:val="23"/>
                <w:szCs w:val="23"/>
              </w:rPr>
              <w:fldChar w:fldCharType="end"/>
            </w:r>
          </w:hyperlink>
        </w:p>
        <w:p w14:paraId="54FE56B1"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75" w:history="1">
            <w:r w:rsidRPr="00D1428E">
              <w:rPr>
                <w:rStyle w:val="Hyperlink"/>
                <w:rFonts w:ascii="Swis721 Th BT" w:hAnsi="Swis721 Th BT"/>
                <w:noProof/>
                <w:sz w:val="23"/>
                <w:szCs w:val="23"/>
              </w:rPr>
              <w:t>Outros Fitoterápicos</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_Toc165537275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130</w:t>
            </w:r>
            <w:r w:rsidRPr="00D1428E">
              <w:rPr>
                <w:rFonts w:ascii="Swis721 Th BT" w:hAnsi="Swis721 Th BT"/>
                <w:noProof/>
                <w:webHidden/>
                <w:sz w:val="23"/>
                <w:szCs w:val="23"/>
              </w:rPr>
              <w:fldChar w:fldCharType="end"/>
            </w:r>
          </w:hyperlink>
        </w:p>
        <w:p w14:paraId="3C50A7F5"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76"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_Toc165537276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131</w:t>
            </w:r>
            <w:r w:rsidRPr="00D1428E">
              <w:rPr>
                <w:rFonts w:ascii="Swis721 Th BT" w:hAnsi="Swis721 Th BT"/>
                <w:noProof/>
                <w:webHidden/>
                <w:sz w:val="23"/>
                <w:szCs w:val="23"/>
              </w:rPr>
              <w:fldChar w:fldCharType="end"/>
            </w:r>
          </w:hyperlink>
        </w:p>
        <w:p w14:paraId="7D482BCE"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77" w:history="1">
            <w:r w:rsidRPr="00D1428E">
              <w:rPr>
                <w:rStyle w:val="Hyperlink"/>
                <w:rFonts w:ascii="Swis721 Th BT" w:hAnsi="Swis721 Th BT"/>
                <w:noProof/>
                <w:sz w:val="23"/>
                <w:szCs w:val="23"/>
              </w:rPr>
              <w:t>Camomila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_Toc165537277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132</w:t>
            </w:r>
            <w:r w:rsidRPr="00D1428E">
              <w:rPr>
                <w:rFonts w:ascii="Swis721 Th BT" w:hAnsi="Swis721 Th BT"/>
                <w:noProof/>
                <w:webHidden/>
                <w:sz w:val="23"/>
                <w:szCs w:val="23"/>
              </w:rPr>
              <w:fldChar w:fldCharType="end"/>
            </w:r>
          </w:hyperlink>
        </w:p>
        <w:p w14:paraId="54C57AD1"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78"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_Toc165537278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133</w:t>
            </w:r>
            <w:r w:rsidRPr="00D1428E">
              <w:rPr>
                <w:rFonts w:ascii="Swis721 Th BT" w:hAnsi="Swis721 Th BT"/>
                <w:noProof/>
                <w:webHidden/>
                <w:sz w:val="23"/>
                <w:szCs w:val="23"/>
              </w:rPr>
              <w:fldChar w:fldCharType="end"/>
            </w:r>
          </w:hyperlink>
        </w:p>
        <w:p w14:paraId="37057CDE"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79" w:history="1">
            <w:r w:rsidRPr="00D1428E">
              <w:rPr>
                <w:rStyle w:val="Hyperlink"/>
                <w:rFonts w:ascii="Swis721 Th BT" w:hAnsi="Swis721 Th BT"/>
                <w:bCs/>
                <w:iCs/>
                <w:noProof/>
                <w:sz w:val="23"/>
                <w:szCs w:val="23"/>
              </w:rPr>
              <w:t>Estriol</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_Toc165537279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134</w:t>
            </w:r>
            <w:r w:rsidRPr="00D1428E">
              <w:rPr>
                <w:rFonts w:ascii="Swis721 Th BT" w:hAnsi="Swis721 Th BT"/>
                <w:noProof/>
                <w:webHidden/>
                <w:sz w:val="23"/>
                <w:szCs w:val="23"/>
              </w:rPr>
              <w:fldChar w:fldCharType="end"/>
            </w:r>
          </w:hyperlink>
        </w:p>
        <w:p w14:paraId="68941B6D"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80"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_Toc165537280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135</w:t>
            </w:r>
            <w:r w:rsidRPr="00D1428E">
              <w:rPr>
                <w:rFonts w:ascii="Swis721 Th BT" w:hAnsi="Swis721 Th BT"/>
                <w:noProof/>
                <w:webHidden/>
                <w:sz w:val="23"/>
                <w:szCs w:val="23"/>
              </w:rPr>
              <w:fldChar w:fldCharType="end"/>
            </w:r>
          </w:hyperlink>
        </w:p>
        <w:p w14:paraId="14ED0914"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81" w:history="1">
            <w:r w:rsidRPr="00D1428E">
              <w:rPr>
                <w:rStyle w:val="Hyperlink"/>
                <w:rFonts w:ascii="Swis721 Th BT" w:hAnsi="Swis721 Th BT"/>
                <w:bCs/>
                <w:iCs/>
                <w:noProof/>
                <w:sz w:val="23"/>
                <w:szCs w:val="23"/>
              </w:rPr>
              <w:t>Prasterona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_Toc165537281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136</w:t>
            </w:r>
            <w:r w:rsidRPr="00D1428E">
              <w:rPr>
                <w:rFonts w:ascii="Swis721 Th BT" w:hAnsi="Swis721 Th BT"/>
                <w:noProof/>
                <w:webHidden/>
                <w:sz w:val="23"/>
                <w:szCs w:val="23"/>
              </w:rPr>
              <w:fldChar w:fldCharType="end"/>
            </w:r>
          </w:hyperlink>
        </w:p>
        <w:p w14:paraId="64820DFE"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82"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_Toc165537282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137</w:t>
            </w:r>
            <w:r w:rsidRPr="00D1428E">
              <w:rPr>
                <w:rFonts w:ascii="Swis721 Th BT" w:hAnsi="Swis721 Th BT"/>
                <w:noProof/>
                <w:webHidden/>
                <w:sz w:val="23"/>
                <w:szCs w:val="23"/>
              </w:rPr>
              <w:fldChar w:fldCharType="end"/>
            </w:r>
          </w:hyperlink>
        </w:p>
        <w:p w14:paraId="6C5FBF48"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83" w:history="1">
            <w:r w:rsidRPr="00D1428E">
              <w:rPr>
                <w:rStyle w:val="Hyperlink"/>
                <w:rFonts w:ascii="Swis721 Th BT" w:hAnsi="Swis721 Th BT"/>
                <w:bCs/>
                <w:iCs/>
                <w:noProof/>
                <w:sz w:val="23"/>
                <w:szCs w:val="23"/>
              </w:rPr>
              <w:t>Ocitocina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_Toc165537283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138</w:t>
            </w:r>
            <w:r w:rsidRPr="00D1428E">
              <w:rPr>
                <w:rFonts w:ascii="Swis721 Th BT" w:hAnsi="Swis721 Th BT"/>
                <w:noProof/>
                <w:webHidden/>
                <w:sz w:val="23"/>
                <w:szCs w:val="23"/>
              </w:rPr>
              <w:fldChar w:fldCharType="end"/>
            </w:r>
          </w:hyperlink>
        </w:p>
        <w:p w14:paraId="303A3095"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84"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_Toc165537284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139</w:t>
            </w:r>
            <w:r w:rsidRPr="00D1428E">
              <w:rPr>
                <w:rFonts w:ascii="Swis721 Th BT" w:hAnsi="Swis721 Th BT"/>
                <w:noProof/>
                <w:webHidden/>
                <w:sz w:val="23"/>
                <w:szCs w:val="23"/>
              </w:rPr>
              <w:fldChar w:fldCharType="end"/>
            </w:r>
          </w:hyperlink>
        </w:p>
        <w:p w14:paraId="43668EAF"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85" w:history="1">
            <w:r w:rsidRPr="00D1428E">
              <w:rPr>
                <w:rStyle w:val="Hyperlink"/>
                <w:rFonts w:ascii="Swis721 Th BT" w:hAnsi="Swis721 Th BT"/>
                <w:bCs/>
                <w:iCs/>
                <w:noProof/>
                <w:sz w:val="23"/>
                <w:szCs w:val="23"/>
              </w:rPr>
              <w:t>Testosterona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_Toc165537285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140</w:t>
            </w:r>
            <w:r w:rsidRPr="00D1428E">
              <w:rPr>
                <w:rFonts w:ascii="Swis721 Th BT" w:hAnsi="Swis721 Th BT"/>
                <w:noProof/>
                <w:webHidden/>
                <w:sz w:val="23"/>
                <w:szCs w:val="23"/>
              </w:rPr>
              <w:fldChar w:fldCharType="end"/>
            </w:r>
          </w:hyperlink>
        </w:p>
        <w:p w14:paraId="507C9F26"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86"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_Toc165537286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141</w:t>
            </w:r>
            <w:r w:rsidRPr="00D1428E">
              <w:rPr>
                <w:rFonts w:ascii="Swis721 Th BT" w:hAnsi="Swis721 Th BT"/>
                <w:noProof/>
                <w:webHidden/>
                <w:sz w:val="23"/>
                <w:szCs w:val="23"/>
              </w:rPr>
              <w:fldChar w:fldCharType="end"/>
            </w:r>
          </w:hyperlink>
        </w:p>
        <w:p w14:paraId="57F24AE5"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87" w:history="1">
            <w:r w:rsidRPr="00D1428E">
              <w:rPr>
                <w:rStyle w:val="Hyperlink"/>
                <w:rFonts w:ascii="Swis721 Th BT" w:hAnsi="Swis721 Th BT"/>
                <w:bCs/>
                <w:iCs/>
                <w:noProof/>
                <w:sz w:val="23"/>
                <w:szCs w:val="23"/>
              </w:rPr>
              <w:t>Testosterona e Estradiol</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_Toc165537287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142</w:t>
            </w:r>
            <w:r w:rsidRPr="00D1428E">
              <w:rPr>
                <w:rFonts w:ascii="Swis721 Th BT" w:hAnsi="Swis721 Th BT"/>
                <w:noProof/>
                <w:webHidden/>
                <w:sz w:val="23"/>
                <w:szCs w:val="23"/>
              </w:rPr>
              <w:fldChar w:fldCharType="end"/>
            </w:r>
          </w:hyperlink>
        </w:p>
        <w:p w14:paraId="05302815"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88"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_Toc165537288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143</w:t>
            </w:r>
            <w:r w:rsidRPr="00D1428E">
              <w:rPr>
                <w:rFonts w:ascii="Swis721 Th BT" w:hAnsi="Swis721 Th BT"/>
                <w:noProof/>
                <w:webHidden/>
                <w:sz w:val="23"/>
                <w:szCs w:val="23"/>
              </w:rPr>
              <w:fldChar w:fldCharType="end"/>
            </w:r>
          </w:hyperlink>
        </w:p>
        <w:p w14:paraId="237E6EE5" w14:textId="1742CFED"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89" w:history="1">
            <w:r w:rsidRPr="00D1428E">
              <w:rPr>
                <w:rStyle w:val="Hyperlink"/>
                <w:rFonts w:ascii="Swis721 Th BT" w:hAnsi="Swis721 Th BT"/>
                <w:b/>
                <w:noProof/>
                <w:sz w:val="23"/>
                <w:szCs w:val="23"/>
              </w:rPr>
              <w:t>CANDIDÍASE</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_Toc165537289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144</w:t>
            </w:r>
            <w:r w:rsidRPr="00D1428E">
              <w:rPr>
                <w:rFonts w:ascii="Swis721 Th BT" w:hAnsi="Swis721 Th BT"/>
                <w:noProof/>
                <w:webHidden/>
                <w:sz w:val="23"/>
                <w:szCs w:val="23"/>
              </w:rPr>
              <w:fldChar w:fldCharType="end"/>
            </w:r>
          </w:hyperlink>
        </w:p>
        <w:p w14:paraId="447102AF"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90" w:history="1">
            <w:r w:rsidRPr="00D1428E">
              <w:rPr>
                <w:rStyle w:val="Hyperlink"/>
                <w:rFonts w:ascii="Swis721 Th BT" w:hAnsi="Swis721 Th BT"/>
                <w:noProof/>
                <w:sz w:val="23"/>
                <w:szCs w:val="23"/>
              </w:rPr>
              <w:t>Probióticos e Lactoferrina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_Toc165537290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145</w:t>
            </w:r>
            <w:r w:rsidRPr="00D1428E">
              <w:rPr>
                <w:rFonts w:ascii="Swis721 Th BT" w:hAnsi="Swis721 Th BT"/>
                <w:noProof/>
                <w:webHidden/>
                <w:sz w:val="23"/>
                <w:szCs w:val="23"/>
              </w:rPr>
              <w:fldChar w:fldCharType="end"/>
            </w:r>
          </w:hyperlink>
        </w:p>
        <w:p w14:paraId="3E80D5F5"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91"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_Toc165537291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146</w:t>
            </w:r>
            <w:r w:rsidRPr="00D1428E">
              <w:rPr>
                <w:rFonts w:ascii="Swis721 Th BT" w:hAnsi="Swis721 Th BT"/>
                <w:noProof/>
                <w:webHidden/>
                <w:sz w:val="23"/>
                <w:szCs w:val="23"/>
              </w:rPr>
              <w:fldChar w:fldCharType="end"/>
            </w:r>
          </w:hyperlink>
        </w:p>
        <w:p w14:paraId="6F9CDE6F"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92" w:history="1">
            <w:r w:rsidRPr="00D1428E">
              <w:rPr>
                <w:rStyle w:val="Hyperlink"/>
                <w:rFonts w:ascii="Swis721 Th BT" w:hAnsi="Swis721 Th BT"/>
                <w:noProof/>
                <w:sz w:val="23"/>
                <w:szCs w:val="23"/>
              </w:rPr>
              <w:t>Calêndula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_Toc165537292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147</w:t>
            </w:r>
            <w:r w:rsidRPr="00D1428E">
              <w:rPr>
                <w:rFonts w:ascii="Swis721 Th BT" w:hAnsi="Swis721 Th BT"/>
                <w:noProof/>
                <w:webHidden/>
                <w:sz w:val="23"/>
                <w:szCs w:val="23"/>
              </w:rPr>
              <w:fldChar w:fldCharType="end"/>
            </w:r>
          </w:hyperlink>
        </w:p>
        <w:p w14:paraId="700E3EA2"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93"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_Toc165537293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148</w:t>
            </w:r>
            <w:r w:rsidRPr="00D1428E">
              <w:rPr>
                <w:rFonts w:ascii="Swis721 Th BT" w:hAnsi="Swis721 Th BT"/>
                <w:noProof/>
                <w:webHidden/>
                <w:sz w:val="23"/>
                <w:szCs w:val="23"/>
              </w:rPr>
              <w:fldChar w:fldCharType="end"/>
            </w:r>
          </w:hyperlink>
        </w:p>
        <w:p w14:paraId="6D85C5DC"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294" w:history="1">
            <w:r w:rsidRPr="00D1428E">
              <w:rPr>
                <w:rStyle w:val="Hyperlink"/>
                <w:rFonts w:ascii="Swis721 Th BT" w:hAnsi="Swis721 Th BT"/>
                <w:noProof/>
                <w:sz w:val="23"/>
                <w:szCs w:val="23"/>
              </w:rPr>
              <w:t>Antifúngicos</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_Toc165537294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149</w:t>
            </w:r>
            <w:r w:rsidRPr="00D1428E">
              <w:rPr>
                <w:rFonts w:ascii="Swis721 Th BT" w:hAnsi="Swis721 Th BT"/>
                <w:noProof/>
                <w:webHidden/>
                <w:sz w:val="23"/>
                <w:szCs w:val="23"/>
              </w:rPr>
              <w:fldChar w:fldCharType="end"/>
            </w:r>
          </w:hyperlink>
        </w:p>
        <w:p w14:paraId="40047040" w14:textId="77777777" w:rsidR="00D1428E" w:rsidRPr="00D1428E" w:rsidRDefault="00D1428E">
          <w:pPr>
            <w:pStyle w:val="Sumrio3"/>
            <w:tabs>
              <w:tab w:val="right" w:leader="dot" w:pos="9061"/>
            </w:tabs>
            <w:rPr>
              <w:rFonts w:ascii="Swis721 Th BT" w:hAnsi="Swis721 Th BT"/>
              <w:noProof/>
              <w:sz w:val="23"/>
              <w:szCs w:val="23"/>
            </w:rPr>
          </w:pPr>
          <w:hyperlink w:anchor="_Toc165537295" w:history="1">
            <w:r w:rsidRPr="00D1428E">
              <w:rPr>
                <w:rStyle w:val="Hyperlink"/>
                <w:rFonts w:ascii="Swis721 Th BT" w:hAnsi="Swis721 Th BT" w:cs="Arial"/>
                <w:bCs/>
                <w:noProof/>
                <w:sz w:val="23"/>
                <w:szCs w:val="23"/>
              </w:rPr>
              <w:t>Cetoconazol</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_Toc165537295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150</w:t>
            </w:r>
            <w:r w:rsidRPr="00D1428E">
              <w:rPr>
                <w:rFonts w:ascii="Swis721 Th BT" w:hAnsi="Swis721 Th BT"/>
                <w:noProof/>
                <w:webHidden/>
                <w:sz w:val="23"/>
                <w:szCs w:val="23"/>
              </w:rPr>
              <w:fldChar w:fldCharType="end"/>
            </w:r>
          </w:hyperlink>
        </w:p>
        <w:p w14:paraId="05530D50" w14:textId="77777777" w:rsidR="00D1428E" w:rsidRPr="00D1428E" w:rsidRDefault="00D1428E">
          <w:pPr>
            <w:pStyle w:val="Sumrio3"/>
            <w:tabs>
              <w:tab w:val="right" w:leader="dot" w:pos="9061"/>
            </w:tabs>
            <w:rPr>
              <w:rFonts w:ascii="Swis721 Th BT" w:hAnsi="Swis721 Th BT"/>
              <w:noProof/>
              <w:sz w:val="23"/>
              <w:szCs w:val="23"/>
            </w:rPr>
          </w:pPr>
          <w:hyperlink w:anchor="_Toc165537296" w:history="1">
            <w:r w:rsidRPr="00D1428E">
              <w:rPr>
                <w:rStyle w:val="Hyperlink"/>
                <w:rFonts w:ascii="Swis721 Th BT" w:hAnsi="Swis721 Th BT" w:cs="Arial"/>
                <w:bCs/>
                <w:noProof/>
                <w:sz w:val="23"/>
                <w:szCs w:val="23"/>
              </w:rPr>
              <w:t>Clotrimazol</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_Toc165537296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150</w:t>
            </w:r>
            <w:r w:rsidRPr="00D1428E">
              <w:rPr>
                <w:rFonts w:ascii="Swis721 Th BT" w:hAnsi="Swis721 Th BT"/>
                <w:noProof/>
                <w:webHidden/>
                <w:sz w:val="23"/>
                <w:szCs w:val="23"/>
              </w:rPr>
              <w:fldChar w:fldCharType="end"/>
            </w:r>
          </w:hyperlink>
        </w:p>
        <w:p w14:paraId="5E32632B" w14:textId="77777777" w:rsidR="00D1428E" w:rsidRPr="00D1428E" w:rsidRDefault="00D1428E">
          <w:pPr>
            <w:pStyle w:val="Sumrio3"/>
            <w:tabs>
              <w:tab w:val="right" w:leader="dot" w:pos="9061"/>
            </w:tabs>
            <w:rPr>
              <w:rFonts w:ascii="Swis721 Th BT" w:hAnsi="Swis721 Th BT"/>
              <w:noProof/>
              <w:sz w:val="23"/>
              <w:szCs w:val="23"/>
            </w:rPr>
          </w:pPr>
          <w:hyperlink w:anchor="_Toc165537297" w:history="1">
            <w:r w:rsidRPr="00D1428E">
              <w:rPr>
                <w:rStyle w:val="Hyperlink"/>
                <w:rFonts w:ascii="Swis721 Th BT" w:hAnsi="Swis721 Th BT" w:cs="Arial"/>
                <w:bCs/>
                <w:noProof/>
                <w:sz w:val="23"/>
                <w:szCs w:val="23"/>
              </w:rPr>
              <w:t>Econazol</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_Toc165537297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151</w:t>
            </w:r>
            <w:r w:rsidRPr="00D1428E">
              <w:rPr>
                <w:rFonts w:ascii="Swis721 Th BT" w:hAnsi="Swis721 Th BT"/>
                <w:noProof/>
                <w:webHidden/>
                <w:sz w:val="23"/>
                <w:szCs w:val="23"/>
              </w:rPr>
              <w:fldChar w:fldCharType="end"/>
            </w:r>
          </w:hyperlink>
        </w:p>
        <w:p w14:paraId="4E134FCC" w14:textId="77777777" w:rsidR="00D1428E" w:rsidRPr="00D1428E" w:rsidRDefault="00D1428E">
          <w:pPr>
            <w:pStyle w:val="Sumrio3"/>
            <w:tabs>
              <w:tab w:val="right" w:leader="dot" w:pos="9061"/>
            </w:tabs>
            <w:rPr>
              <w:rFonts w:ascii="Swis721 Th BT" w:hAnsi="Swis721 Th BT"/>
              <w:noProof/>
              <w:sz w:val="23"/>
              <w:szCs w:val="23"/>
            </w:rPr>
          </w:pPr>
          <w:hyperlink w:anchor="_Toc165537298" w:history="1">
            <w:r w:rsidRPr="00D1428E">
              <w:rPr>
                <w:rStyle w:val="Hyperlink"/>
                <w:rFonts w:ascii="Swis721 Th BT" w:hAnsi="Swis721 Th BT" w:cs="Arial"/>
                <w:bCs/>
                <w:noProof/>
                <w:sz w:val="23"/>
                <w:szCs w:val="23"/>
              </w:rPr>
              <w:t>(nitrato)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_Toc165537298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151</w:t>
            </w:r>
            <w:r w:rsidRPr="00D1428E">
              <w:rPr>
                <w:rFonts w:ascii="Swis721 Th BT" w:hAnsi="Swis721 Th BT"/>
                <w:noProof/>
                <w:webHidden/>
                <w:sz w:val="23"/>
                <w:szCs w:val="23"/>
              </w:rPr>
              <w:fldChar w:fldCharType="end"/>
            </w:r>
          </w:hyperlink>
        </w:p>
        <w:p w14:paraId="55E92385" w14:textId="77777777" w:rsidR="00D1428E" w:rsidRPr="00D1428E" w:rsidRDefault="00D1428E">
          <w:pPr>
            <w:pStyle w:val="Sumrio3"/>
            <w:tabs>
              <w:tab w:val="right" w:leader="dot" w:pos="9061"/>
            </w:tabs>
            <w:rPr>
              <w:rFonts w:ascii="Swis721 Th BT" w:hAnsi="Swis721 Th BT"/>
              <w:noProof/>
              <w:sz w:val="23"/>
              <w:szCs w:val="23"/>
            </w:rPr>
          </w:pPr>
          <w:hyperlink w:anchor="_Toc165537299" w:history="1">
            <w:r w:rsidRPr="00D1428E">
              <w:rPr>
                <w:rStyle w:val="Hyperlink"/>
                <w:rFonts w:ascii="Swis721 Th BT" w:hAnsi="Swis721 Th BT" w:cs="Arial"/>
                <w:bCs/>
                <w:noProof/>
                <w:sz w:val="23"/>
                <w:szCs w:val="23"/>
              </w:rPr>
              <w:t>Fluconazol</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_Toc165537299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151</w:t>
            </w:r>
            <w:r w:rsidRPr="00D1428E">
              <w:rPr>
                <w:rFonts w:ascii="Swis721 Th BT" w:hAnsi="Swis721 Th BT"/>
                <w:noProof/>
                <w:webHidden/>
                <w:sz w:val="23"/>
                <w:szCs w:val="23"/>
              </w:rPr>
              <w:fldChar w:fldCharType="end"/>
            </w:r>
          </w:hyperlink>
        </w:p>
        <w:p w14:paraId="6C047A0F" w14:textId="77777777" w:rsidR="00D1428E" w:rsidRPr="00D1428E" w:rsidRDefault="00D1428E">
          <w:pPr>
            <w:pStyle w:val="Sumrio3"/>
            <w:tabs>
              <w:tab w:val="right" w:leader="dot" w:pos="9061"/>
            </w:tabs>
            <w:rPr>
              <w:rFonts w:ascii="Swis721 Th BT" w:hAnsi="Swis721 Th BT"/>
              <w:noProof/>
              <w:sz w:val="23"/>
              <w:szCs w:val="23"/>
            </w:rPr>
          </w:pPr>
          <w:hyperlink w:anchor="_Toc165537300" w:history="1">
            <w:r w:rsidRPr="00D1428E">
              <w:rPr>
                <w:rStyle w:val="Hyperlink"/>
                <w:rFonts w:ascii="Swis721 Th BT" w:hAnsi="Swis721 Th BT" w:cs="Arial"/>
                <w:bCs/>
                <w:noProof/>
                <w:sz w:val="23"/>
                <w:szCs w:val="23"/>
              </w:rPr>
              <w:t>Isoconazol (nitrato)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_Toc165537300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151</w:t>
            </w:r>
            <w:r w:rsidRPr="00D1428E">
              <w:rPr>
                <w:rFonts w:ascii="Swis721 Th BT" w:hAnsi="Swis721 Th BT"/>
                <w:noProof/>
                <w:webHidden/>
                <w:sz w:val="23"/>
                <w:szCs w:val="23"/>
              </w:rPr>
              <w:fldChar w:fldCharType="end"/>
            </w:r>
          </w:hyperlink>
        </w:p>
        <w:p w14:paraId="02CB7C00" w14:textId="77777777" w:rsidR="00D1428E" w:rsidRPr="00D1428E" w:rsidRDefault="00D1428E">
          <w:pPr>
            <w:pStyle w:val="Sumrio3"/>
            <w:tabs>
              <w:tab w:val="right" w:leader="dot" w:pos="9061"/>
            </w:tabs>
            <w:rPr>
              <w:rFonts w:ascii="Swis721 Th BT" w:hAnsi="Swis721 Th BT"/>
              <w:noProof/>
              <w:sz w:val="23"/>
              <w:szCs w:val="23"/>
            </w:rPr>
          </w:pPr>
          <w:hyperlink w:anchor="_Toc165537301" w:history="1">
            <w:r w:rsidRPr="00D1428E">
              <w:rPr>
                <w:rStyle w:val="Hyperlink"/>
                <w:rFonts w:ascii="Swis721 Th BT" w:hAnsi="Swis721 Th BT" w:cs="Arial"/>
                <w:bCs/>
                <w:noProof/>
                <w:sz w:val="23"/>
                <w:szCs w:val="23"/>
              </w:rPr>
              <w:t>Itraconazol</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_Toc165537301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152</w:t>
            </w:r>
            <w:r w:rsidRPr="00D1428E">
              <w:rPr>
                <w:rFonts w:ascii="Swis721 Th BT" w:hAnsi="Swis721 Th BT"/>
                <w:noProof/>
                <w:webHidden/>
                <w:sz w:val="23"/>
                <w:szCs w:val="23"/>
              </w:rPr>
              <w:fldChar w:fldCharType="end"/>
            </w:r>
          </w:hyperlink>
        </w:p>
        <w:p w14:paraId="5360CADD" w14:textId="77777777" w:rsidR="00D1428E" w:rsidRPr="00D1428E" w:rsidRDefault="00D1428E">
          <w:pPr>
            <w:pStyle w:val="Sumrio3"/>
            <w:tabs>
              <w:tab w:val="right" w:leader="dot" w:pos="9061"/>
            </w:tabs>
            <w:rPr>
              <w:rFonts w:ascii="Swis721 Th BT" w:hAnsi="Swis721 Th BT"/>
              <w:noProof/>
              <w:sz w:val="23"/>
              <w:szCs w:val="23"/>
            </w:rPr>
          </w:pPr>
          <w:hyperlink w:anchor="_Toc165537302" w:history="1">
            <w:r w:rsidRPr="00D1428E">
              <w:rPr>
                <w:rStyle w:val="Hyperlink"/>
                <w:rFonts w:ascii="Swis721 Th BT" w:hAnsi="Swis721 Th BT" w:cs="Arial"/>
                <w:bCs/>
                <w:noProof/>
                <w:sz w:val="23"/>
                <w:szCs w:val="23"/>
              </w:rPr>
              <w:t>Nistatina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_Toc165537302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152</w:t>
            </w:r>
            <w:r w:rsidRPr="00D1428E">
              <w:rPr>
                <w:rFonts w:ascii="Swis721 Th BT" w:hAnsi="Swis721 Th BT"/>
                <w:noProof/>
                <w:webHidden/>
                <w:sz w:val="23"/>
                <w:szCs w:val="23"/>
              </w:rPr>
              <w:fldChar w:fldCharType="end"/>
            </w:r>
          </w:hyperlink>
        </w:p>
        <w:p w14:paraId="43536956" w14:textId="2B6317B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03" w:history="1">
            <w:r w:rsidRPr="00D1428E">
              <w:rPr>
                <w:rStyle w:val="Hyperlink"/>
                <w:rFonts w:ascii="Swis721 Th BT" w:hAnsi="Swis721 Th BT"/>
                <w:b/>
                <w:noProof/>
                <w:sz w:val="23"/>
                <w:szCs w:val="23"/>
              </w:rPr>
              <w:t>INFECÇÃO DO TRATO URINÁRIO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_Toc165537303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153</w:t>
            </w:r>
            <w:r w:rsidRPr="00D1428E">
              <w:rPr>
                <w:rFonts w:ascii="Swis721 Th BT" w:hAnsi="Swis721 Th BT"/>
                <w:noProof/>
                <w:webHidden/>
                <w:sz w:val="23"/>
                <w:szCs w:val="23"/>
              </w:rPr>
              <w:fldChar w:fldCharType="end"/>
            </w:r>
          </w:hyperlink>
        </w:p>
        <w:p w14:paraId="71FCEC0B"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04" w:history="1">
            <w:r w:rsidRPr="00D1428E">
              <w:rPr>
                <w:rStyle w:val="Hyperlink"/>
                <w:rFonts w:ascii="Swis721 Th BT" w:hAnsi="Swis721 Th BT"/>
                <w:noProof/>
                <w:sz w:val="23"/>
                <w:szCs w:val="23"/>
              </w:rPr>
              <w:t>D-manose</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_Toc165537304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154</w:t>
            </w:r>
            <w:r w:rsidRPr="00D1428E">
              <w:rPr>
                <w:rFonts w:ascii="Swis721 Th BT" w:hAnsi="Swis721 Th BT"/>
                <w:noProof/>
                <w:webHidden/>
                <w:sz w:val="23"/>
                <w:szCs w:val="23"/>
              </w:rPr>
              <w:fldChar w:fldCharType="end"/>
            </w:r>
          </w:hyperlink>
        </w:p>
        <w:p w14:paraId="0EF8601B"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05"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_Toc165537305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155</w:t>
            </w:r>
            <w:r w:rsidRPr="00D1428E">
              <w:rPr>
                <w:rFonts w:ascii="Swis721 Th BT" w:hAnsi="Swis721 Th BT"/>
                <w:noProof/>
                <w:webHidden/>
                <w:sz w:val="23"/>
                <w:szCs w:val="23"/>
              </w:rPr>
              <w:fldChar w:fldCharType="end"/>
            </w:r>
          </w:hyperlink>
        </w:p>
        <w:p w14:paraId="698B93E5"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06" w:history="1">
            <w:r w:rsidRPr="00D1428E">
              <w:rPr>
                <w:rStyle w:val="Hyperlink"/>
                <w:rFonts w:ascii="Swis721 Th BT" w:hAnsi="Swis721 Th BT"/>
                <w:bCs/>
                <w:iCs/>
                <w:noProof/>
                <w:sz w:val="23"/>
                <w:szCs w:val="23"/>
              </w:rPr>
              <w:t>D-manose e Cranberry</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_Toc165537306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156</w:t>
            </w:r>
            <w:r w:rsidRPr="00D1428E">
              <w:rPr>
                <w:rFonts w:ascii="Swis721 Th BT" w:hAnsi="Swis721 Th BT"/>
                <w:noProof/>
                <w:webHidden/>
                <w:sz w:val="23"/>
                <w:szCs w:val="23"/>
              </w:rPr>
              <w:fldChar w:fldCharType="end"/>
            </w:r>
          </w:hyperlink>
        </w:p>
        <w:p w14:paraId="2AB598DA"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07"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_Toc165537307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157</w:t>
            </w:r>
            <w:r w:rsidRPr="00D1428E">
              <w:rPr>
                <w:rFonts w:ascii="Swis721 Th BT" w:hAnsi="Swis721 Th BT"/>
                <w:noProof/>
                <w:webHidden/>
                <w:sz w:val="23"/>
                <w:szCs w:val="23"/>
              </w:rPr>
              <w:fldChar w:fldCharType="end"/>
            </w:r>
          </w:hyperlink>
        </w:p>
        <w:p w14:paraId="13B5A2D0"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08" w:history="1">
            <w:r w:rsidRPr="00D1428E">
              <w:rPr>
                <w:rStyle w:val="Hyperlink"/>
                <w:rFonts w:ascii="Swis721 Th BT" w:hAnsi="Swis721 Th BT"/>
                <w:bCs/>
                <w:iCs/>
                <w:noProof/>
                <w:sz w:val="23"/>
                <w:szCs w:val="23"/>
              </w:rPr>
              <w:t xml:space="preserve">L-Metionina, </w:t>
            </w:r>
            <w:r w:rsidRPr="00D1428E">
              <w:rPr>
                <w:rStyle w:val="Hyperlink"/>
                <w:rFonts w:ascii="Swis721 Th BT" w:hAnsi="Swis721 Th BT"/>
                <w:bCs/>
                <w:i/>
                <w:iCs/>
                <w:noProof/>
                <w:sz w:val="23"/>
                <w:szCs w:val="23"/>
              </w:rPr>
              <w:t>Hibiscus sabdariffa</w:t>
            </w:r>
            <w:r w:rsidRPr="00D1428E">
              <w:rPr>
                <w:rStyle w:val="Hyperlink"/>
                <w:rFonts w:ascii="Swis721 Th BT" w:hAnsi="Swis721 Th BT"/>
                <w:bCs/>
                <w:iCs/>
                <w:noProof/>
                <w:sz w:val="23"/>
                <w:szCs w:val="23"/>
              </w:rPr>
              <w:t xml:space="preserve"> e </w:t>
            </w:r>
            <w:r w:rsidRPr="00D1428E">
              <w:rPr>
                <w:rStyle w:val="Hyperlink"/>
                <w:rFonts w:ascii="Swis721 Th BT" w:hAnsi="Swis721 Th BT"/>
                <w:bCs/>
                <w:i/>
                <w:iCs/>
                <w:noProof/>
                <w:sz w:val="23"/>
                <w:szCs w:val="23"/>
              </w:rPr>
              <w:t>Boswellia serrata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_Toc165537308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158</w:t>
            </w:r>
            <w:r w:rsidRPr="00D1428E">
              <w:rPr>
                <w:rFonts w:ascii="Swis721 Th BT" w:hAnsi="Swis721 Th BT"/>
                <w:noProof/>
                <w:webHidden/>
                <w:sz w:val="23"/>
                <w:szCs w:val="23"/>
              </w:rPr>
              <w:fldChar w:fldCharType="end"/>
            </w:r>
          </w:hyperlink>
        </w:p>
        <w:p w14:paraId="3A33C135"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09"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_Toc165537309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159</w:t>
            </w:r>
            <w:r w:rsidRPr="00D1428E">
              <w:rPr>
                <w:rFonts w:ascii="Swis721 Th BT" w:hAnsi="Swis721 Th BT"/>
                <w:noProof/>
                <w:webHidden/>
                <w:sz w:val="23"/>
                <w:szCs w:val="23"/>
              </w:rPr>
              <w:fldChar w:fldCharType="end"/>
            </w:r>
          </w:hyperlink>
        </w:p>
        <w:p w14:paraId="6E87D835"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10" w:history="1">
            <w:r w:rsidRPr="00D1428E">
              <w:rPr>
                <w:rStyle w:val="Hyperlink"/>
                <w:rFonts w:ascii="Swis721 Th BT" w:hAnsi="Swis721 Th BT"/>
                <w:bCs/>
                <w:iCs/>
                <w:noProof/>
                <w:sz w:val="23"/>
                <w:szCs w:val="23"/>
              </w:rPr>
              <w:t>Picnogenol</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_Toc165537310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160</w:t>
            </w:r>
            <w:r w:rsidRPr="00D1428E">
              <w:rPr>
                <w:rFonts w:ascii="Swis721 Th BT" w:hAnsi="Swis721 Th BT"/>
                <w:noProof/>
                <w:webHidden/>
                <w:sz w:val="23"/>
                <w:szCs w:val="23"/>
              </w:rPr>
              <w:fldChar w:fldCharType="end"/>
            </w:r>
          </w:hyperlink>
        </w:p>
        <w:p w14:paraId="6C7E4DCE"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11"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_Toc165537311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161</w:t>
            </w:r>
            <w:r w:rsidRPr="00D1428E">
              <w:rPr>
                <w:rFonts w:ascii="Swis721 Th BT" w:hAnsi="Swis721 Th BT"/>
                <w:noProof/>
                <w:webHidden/>
                <w:sz w:val="23"/>
                <w:szCs w:val="23"/>
              </w:rPr>
              <w:fldChar w:fldCharType="end"/>
            </w:r>
          </w:hyperlink>
        </w:p>
        <w:p w14:paraId="447BCF0C"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12" w:history="1">
            <w:r w:rsidRPr="00D1428E">
              <w:rPr>
                <w:rStyle w:val="Hyperlink"/>
                <w:rFonts w:ascii="Swis721 Th BT" w:hAnsi="Swis721 Th BT"/>
                <w:bCs/>
                <w:iCs/>
                <w:noProof/>
                <w:sz w:val="23"/>
                <w:szCs w:val="23"/>
              </w:rPr>
              <w:t>Própolis</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_Toc165537312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162</w:t>
            </w:r>
            <w:r w:rsidRPr="00D1428E">
              <w:rPr>
                <w:rFonts w:ascii="Swis721 Th BT" w:hAnsi="Swis721 Th BT"/>
                <w:noProof/>
                <w:webHidden/>
                <w:sz w:val="23"/>
                <w:szCs w:val="23"/>
              </w:rPr>
              <w:fldChar w:fldCharType="end"/>
            </w:r>
          </w:hyperlink>
        </w:p>
        <w:p w14:paraId="5CC2D8E6"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13"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_Toc165537313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163</w:t>
            </w:r>
            <w:r w:rsidRPr="00D1428E">
              <w:rPr>
                <w:rFonts w:ascii="Swis721 Th BT" w:hAnsi="Swis721 Th BT"/>
                <w:noProof/>
                <w:webHidden/>
                <w:sz w:val="23"/>
                <w:szCs w:val="23"/>
              </w:rPr>
              <w:fldChar w:fldCharType="end"/>
            </w:r>
          </w:hyperlink>
        </w:p>
        <w:p w14:paraId="3A07CBB8"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14" w:history="1">
            <w:r w:rsidRPr="00D1428E">
              <w:rPr>
                <w:rStyle w:val="Hyperlink"/>
                <w:rFonts w:ascii="Swis721 Th BT" w:hAnsi="Swis721 Th BT"/>
                <w:bCs/>
                <w:iCs/>
                <w:noProof/>
                <w:sz w:val="23"/>
                <w:szCs w:val="23"/>
              </w:rPr>
              <w:t>Própolis e Cranberry</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_Toc165537314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164</w:t>
            </w:r>
            <w:r w:rsidRPr="00D1428E">
              <w:rPr>
                <w:rFonts w:ascii="Swis721 Th BT" w:hAnsi="Swis721 Th BT"/>
                <w:noProof/>
                <w:webHidden/>
                <w:sz w:val="23"/>
                <w:szCs w:val="23"/>
              </w:rPr>
              <w:fldChar w:fldCharType="end"/>
            </w:r>
          </w:hyperlink>
        </w:p>
        <w:p w14:paraId="581F155A"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15"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_Toc165537315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165</w:t>
            </w:r>
            <w:r w:rsidRPr="00D1428E">
              <w:rPr>
                <w:rFonts w:ascii="Swis721 Th BT" w:hAnsi="Swis721 Th BT"/>
                <w:noProof/>
                <w:webHidden/>
                <w:sz w:val="23"/>
                <w:szCs w:val="23"/>
              </w:rPr>
              <w:fldChar w:fldCharType="end"/>
            </w:r>
          </w:hyperlink>
        </w:p>
        <w:p w14:paraId="3B8310C9" w14:textId="50464DBE"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16" w:history="1">
            <w:r w:rsidRPr="00D1428E">
              <w:rPr>
                <w:rStyle w:val="Hyperlink"/>
                <w:rFonts w:ascii="Swis721 Th BT" w:hAnsi="Swis721 Th BT"/>
                <w:b/>
                <w:noProof/>
                <w:sz w:val="23"/>
                <w:szCs w:val="23"/>
              </w:rPr>
              <w:t>GESTAÇÃO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_Toc165537316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166</w:t>
            </w:r>
            <w:r w:rsidRPr="00D1428E">
              <w:rPr>
                <w:rFonts w:ascii="Swis721 Th BT" w:hAnsi="Swis721 Th BT"/>
                <w:noProof/>
                <w:webHidden/>
                <w:sz w:val="23"/>
                <w:szCs w:val="23"/>
              </w:rPr>
              <w:fldChar w:fldCharType="end"/>
            </w:r>
          </w:hyperlink>
        </w:p>
        <w:p w14:paraId="2E27C8DC"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17" w:history="1">
            <w:r w:rsidRPr="00D1428E">
              <w:rPr>
                <w:rStyle w:val="Hyperlink"/>
                <w:rFonts w:ascii="Swis721 Th BT" w:hAnsi="Swis721 Th BT"/>
                <w:bCs/>
                <w:iCs/>
                <w:noProof/>
                <w:sz w:val="23"/>
                <w:szCs w:val="23"/>
              </w:rPr>
              <w:t>Vitamina C</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_Toc165537317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167</w:t>
            </w:r>
            <w:r w:rsidRPr="00D1428E">
              <w:rPr>
                <w:rFonts w:ascii="Swis721 Th BT" w:hAnsi="Swis721 Th BT"/>
                <w:noProof/>
                <w:webHidden/>
                <w:sz w:val="23"/>
                <w:szCs w:val="23"/>
              </w:rPr>
              <w:fldChar w:fldCharType="end"/>
            </w:r>
          </w:hyperlink>
        </w:p>
        <w:p w14:paraId="47517198"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18"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_Toc165537318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168</w:t>
            </w:r>
            <w:r w:rsidRPr="00D1428E">
              <w:rPr>
                <w:rFonts w:ascii="Swis721 Th BT" w:hAnsi="Swis721 Th BT"/>
                <w:noProof/>
                <w:webHidden/>
                <w:sz w:val="23"/>
                <w:szCs w:val="23"/>
              </w:rPr>
              <w:fldChar w:fldCharType="end"/>
            </w:r>
          </w:hyperlink>
        </w:p>
        <w:p w14:paraId="1A7FAD9C"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19" w:history="1">
            <w:r w:rsidRPr="00D1428E">
              <w:rPr>
                <w:rStyle w:val="Hyperlink"/>
                <w:rFonts w:ascii="Swis721 Th BT" w:hAnsi="Swis721 Th BT"/>
                <w:bCs/>
                <w:iCs/>
                <w:noProof/>
                <w:sz w:val="23"/>
                <w:szCs w:val="23"/>
              </w:rPr>
              <w:t>Vitamina B12</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_Toc165537319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169</w:t>
            </w:r>
            <w:r w:rsidRPr="00D1428E">
              <w:rPr>
                <w:rFonts w:ascii="Swis721 Th BT" w:hAnsi="Swis721 Th BT"/>
                <w:noProof/>
                <w:webHidden/>
                <w:sz w:val="23"/>
                <w:szCs w:val="23"/>
              </w:rPr>
              <w:fldChar w:fldCharType="end"/>
            </w:r>
          </w:hyperlink>
        </w:p>
        <w:p w14:paraId="2F3407E6"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20"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_Toc165537320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170</w:t>
            </w:r>
            <w:r w:rsidRPr="00D1428E">
              <w:rPr>
                <w:rFonts w:ascii="Swis721 Th BT" w:hAnsi="Swis721 Th BT"/>
                <w:noProof/>
                <w:webHidden/>
                <w:sz w:val="23"/>
                <w:szCs w:val="23"/>
              </w:rPr>
              <w:fldChar w:fldCharType="end"/>
            </w:r>
          </w:hyperlink>
        </w:p>
        <w:p w14:paraId="7A1FCE4E"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21" w:history="1">
            <w:r w:rsidRPr="00D1428E">
              <w:rPr>
                <w:rStyle w:val="Hyperlink"/>
                <w:rFonts w:ascii="Swis721 Th BT" w:hAnsi="Swis721 Th BT"/>
                <w:bCs/>
                <w:iCs/>
                <w:noProof/>
                <w:sz w:val="23"/>
                <w:szCs w:val="23"/>
              </w:rPr>
              <w:t>Ácido Fólico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_Toc165537321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171</w:t>
            </w:r>
            <w:r w:rsidRPr="00D1428E">
              <w:rPr>
                <w:rFonts w:ascii="Swis721 Th BT" w:hAnsi="Swis721 Th BT"/>
                <w:noProof/>
                <w:webHidden/>
                <w:sz w:val="23"/>
                <w:szCs w:val="23"/>
              </w:rPr>
              <w:fldChar w:fldCharType="end"/>
            </w:r>
          </w:hyperlink>
        </w:p>
        <w:p w14:paraId="313A78AE"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22"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_Toc165537322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172</w:t>
            </w:r>
            <w:r w:rsidRPr="00D1428E">
              <w:rPr>
                <w:rFonts w:ascii="Swis721 Th BT" w:hAnsi="Swis721 Th BT"/>
                <w:noProof/>
                <w:webHidden/>
                <w:sz w:val="23"/>
                <w:szCs w:val="23"/>
              </w:rPr>
              <w:fldChar w:fldCharType="end"/>
            </w:r>
          </w:hyperlink>
        </w:p>
        <w:p w14:paraId="2B3465E2"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23" w:history="1">
            <w:r w:rsidRPr="00D1428E">
              <w:rPr>
                <w:rStyle w:val="Hyperlink"/>
                <w:rFonts w:ascii="Swis721 Th BT" w:hAnsi="Swis721 Th BT"/>
                <w:bCs/>
                <w:iCs/>
                <w:noProof/>
                <w:sz w:val="23"/>
                <w:szCs w:val="23"/>
              </w:rPr>
              <w:t>Vitamina D</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_Toc165537323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173</w:t>
            </w:r>
            <w:r w:rsidRPr="00D1428E">
              <w:rPr>
                <w:rFonts w:ascii="Swis721 Th BT" w:hAnsi="Swis721 Th BT"/>
                <w:noProof/>
                <w:webHidden/>
                <w:sz w:val="23"/>
                <w:szCs w:val="23"/>
              </w:rPr>
              <w:fldChar w:fldCharType="end"/>
            </w:r>
          </w:hyperlink>
        </w:p>
        <w:p w14:paraId="14354B32"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24"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_Toc165537324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174</w:t>
            </w:r>
            <w:r w:rsidRPr="00D1428E">
              <w:rPr>
                <w:rFonts w:ascii="Swis721 Th BT" w:hAnsi="Swis721 Th BT"/>
                <w:noProof/>
                <w:webHidden/>
                <w:sz w:val="23"/>
                <w:szCs w:val="23"/>
              </w:rPr>
              <w:fldChar w:fldCharType="end"/>
            </w:r>
          </w:hyperlink>
        </w:p>
        <w:p w14:paraId="5B928A90"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25" w:history="1">
            <w:r w:rsidRPr="00D1428E">
              <w:rPr>
                <w:rStyle w:val="Hyperlink"/>
                <w:rFonts w:ascii="Swis721 Th BT" w:hAnsi="Swis721 Th BT"/>
                <w:bCs/>
                <w:i/>
                <w:iCs/>
                <w:noProof/>
                <w:sz w:val="23"/>
                <w:szCs w:val="23"/>
              </w:rPr>
              <w:t>Lactobacillus</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_Toc165537325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175</w:t>
            </w:r>
            <w:r w:rsidRPr="00D1428E">
              <w:rPr>
                <w:rFonts w:ascii="Swis721 Th BT" w:hAnsi="Swis721 Th BT"/>
                <w:noProof/>
                <w:webHidden/>
                <w:sz w:val="23"/>
                <w:szCs w:val="23"/>
              </w:rPr>
              <w:fldChar w:fldCharType="end"/>
            </w:r>
          </w:hyperlink>
        </w:p>
        <w:p w14:paraId="1FDAA881"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26"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_Toc165537326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176</w:t>
            </w:r>
            <w:r w:rsidRPr="00D1428E">
              <w:rPr>
                <w:rFonts w:ascii="Swis721 Th BT" w:hAnsi="Swis721 Th BT"/>
                <w:noProof/>
                <w:webHidden/>
                <w:sz w:val="23"/>
                <w:szCs w:val="23"/>
              </w:rPr>
              <w:fldChar w:fldCharType="end"/>
            </w:r>
          </w:hyperlink>
        </w:p>
        <w:p w14:paraId="227F2FD0"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27" w:history="1">
            <w:r w:rsidRPr="00D1428E">
              <w:rPr>
                <w:rStyle w:val="Hyperlink"/>
                <w:rFonts w:ascii="Swis721 Th BT" w:hAnsi="Swis721 Th BT"/>
                <w:bCs/>
                <w:iCs/>
                <w:noProof/>
                <w:sz w:val="23"/>
                <w:szCs w:val="23"/>
              </w:rPr>
              <w:t>Selênio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_Toc165537327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177</w:t>
            </w:r>
            <w:r w:rsidRPr="00D1428E">
              <w:rPr>
                <w:rFonts w:ascii="Swis721 Th BT" w:hAnsi="Swis721 Th BT"/>
                <w:noProof/>
                <w:webHidden/>
                <w:sz w:val="23"/>
                <w:szCs w:val="23"/>
              </w:rPr>
              <w:fldChar w:fldCharType="end"/>
            </w:r>
          </w:hyperlink>
        </w:p>
        <w:p w14:paraId="0459F4F7"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28"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_Toc165537328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178</w:t>
            </w:r>
            <w:r w:rsidRPr="00D1428E">
              <w:rPr>
                <w:rFonts w:ascii="Swis721 Th BT" w:hAnsi="Swis721 Th BT"/>
                <w:noProof/>
                <w:webHidden/>
                <w:sz w:val="23"/>
                <w:szCs w:val="23"/>
              </w:rPr>
              <w:fldChar w:fldCharType="end"/>
            </w:r>
          </w:hyperlink>
        </w:p>
        <w:p w14:paraId="0A175644"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29" w:history="1">
            <w:r w:rsidRPr="00D1428E">
              <w:rPr>
                <w:rStyle w:val="Hyperlink"/>
                <w:rFonts w:ascii="Swis721 Th BT" w:hAnsi="Swis721 Th BT"/>
                <w:bCs/>
                <w:iCs/>
                <w:noProof/>
                <w:sz w:val="23"/>
                <w:szCs w:val="23"/>
              </w:rPr>
              <w:t>Glucomannan</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_Toc165537329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179</w:t>
            </w:r>
            <w:r w:rsidRPr="00D1428E">
              <w:rPr>
                <w:rFonts w:ascii="Swis721 Th BT" w:hAnsi="Swis721 Th BT"/>
                <w:noProof/>
                <w:webHidden/>
                <w:sz w:val="23"/>
                <w:szCs w:val="23"/>
              </w:rPr>
              <w:fldChar w:fldCharType="end"/>
            </w:r>
          </w:hyperlink>
        </w:p>
        <w:p w14:paraId="3C551A76"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30"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_Toc165537330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180</w:t>
            </w:r>
            <w:r w:rsidRPr="00D1428E">
              <w:rPr>
                <w:rFonts w:ascii="Swis721 Th BT" w:hAnsi="Swis721 Th BT"/>
                <w:noProof/>
                <w:webHidden/>
                <w:sz w:val="23"/>
                <w:szCs w:val="23"/>
              </w:rPr>
              <w:fldChar w:fldCharType="end"/>
            </w:r>
          </w:hyperlink>
        </w:p>
        <w:p w14:paraId="27E4FDB5"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31" w:history="1">
            <w:r w:rsidRPr="00D1428E">
              <w:rPr>
                <w:rStyle w:val="Hyperlink"/>
                <w:rFonts w:ascii="Swis721 Th BT" w:hAnsi="Swis721 Th BT"/>
                <w:bCs/>
                <w:iCs/>
                <w:noProof/>
                <w:sz w:val="23"/>
                <w:szCs w:val="23"/>
              </w:rPr>
              <w:t>Gengibre</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_Toc165537331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181</w:t>
            </w:r>
            <w:r w:rsidRPr="00D1428E">
              <w:rPr>
                <w:rFonts w:ascii="Swis721 Th BT" w:hAnsi="Swis721 Th BT"/>
                <w:noProof/>
                <w:webHidden/>
                <w:sz w:val="23"/>
                <w:szCs w:val="23"/>
              </w:rPr>
              <w:fldChar w:fldCharType="end"/>
            </w:r>
          </w:hyperlink>
        </w:p>
        <w:p w14:paraId="16E5BE41"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32"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_Toc165537332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182</w:t>
            </w:r>
            <w:r w:rsidRPr="00D1428E">
              <w:rPr>
                <w:rFonts w:ascii="Swis721 Th BT" w:hAnsi="Swis721 Th BT"/>
                <w:noProof/>
                <w:webHidden/>
                <w:sz w:val="23"/>
                <w:szCs w:val="23"/>
              </w:rPr>
              <w:fldChar w:fldCharType="end"/>
            </w:r>
          </w:hyperlink>
        </w:p>
        <w:p w14:paraId="06C0919E" w14:textId="51B6D4B4"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33" w:history="1">
            <w:r w:rsidRPr="00D1428E">
              <w:rPr>
                <w:rStyle w:val="Hyperlink"/>
                <w:rFonts w:ascii="Swis721 Th BT" w:hAnsi="Swis721 Th BT"/>
                <w:b/>
                <w:noProof/>
                <w:sz w:val="23"/>
                <w:szCs w:val="23"/>
              </w:rPr>
              <w:t>SUPORTE AO TRATAMENTO DO CÂNCER DE MAMA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_Toc165537333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183</w:t>
            </w:r>
            <w:r w:rsidRPr="00D1428E">
              <w:rPr>
                <w:rFonts w:ascii="Swis721 Th BT" w:hAnsi="Swis721 Th BT"/>
                <w:noProof/>
                <w:webHidden/>
                <w:sz w:val="23"/>
                <w:szCs w:val="23"/>
              </w:rPr>
              <w:fldChar w:fldCharType="end"/>
            </w:r>
          </w:hyperlink>
        </w:p>
        <w:p w14:paraId="249F113F"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34" w:history="1">
            <w:r w:rsidRPr="00D1428E">
              <w:rPr>
                <w:rStyle w:val="Hyperlink"/>
                <w:rFonts w:ascii="Swis721 Th BT" w:hAnsi="Swis721 Th BT"/>
                <w:bCs/>
                <w:iCs/>
                <w:noProof/>
                <w:sz w:val="23"/>
                <w:szCs w:val="23"/>
              </w:rPr>
              <w:t>Coenzima Q10</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_Toc165537334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184</w:t>
            </w:r>
            <w:r w:rsidRPr="00D1428E">
              <w:rPr>
                <w:rFonts w:ascii="Swis721 Th BT" w:hAnsi="Swis721 Th BT"/>
                <w:noProof/>
                <w:webHidden/>
                <w:sz w:val="23"/>
                <w:szCs w:val="23"/>
              </w:rPr>
              <w:fldChar w:fldCharType="end"/>
            </w:r>
          </w:hyperlink>
        </w:p>
        <w:p w14:paraId="0565763B"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35"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_Toc165537335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185</w:t>
            </w:r>
            <w:r w:rsidRPr="00D1428E">
              <w:rPr>
                <w:rFonts w:ascii="Swis721 Th BT" w:hAnsi="Swis721 Th BT"/>
                <w:noProof/>
                <w:webHidden/>
                <w:sz w:val="23"/>
                <w:szCs w:val="23"/>
              </w:rPr>
              <w:fldChar w:fldCharType="end"/>
            </w:r>
          </w:hyperlink>
        </w:p>
        <w:p w14:paraId="20756ED5"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36" w:history="1">
            <w:r w:rsidRPr="00D1428E">
              <w:rPr>
                <w:rStyle w:val="Hyperlink"/>
                <w:rFonts w:ascii="Swis721 Th BT" w:hAnsi="Swis721 Th BT"/>
                <w:bCs/>
                <w:iCs/>
                <w:noProof/>
                <w:sz w:val="23"/>
                <w:szCs w:val="23"/>
              </w:rPr>
              <w:t>Óleo de Peixe, Hidroxitirosol e Curcumina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_Toc165537336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186</w:t>
            </w:r>
            <w:r w:rsidRPr="00D1428E">
              <w:rPr>
                <w:rFonts w:ascii="Swis721 Th BT" w:hAnsi="Swis721 Th BT"/>
                <w:noProof/>
                <w:webHidden/>
                <w:sz w:val="23"/>
                <w:szCs w:val="23"/>
              </w:rPr>
              <w:fldChar w:fldCharType="end"/>
            </w:r>
          </w:hyperlink>
        </w:p>
        <w:p w14:paraId="54299A19"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37"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_Toc165537337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187</w:t>
            </w:r>
            <w:r w:rsidRPr="00D1428E">
              <w:rPr>
                <w:rFonts w:ascii="Swis721 Th BT" w:hAnsi="Swis721 Th BT"/>
                <w:noProof/>
                <w:webHidden/>
                <w:sz w:val="23"/>
                <w:szCs w:val="23"/>
              </w:rPr>
              <w:fldChar w:fldCharType="end"/>
            </w:r>
          </w:hyperlink>
        </w:p>
        <w:p w14:paraId="5B099E2D"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38" w:history="1">
            <w:r w:rsidRPr="00D1428E">
              <w:rPr>
                <w:rStyle w:val="Hyperlink"/>
                <w:rFonts w:ascii="Swis721 Th BT" w:hAnsi="Swis721 Th BT"/>
                <w:bCs/>
                <w:iCs/>
                <w:noProof/>
                <w:sz w:val="23"/>
                <w:szCs w:val="23"/>
              </w:rPr>
              <w:t>Curcumina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_Toc165537338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188</w:t>
            </w:r>
            <w:r w:rsidRPr="00D1428E">
              <w:rPr>
                <w:rFonts w:ascii="Swis721 Th BT" w:hAnsi="Swis721 Th BT"/>
                <w:noProof/>
                <w:webHidden/>
                <w:sz w:val="23"/>
                <w:szCs w:val="23"/>
              </w:rPr>
              <w:fldChar w:fldCharType="end"/>
            </w:r>
          </w:hyperlink>
        </w:p>
        <w:p w14:paraId="1B06102C"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39"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_Toc165537339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189</w:t>
            </w:r>
            <w:r w:rsidRPr="00D1428E">
              <w:rPr>
                <w:rFonts w:ascii="Swis721 Th BT" w:hAnsi="Swis721 Th BT"/>
                <w:noProof/>
                <w:webHidden/>
                <w:sz w:val="23"/>
                <w:szCs w:val="23"/>
              </w:rPr>
              <w:fldChar w:fldCharType="end"/>
            </w:r>
          </w:hyperlink>
        </w:p>
        <w:p w14:paraId="52A72A12"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40" w:history="1">
            <w:r w:rsidRPr="00D1428E">
              <w:rPr>
                <w:rStyle w:val="Hyperlink"/>
                <w:rFonts w:ascii="Swis721 Th BT" w:hAnsi="Swis721 Th BT"/>
                <w:bCs/>
                <w:iCs/>
                <w:noProof/>
                <w:sz w:val="23"/>
                <w:szCs w:val="23"/>
              </w:rPr>
              <w:t>Simbióticos</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_Toc165537340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190</w:t>
            </w:r>
            <w:r w:rsidRPr="00D1428E">
              <w:rPr>
                <w:rFonts w:ascii="Swis721 Th BT" w:hAnsi="Swis721 Th BT"/>
                <w:noProof/>
                <w:webHidden/>
                <w:sz w:val="23"/>
                <w:szCs w:val="23"/>
              </w:rPr>
              <w:fldChar w:fldCharType="end"/>
            </w:r>
          </w:hyperlink>
        </w:p>
        <w:p w14:paraId="7205D651"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41"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_Toc165537341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191</w:t>
            </w:r>
            <w:r w:rsidRPr="00D1428E">
              <w:rPr>
                <w:rFonts w:ascii="Swis721 Th BT" w:hAnsi="Swis721 Th BT"/>
                <w:noProof/>
                <w:webHidden/>
                <w:sz w:val="23"/>
                <w:szCs w:val="23"/>
              </w:rPr>
              <w:fldChar w:fldCharType="end"/>
            </w:r>
          </w:hyperlink>
        </w:p>
        <w:p w14:paraId="64FBE333"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42" w:history="1">
            <w:r w:rsidRPr="00D1428E">
              <w:rPr>
                <w:rStyle w:val="Hyperlink"/>
                <w:rFonts w:ascii="Swis721 Th BT" w:hAnsi="Swis721 Th BT"/>
                <w:bCs/>
                <w:iCs/>
                <w:noProof/>
                <w:sz w:val="23"/>
                <w:szCs w:val="23"/>
              </w:rPr>
              <w:t>Inulina</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_Toc165537342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192</w:t>
            </w:r>
            <w:r w:rsidRPr="00D1428E">
              <w:rPr>
                <w:rFonts w:ascii="Swis721 Th BT" w:hAnsi="Swis721 Th BT"/>
                <w:noProof/>
                <w:webHidden/>
                <w:sz w:val="23"/>
                <w:szCs w:val="23"/>
              </w:rPr>
              <w:fldChar w:fldCharType="end"/>
            </w:r>
          </w:hyperlink>
        </w:p>
        <w:p w14:paraId="2E480C72" w14:textId="77777777" w:rsidR="00D1428E" w:rsidRPr="00D1428E" w:rsidRDefault="00D1428E">
          <w:pPr>
            <w:pStyle w:val="Sumrio1"/>
            <w:tabs>
              <w:tab w:val="right" w:leader="dot" w:pos="9061"/>
            </w:tabs>
            <w:rPr>
              <w:rFonts w:ascii="Swis721 Th BT" w:eastAsiaTheme="minorEastAsia" w:hAnsi="Swis721 Th BT"/>
              <w:noProof/>
              <w:sz w:val="23"/>
              <w:szCs w:val="23"/>
              <w:lang w:eastAsia="pt-BR"/>
            </w:rPr>
          </w:pPr>
          <w:hyperlink w:anchor="_Toc165537343" w:history="1">
            <w:r w:rsidRPr="00D1428E">
              <w:rPr>
                <w:rStyle w:val="Hyperlink"/>
                <w:rFonts w:ascii="Swis721 Th BT" w:hAnsi="Swis721 Th BT"/>
                <w:noProof/>
                <w:sz w:val="23"/>
                <w:szCs w:val="23"/>
              </w:rPr>
              <w:t>Formulário</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_Toc165537343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193</w:t>
            </w:r>
            <w:r w:rsidRPr="00D1428E">
              <w:rPr>
                <w:rFonts w:ascii="Swis721 Th BT" w:hAnsi="Swis721 Th BT"/>
                <w:noProof/>
                <w:webHidden/>
                <w:sz w:val="23"/>
                <w:szCs w:val="23"/>
              </w:rPr>
              <w:fldChar w:fldCharType="end"/>
            </w:r>
          </w:hyperlink>
        </w:p>
        <w:p w14:paraId="1D1240FE" w14:textId="7DD25EA9" w:rsidR="00D1428E" w:rsidRDefault="00D1428E">
          <w:pPr>
            <w:pStyle w:val="Sumrio1"/>
            <w:tabs>
              <w:tab w:val="right" w:leader="dot" w:pos="9061"/>
            </w:tabs>
            <w:rPr>
              <w:rFonts w:eastAsiaTheme="minorEastAsia"/>
              <w:noProof/>
              <w:lang w:eastAsia="pt-BR"/>
            </w:rPr>
          </w:pPr>
          <w:hyperlink w:anchor="_Toc165537344" w:history="1">
            <w:r w:rsidRPr="00D1428E">
              <w:rPr>
                <w:rStyle w:val="Hyperlink"/>
                <w:rFonts w:ascii="Swis721 Th BT" w:hAnsi="Swis721 Th BT"/>
                <w:b/>
                <w:noProof/>
                <w:sz w:val="23"/>
                <w:szCs w:val="23"/>
              </w:rPr>
              <w:t>REFERÊNCIAS</w:t>
            </w:r>
            <w:r w:rsidRPr="00D1428E">
              <w:rPr>
                <w:rFonts w:ascii="Swis721 Th BT" w:hAnsi="Swis721 Th BT"/>
                <w:noProof/>
                <w:webHidden/>
                <w:sz w:val="23"/>
                <w:szCs w:val="23"/>
              </w:rPr>
              <w:tab/>
            </w:r>
            <w:r w:rsidRPr="00D1428E">
              <w:rPr>
                <w:rFonts w:ascii="Swis721 Th BT" w:hAnsi="Swis721 Th BT"/>
                <w:noProof/>
                <w:webHidden/>
                <w:sz w:val="23"/>
                <w:szCs w:val="23"/>
              </w:rPr>
              <w:fldChar w:fldCharType="begin"/>
            </w:r>
            <w:r w:rsidRPr="00D1428E">
              <w:rPr>
                <w:rFonts w:ascii="Swis721 Th BT" w:hAnsi="Swis721 Th BT"/>
                <w:noProof/>
                <w:webHidden/>
                <w:sz w:val="23"/>
                <w:szCs w:val="23"/>
              </w:rPr>
              <w:instrText xml:space="preserve"> PAGEREF _Toc165537344 \h </w:instrText>
            </w:r>
            <w:r w:rsidRPr="00D1428E">
              <w:rPr>
                <w:rFonts w:ascii="Swis721 Th BT" w:hAnsi="Swis721 Th BT"/>
                <w:noProof/>
                <w:webHidden/>
                <w:sz w:val="23"/>
                <w:szCs w:val="23"/>
              </w:rPr>
            </w:r>
            <w:r w:rsidRPr="00D1428E">
              <w:rPr>
                <w:rFonts w:ascii="Swis721 Th BT" w:hAnsi="Swis721 Th BT"/>
                <w:noProof/>
                <w:webHidden/>
                <w:sz w:val="23"/>
                <w:szCs w:val="23"/>
              </w:rPr>
              <w:fldChar w:fldCharType="separate"/>
            </w:r>
            <w:r>
              <w:rPr>
                <w:rFonts w:ascii="Swis721 Th BT" w:hAnsi="Swis721 Th BT"/>
                <w:noProof/>
                <w:webHidden/>
                <w:sz w:val="23"/>
                <w:szCs w:val="23"/>
              </w:rPr>
              <w:t>194</w:t>
            </w:r>
            <w:r w:rsidRPr="00D1428E">
              <w:rPr>
                <w:rFonts w:ascii="Swis721 Th BT" w:hAnsi="Swis721 Th BT"/>
                <w:noProof/>
                <w:webHidden/>
                <w:sz w:val="23"/>
                <w:szCs w:val="23"/>
              </w:rPr>
              <w:fldChar w:fldCharType="end"/>
            </w:r>
          </w:hyperlink>
        </w:p>
        <w:p w14:paraId="2E3821B4" w14:textId="77777777" w:rsidR="00CD65C2" w:rsidRDefault="00FA41FC">
          <w:r>
            <w:rPr>
              <w:rFonts w:ascii="Swis721 Th BT" w:hAnsi="Swis721 Th BT"/>
              <w:b/>
              <w:bCs/>
              <w:sz w:val="23"/>
              <w:szCs w:val="23"/>
            </w:rPr>
            <w:fldChar w:fldCharType="end"/>
          </w:r>
        </w:p>
      </w:sdtContent>
    </w:sdt>
    <w:bookmarkEnd w:id="0" w:displacedByCustomXml="prev"/>
    <w:p w14:paraId="4B5950B1" w14:textId="77777777" w:rsidR="00CD65C2" w:rsidRDefault="00FA41FC">
      <w:pPr>
        <w:pStyle w:val="Corpo"/>
        <w:rPr>
          <w:rFonts w:hint="eastAsia"/>
          <w:color w:val="404040" w:themeColor="text1" w:themeTint="BF"/>
        </w:rPr>
      </w:pPr>
      <w:r>
        <w:rPr>
          <w:noProof/>
          <w:color w:val="404040" w:themeColor="text1" w:themeTint="BF"/>
          <w:lang w:eastAsia="pt-BR"/>
        </w:rPr>
        <w:drawing>
          <wp:anchor distT="0" distB="0" distL="114300" distR="114300" simplePos="0" relativeHeight="251691008" behindDoc="0" locked="0" layoutInCell="1" allowOverlap="1">
            <wp:simplePos x="0" y="0"/>
            <wp:positionH relativeFrom="page">
              <wp:posOffset>-2095500</wp:posOffset>
            </wp:positionH>
            <wp:positionV relativeFrom="page">
              <wp:posOffset>28575</wp:posOffset>
            </wp:positionV>
            <wp:extent cx="11273155" cy="7515225"/>
            <wp:effectExtent l="0" t="0" r="5080" b="0"/>
            <wp:wrapTopAndBottom/>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m 3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272838" cy="7515225"/>
                    </a:xfrm>
                    <a:prstGeom prst="rect">
                      <a:avLst/>
                    </a:prstGeom>
                    <a:noFill/>
                    <a:ln>
                      <a:noFill/>
                    </a:ln>
                  </pic:spPr>
                </pic:pic>
              </a:graphicData>
            </a:graphic>
          </wp:anchor>
        </w:drawing>
      </w:r>
    </w:p>
    <w:p w14:paraId="3C79741D" w14:textId="77777777" w:rsidR="00CD65C2" w:rsidRDefault="00CD65C2"/>
    <w:p w14:paraId="1A683FE6" w14:textId="77777777" w:rsidR="00CD65C2" w:rsidRDefault="00FA41FC">
      <w:pPr>
        <w:pStyle w:val="Ttulo1"/>
        <w:jc w:val="center"/>
        <w:rPr>
          <w:rFonts w:hint="eastAsia"/>
        </w:rPr>
      </w:pPr>
      <w:bookmarkStart w:id="1" w:name="_Toc165537153"/>
      <w:r>
        <w:t>Síndrome Pré-menstrual</w:t>
      </w:r>
      <w:bookmarkEnd w:id="1"/>
    </w:p>
    <w:p w14:paraId="2C681959" w14:textId="77777777" w:rsidR="00CD65C2" w:rsidRDefault="00CD65C2">
      <w:pPr>
        <w:pStyle w:val="SemEspaamento"/>
      </w:pPr>
    </w:p>
    <w:p w14:paraId="30A1270D" w14:textId="77777777" w:rsidR="00CD65C2" w:rsidRDefault="00FA41FC">
      <w:pPr>
        <w:pStyle w:val="Ttulo1"/>
        <w:jc w:val="center"/>
        <w:rPr>
          <w:rFonts w:hint="eastAsia"/>
        </w:rPr>
      </w:pPr>
      <w:bookmarkStart w:id="2" w:name="_Toc165537154"/>
      <w:r>
        <w:rPr>
          <w:i/>
        </w:rPr>
        <w:t>Salvia officinalis</w:t>
      </w:r>
      <w:bookmarkEnd w:id="2"/>
    </w:p>
    <w:p w14:paraId="3163EEA5" w14:textId="77777777" w:rsidR="00CD65C2" w:rsidRPr="00D1428E" w:rsidRDefault="00FA41FC">
      <w:pPr>
        <w:pStyle w:val="Corpo"/>
        <w:tabs>
          <w:tab w:val="left" w:pos="5387"/>
        </w:tabs>
        <w:jc w:val="center"/>
        <w:rPr>
          <w:rFonts w:hint="eastAsia"/>
          <w:b/>
          <w:color w:val="0070C0"/>
        </w:rPr>
      </w:pPr>
      <w:r w:rsidRPr="00D1428E">
        <w:rPr>
          <w:b/>
          <w:color w:val="0070C0"/>
          <w:sz w:val="40"/>
          <w:szCs w:val="22"/>
        </w:rPr>
        <w:t>Reduz a Severidade dos Sintomas Físicos e Psicológicos Associados</w:t>
      </w:r>
    </w:p>
    <w:p w14:paraId="61C7105F" w14:textId="77777777" w:rsidR="00CD65C2" w:rsidRDefault="00CD65C2">
      <w:pPr>
        <w:pStyle w:val="Corpo"/>
        <w:spacing w:line="276" w:lineRule="auto"/>
        <w:rPr>
          <w:rFonts w:hint="eastAsia"/>
          <w:color w:val="404040" w:themeColor="text1" w:themeTint="BF"/>
        </w:rPr>
      </w:pPr>
    </w:p>
    <w:p w14:paraId="2CCC03F3" w14:textId="45130627" w:rsidR="00CD65C2" w:rsidRDefault="00FA41FC">
      <w:pPr>
        <w:pStyle w:val="Corpo"/>
        <w:spacing w:after="120"/>
        <w:rPr>
          <w:rFonts w:hint="eastAsia"/>
          <w:color w:val="404040" w:themeColor="text1" w:themeTint="BF"/>
          <w:sz w:val="24"/>
        </w:rPr>
      </w:pPr>
      <w:r>
        <w:rPr>
          <w:color w:val="404040" w:themeColor="text1" w:themeTint="BF"/>
          <w:sz w:val="24"/>
        </w:rPr>
        <w:t xml:space="preserve">O objetivo deste estudo foi avaliar os efeitos da </w:t>
      </w:r>
      <w:r>
        <w:rPr>
          <w:i/>
          <w:color w:val="404040" w:themeColor="text1" w:themeTint="BF"/>
          <w:sz w:val="24"/>
        </w:rPr>
        <w:t>Salvia officinalis</w:t>
      </w:r>
      <w:r>
        <w:rPr>
          <w:color w:val="404040" w:themeColor="text1" w:themeTint="BF"/>
          <w:sz w:val="24"/>
        </w:rPr>
        <w:t xml:space="preserve"> na severidade da Síndrome Pré-Menstrual, SPM (Abdnezhad </w:t>
      </w:r>
      <w:r>
        <w:rPr>
          <w:i/>
          <w:color w:val="404040" w:themeColor="text1" w:themeTint="BF"/>
          <w:sz w:val="24"/>
        </w:rPr>
        <w:t>et al.,</w:t>
      </w:r>
      <w:r>
        <w:rPr>
          <w:color w:val="404040" w:themeColor="text1" w:themeTint="BF"/>
          <w:sz w:val="24"/>
        </w:rPr>
        <w:t xml:space="preserve"> 2018). </w:t>
      </w:r>
    </w:p>
    <w:p w14:paraId="29C04949" w14:textId="77777777" w:rsidR="00CD65C2" w:rsidRDefault="00FA41FC">
      <w:pPr>
        <w:pStyle w:val="NormalWeb"/>
        <w:shd w:val="clear" w:color="auto" w:fill="FFFFFF"/>
        <w:rPr>
          <w:rFonts w:ascii="Segoe UI" w:hAnsi="Segoe UI" w:cs="Segoe UI"/>
          <w:color w:val="212121"/>
        </w:rPr>
      </w:pPr>
      <w:r>
        <w:rPr>
          <w:rFonts w:ascii="Calibri" w:hAnsi="Calibri" w:cs="Arial"/>
          <w:b/>
          <w:noProof/>
          <w:lang w:eastAsia="pt-BR"/>
        </w:rPr>
        <mc:AlternateContent>
          <mc:Choice Requires="wps">
            <w:drawing>
              <wp:anchor distT="0" distB="0" distL="114300" distR="114300" simplePos="0" relativeHeight="251660288" behindDoc="0" locked="0" layoutInCell="1" allowOverlap="1">
                <wp:simplePos x="0" y="0"/>
                <wp:positionH relativeFrom="margin">
                  <wp:posOffset>19050</wp:posOffset>
                </wp:positionH>
                <wp:positionV relativeFrom="paragraph">
                  <wp:posOffset>83185</wp:posOffset>
                </wp:positionV>
                <wp:extent cx="5736590" cy="675005"/>
                <wp:effectExtent l="0" t="0" r="16510" b="11430"/>
                <wp:wrapNone/>
                <wp:docPr id="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6772" cy="674914"/>
                        </a:xfrm>
                        <a:prstGeom prst="rect">
                          <a:avLst/>
                        </a:prstGeom>
                        <a:solidFill>
                          <a:srgbClr val="FFFFFF"/>
                        </a:solidFill>
                        <a:ln w="9525">
                          <a:solidFill>
                            <a:srgbClr val="0070C0"/>
                          </a:solidFill>
                          <a:miter lim="800000"/>
                        </a:ln>
                      </wps:spPr>
                      <wps:txbx>
                        <w:txbxContent>
                          <w:p w14:paraId="343F8A5F" w14:textId="161AF0F3" w:rsidR="00FA41FC" w:rsidRDefault="00FA41FC">
                            <w:pPr>
                              <w:pStyle w:val="Corpo"/>
                              <w:spacing w:line="276" w:lineRule="auto"/>
                              <w:jc w:val="center"/>
                              <w:rPr>
                                <w:rFonts w:hint="eastAsia"/>
                                <w:color w:val="404040" w:themeColor="text1" w:themeTint="BF"/>
                              </w:rPr>
                            </w:pPr>
                            <w:r>
                              <w:rPr>
                                <w:color w:val="404040" w:themeColor="text1" w:themeTint="BF"/>
                              </w:rPr>
                              <w:t>Assim, 90 estudantes participaram deste estudo triplo-cego, randomizado e clínico, nos quais foram divididos em dois grupos para receberem do 21º dia de menstruação até o 4º dia do próximo ciclo por dois ciclos menstruais consecutivos:</w:t>
                            </w:r>
                          </w:p>
                          <w:p w14:paraId="04AC240D" w14:textId="77777777" w:rsidR="00FA41FC" w:rsidRDefault="00FA41FC">
                            <w:pPr>
                              <w:pStyle w:val="Corpo"/>
                              <w:spacing w:line="276" w:lineRule="auto"/>
                              <w:jc w:val="center"/>
                              <w:rPr>
                                <w:rFonts w:hint="eastAsia"/>
                                <w:color w:val="404040" w:themeColor="text1" w:themeTint="BF"/>
                                <w:sz w:val="22"/>
                                <w:szCs w:val="22"/>
                              </w:rPr>
                            </w:pP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40" o:spid="_x0000_s1026" type="#_x0000_t202" style="position:absolute;margin-left:1.5pt;margin-top:6.55pt;width:451.7pt;height:53.15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" strokecolor="#0070c0">
                <v:textbox>
                  <w:txbxContent>
                    <w:p w14:paraId="343F8A5F" w14:textId="161AF0F3" w:rsidR="00FA41FC" w:rsidRDefault="00FA41FC">
                      <w:pPr>
                        <w:pStyle w:val="Corpo"/>
                        <w:spacing w:line="276" w:lineRule="auto"/>
                        <w:jc w:val="center"/>
                        <w:rPr>
                          <w:rFonts w:hint="eastAsia"/>
                          <w:color w:val="404040" w:themeColor="text1" w:themeTint="BF"/>
                        </w:rPr>
                      </w:pPr>
                      <w:r>
                        <w:rPr>
                          <w:color w:val="404040" w:themeColor="text1" w:themeTint="BF"/>
                        </w:rPr>
                        <w:t>Assim, 90 estudantes participaram deste estudo triplo-cego, randomizado e clínico, nos quais foram divididos em dois grupos para receberem do 21º dia de menstruação até o 4º dia do próximo ciclo por dois ciclos menstruais consecutivos:</w:t>
                      </w:r>
                    </w:p>
                    <w:p w14:paraId="04AC240D" w14:textId="77777777" w:rsidR="00FA41FC" w:rsidRDefault="00FA41FC">
                      <w:pPr>
                        <w:pStyle w:val="Corpo"/>
                        <w:spacing w:line="276" w:lineRule="auto"/>
                        <w:jc w:val="center"/>
                        <w:rPr>
                          <w:rFonts w:hint="eastAsia"/>
                          <w:color w:val="404040" w:themeColor="text1" w:themeTint="BF"/>
                          <w:sz w:val="22"/>
                          <w:szCs w:val="22"/>
                        </w:rPr>
                      </w:pPr>
                    </w:p>
                  </w:txbxContent>
                </v:textbox>
                <w10:wrap anchorx="margin"/>
              </v:shape>
            </w:pict>
          </mc:Fallback>
        </mc:AlternateContent>
      </w:r>
    </w:p>
    <w:p w14:paraId="5AEFA96A" w14:textId="77777777" w:rsidR="00CD65C2" w:rsidRDefault="00CD65C2">
      <w:pPr>
        <w:pStyle w:val="NormalWeb"/>
        <w:shd w:val="clear" w:color="auto" w:fill="FFFFFF"/>
        <w:rPr>
          <w:rFonts w:ascii="Segoe UI" w:hAnsi="Segoe UI" w:cs="Segoe UI"/>
          <w:color w:val="212121"/>
        </w:rPr>
      </w:pPr>
    </w:p>
    <w:p w14:paraId="3743252B" w14:textId="77777777" w:rsidR="00CD65C2" w:rsidRDefault="00FA41FC">
      <w:pPr>
        <w:pStyle w:val="NormalWeb"/>
        <w:shd w:val="clear" w:color="auto" w:fill="FFFFFF"/>
        <w:rPr>
          <w:rFonts w:ascii="Segoe UI" w:hAnsi="Segoe UI" w:cs="Segoe UI"/>
          <w:color w:val="212121"/>
        </w:rPr>
      </w:pPr>
      <w:r>
        <w:rPr>
          <w:rFonts w:ascii="Segoe UI" w:hAnsi="Segoe UI" w:cs="Segoe UI"/>
          <w:noProof/>
          <w:color w:val="212121"/>
          <w:lang w:eastAsia="pt-BR"/>
        </w:rPr>
        <mc:AlternateContent>
          <mc:Choice Requires="wps">
            <w:drawing>
              <wp:anchor distT="0" distB="0" distL="114300" distR="114300" simplePos="0" relativeHeight="251662336" behindDoc="0" locked="0" layoutInCell="1" allowOverlap="1">
                <wp:simplePos x="0" y="0"/>
                <wp:positionH relativeFrom="margin">
                  <wp:posOffset>3861435</wp:posOffset>
                </wp:positionH>
                <wp:positionV relativeFrom="paragraph">
                  <wp:posOffset>50165</wp:posOffset>
                </wp:positionV>
                <wp:extent cx="1892300" cy="826770"/>
                <wp:effectExtent l="0" t="0" r="12700" b="11430"/>
                <wp:wrapNone/>
                <wp:docPr id="6"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826860"/>
                        </a:xfrm>
                        <a:prstGeom prst="rect">
                          <a:avLst/>
                        </a:prstGeom>
                        <a:solidFill>
                          <a:srgbClr val="0070C0"/>
                        </a:solidFill>
                        <a:ln w="9525">
                          <a:solidFill>
                            <a:srgbClr val="0070C0"/>
                          </a:solidFill>
                          <a:miter lim="800000"/>
                        </a:ln>
                      </wps:spPr>
                      <wps:txbx>
                        <w:txbxContent>
                          <w:p w14:paraId="2D1964AE" w14:textId="77777777" w:rsidR="00FA41FC" w:rsidRDefault="00FA41FC">
                            <w:pPr>
                              <w:spacing w:after="0" w:line="240" w:lineRule="auto"/>
                              <w:jc w:val="center"/>
                              <w:rPr>
                                <w:rFonts w:ascii="Swis721 Th BT" w:hAnsi="Swis721 Th BT"/>
                                <w:b/>
                                <w:bCs/>
                                <w:color w:val="FFFFFF" w:themeColor="background1"/>
                              </w:rPr>
                            </w:pPr>
                            <w:r>
                              <w:rPr>
                                <w:rFonts w:ascii="Swis721 Th BT" w:hAnsi="Swis721 Th BT"/>
                                <w:b/>
                                <w:bCs/>
                                <w:color w:val="FFFFFF" w:themeColor="background1"/>
                              </w:rPr>
                              <w:t xml:space="preserve">Grupo 2 </w:t>
                            </w:r>
                          </w:p>
                          <w:p w14:paraId="42383F2D" w14:textId="77777777" w:rsidR="00FA41FC" w:rsidRDefault="00FA41FC">
                            <w:pPr>
                              <w:spacing w:after="0" w:line="240" w:lineRule="auto"/>
                              <w:jc w:val="center"/>
                              <w:rPr>
                                <w:rFonts w:ascii="Swis721 Th BT" w:hAnsi="Swis721 Th BT"/>
                                <w:bCs/>
                                <w:color w:val="FFFFFF" w:themeColor="background1"/>
                              </w:rPr>
                            </w:pPr>
                          </w:p>
                          <w:p w14:paraId="02DC84A2" w14:textId="77777777" w:rsidR="00FA41FC" w:rsidRDefault="00FA41FC">
                            <w:pPr>
                              <w:spacing w:after="0" w:line="240" w:lineRule="auto"/>
                              <w:jc w:val="center"/>
                              <w:rPr>
                                <w:rFonts w:ascii="Swis721 Th BT" w:hAnsi="Swis721 Th BT"/>
                                <w:bCs/>
                                <w:color w:val="FFFFFF" w:themeColor="background1"/>
                              </w:rPr>
                            </w:pPr>
                            <w:r>
                              <w:rPr>
                                <w:rFonts w:ascii="Swis721 Th BT" w:hAnsi="Swis721 Th BT"/>
                                <w:bCs/>
                                <w:color w:val="FFFFFF" w:themeColor="background1"/>
                              </w:rPr>
                              <w:t>Placebo</w:t>
                            </w:r>
                          </w:p>
                          <w:p w14:paraId="60D8E1D0" w14:textId="77777777" w:rsidR="00FA41FC" w:rsidRDefault="00FA41FC">
                            <w:pPr>
                              <w:spacing w:after="0" w:line="240" w:lineRule="auto"/>
                              <w:jc w:val="center"/>
                              <w:rPr>
                                <w:rFonts w:ascii="Swis721 Th BT" w:hAnsi="Swis721 Th BT"/>
                                <w:color w:val="FFFFFF" w:themeColor="background1"/>
                              </w:rPr>
                            </w:pPr>
                          </w:p>
                        </w:txbxContent>
                      </wps:txbx>
                      <wps:bodyPr rot="0" vert="horz" wrap="square" lIns="91440" tIns="45720" rIns="91440" bIns="45720" anchor="t" anchorCtr="0" upright="1">
                        <a:noAutofit/>
                      </wps:bodyPr>
                    </wps:wsp>
                  </a:graphicData>
                </a:graphic>
              </wp:anchor>
            </w:drawing>
          </mc:Choice>
          <mc:Fallback>
            <w:pict>
              <v:shape id="Text Box 52" o:spid="_x0000_s1027" type="#_x0000_t202" style="position:absolute;margin-left:304.05pt;margin-top:3.95pt;width:149pt;height:65.1pt;z-index:251662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" fillcolor="#0070c0" strokecolor="#0070c0">
                <v:textbox>
                  <w:txbxContent>
                    <w:p w14:paraId="2D1964AE" w14:textId="77777777" w:rsidR="00FA41FC" w:rsidRDefault="00FA41FC">
                      <w:pPr>
                        <w:spacing w:after="0" w:line="240" w:lineRule="auto"/>
                        <w:jc w:val="center"/>
                        <w:rPr>
                          <w:rFonts w:ascii="Swis721 Th BT" w:hAnsi="Swis721 Th BT"/>
                          <w:b/>
                          <w:bCs/>
                          <w:color w:val="FFFFFF" w:themeColor="background1"/>
                        </w:rPr>
                      </w:pPr>
                      <w:r>
                        <w:rPr>
                          <w:rFonts w:ascii="Swis721 Th BT" w:hAnsi="Swis721 Th BT"/>
                          <w:b/>
                          <w:bCs/>
                          <w:color w:val="FFFFFF" w:themeColor="background1"/>
                        </w:rPr>
                        <w:t xml:space="preserve">Grupo 2 </w:t>
                      </w:r>
                    </w:p>
                    <w:p w14:paraId="42383F2D" w14:textId="77777777" w:rsidR="00FA41FC" w:rsidRDefault="00FA41FC">
                      <w:pPr>
                        <w:spacing w:after="0" w:line="240" w:lineRule="auto"/>
                        <w:jc w:val="center"/>
                        <w:rPr>
                          <w:rFonts w:ascii="Swis721 Th BT" w:hAnsi="Swis721 Th BT"/>
                          <w:bCs/>
                          <w:color w:val="FFFFFF" w:themeColor="background1"/>
                        </w:rPr>
                      </w:pPr>
                    </w:p>
                    <w:p w14:paraId="02DC84A2" w14:textId="77777777" w:rsidR="00FA41FC" w:rsidRDefault="00FA41FC">
                      <w:pPr>
                        <w:spacing w:after="0" w:line="240" w:lineRule="auto"/>
                        <w:jc w:val="center"/>
                        <w:rPr>
                          <w:rFonts w:ascii="Swis721 Th BT" w:hAnsi="Swis721 Th BT"/>
                          <w:bCs/>
                          <w:color w:val="FFFFFF" w:themeColor="background1"/>
                        </w:rPr>
                      </w:pPr>
                      <w:r>
                        <w:rPr>
                          <w:rFonts w:ascii="Swis721 Th BT" w:hAnsi="Swis721 Th BT"/>
                          <w:bCs/>
                          <w:color w:val="FFFFFF" w:themeColor="background1"/>
                        </w:rPr>
                        <w:t>Placebo</w:t>
                      </w:r>
                    </w:p>
                    <w:p w14:paraId="60D8E1D0" w14:textId="77777777" w:rsidR="00FA41FC" w:rsidRDefault="00FA41FC">
                      <w:pPr>
                        <w:spacing w:after="0" w:line="240" w:lineRule="auto"/>
                        <w:jc w:val="center"/>
                        <w:rPr>
                          <w:rFonts w:ascii="Swis721 Th BT" w:hAnsi="Swis721 Th BT"/>
                          <w:color w:val="FFFFFF" w:themeColor="background1"/>
                        </w:rPr>
                      </w:pPr>
                    </w:p>
                  </w:txbxContent>
                </v:textbox>
                <w10:wrap anchorx="margin"/>
              </v:shape>
            </w:pict>
          </mc:Fallback>
        </mc:AlternateContent>
      </w:r>
      <w:r>
        <w:rPr>
          <w:rFonts w:ascii="Segoe UI" w:hAnsi="Segoe UI" w:cs="Segoe UI"/>
          <w:noProof/>
          <w:color w:val="212121"/>
          <w:lang w:eastAsia="pt-BR"/>
        </w:rPr>
        <mc:AlternateContent>
          <mc:Choice Requires="wps">
            <w:drawing>
              <wp:anchor distT="0" distB="0" distL="114300" distR="114300" simplePos="0" relativeHeight="251661312" behindDoc="0" locked="0" layoutInCell="1" allowOverlap="1">
                <wp:simplePos x="0" y="0"/>
                <wp:positionH relativeFrom="margin">
                  <wp:posOffset>-1905</wp:posOffset>
                </wp:positionH>
                <wp:positionV relativeFrom="paragraph">
                  <wp:posOffset>60960</wp:posOffset>
                </wp:positionV>
                <wp:extent cx="1935480" cy="816610"/>
                <wp:effectExtent l="0" t="0" r="26670" b="22225"/>
                <wp:wrapNone/>
                <wp:docPr id="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816429"/>
                        </a:xfrm>
                        <a:prstGeom prst="rect">
                          <a:avLst/>
                        </a:prstGeom>
                        <a:solidFill>
                          <a:srgbClr val="0070C0"/>
                        </a:solidFill>
                        <a:ln w="9525">
                          <a:solidFill>
                            <a:srgbClr val="0070C0"/>
                          </a:solidFill>
                          <a:miter lim="800000"/>
                        </a:ln>
                      </wps:spPr>
                      <wps:txbx>
                        <w:txbxContent>
                          <w:p w14:paraId="7081A9BF" w14:textId="77777777" w:rsidR="00FA41FC" w:rsidRDefault="00FA41FC">
                            <w:pPr>
                              <w:spacing w:line="240" w:lineRule="auto"/>
                              <w:jc w:val="center"/>
                              <w:rPr>
                                <w:rFonts w:ascii="Swis721 Th BT" w:hAnsi="Swis721 Th BT"/>
                                <w:b/>
                                <w:bCs/>
                                <w:color w:val="FFFFFF" w:themeColor="background1"/>
                              </w:rPr>
                            </w:pPr>
                            <w:r>
                              <w:rPr>
                                <w:rFonts w:ascii="Swis721 Th BT" w:hAnsi="Swis721 Th BT"/>
                                <w:b/>
                                <w:bCs/>
                                <w:color w:val="FFFFFF" w:themeColor="background1"/>
                              </w:rPr>
                              <w:t xml:space="preserve">Grupo 1 </w:t>
                            </w:r>
                          </w:p>
                          <w:p w14:paraId="395A0AF5" w14:textId="77777777" w:rsidR="00FA41FC" w:rsidRDefault="00FA41FC">
                            <w:pPr>
                              <w:spacing w:line="240" w:lineRule="auto"/>
                              <w:jc w:val="center"/>
                              <w:rPr>
                                <w:rFonts w:ascii="Swis721 Th BT" w:hAnsi="Swis721 Th BT"/>
                                <w:bCs/>
                                <w:i/>
                                <w:color w:val="FFFFFF" w:themeColor="background1"/>
                              </w:rPr>
                            </w:pPr>
                            <w:r>
                              <w:rPr>
                                <w:rFonts w:ascii="Swis721 Th BT" w:hAnsi="Swis721 Th BT"/>
                                <w:bCs/>
                                <w:i/>
                                <w:color w:val="FFFFFF" w:themeColor="background1"/>
                              </w:rPr>
                              <w:t>Salvia officinalis</w:t>
                            </w:r>
                          </w:p>
                          <w:p w14:paraId="4E633B89" w14:textId="77777777" w:rsidR="00FA41FC" w:rsidRDefault="00FA41FC">
                            <w:pPr>
                              <w:spacing w:line="240" w:lineRule="auto"/>
                              <w:jc w:val="center"/>
                              <w:rPr>
                                <w:rFonts w:ascii="Swis721 Th BT" w:hAnsi="Swis721 Th BT"/>
                                <w:b/>
                                <w:color w:val="FFFFFF" w:themeColor="background1"/>
                              </w:rPr>
                            </w:pPr>
                            <w:r>
                              <w:rPr>
                                <w:rFonts w:ascii="Swis721 Th BT" w:hAnsi="Swis721 Th BT"/>
                                <w:bCs/>
                                <w:color w:val="FFFFFF" w:themeColor="background1"/>
                              </w:rPr>
                              <w:t>500 mg ao dia</w:t>
                            </w:r>
                          </w:p>
                          <w:p w14:paraId="4FEFCB23" w14:textId="77777777" w:rsidR="00FA41FC" w:rsidRDefault="00FA41FC">
                            <w:pPr>
                              <w:spacing w:line="240" w:lineRule="auto"/>
                              <w:jc w:val="center"/>
                              <w:rPr>
                                <w:rFonts w:ascii="Swis721 Th BT" w:hAnsi="Swis721 Th BT"/>
                                <w:color w:val="FFFFFF" w:themeColor="background1"/>
                              </w:rPr>
                            </w:pPr>
                          </w:p>
                        </w:txbxContent>
                      </wps:txbx>
                      <wps:bodyPr rot="0" vert="horz" wrap="square" lIns="91440" tIns="45720" rIns="91440" bIns="45720" anchor="t" anchorCtr="0" upright="1">
                        <a:noAutofit/>
                      </wps:bodyPr>
                    </wps:wsp>
                  </a:graphicData>
                </a:graphic>
              </wp:anchor>
            </w:drawing>
          </mc:Choice>
          <mc:Fallback>
            <w:pict>
              <v:shape id="Text Box 41" o:spid="_x0000_s1028" type="#_x0000_t202" style="position:absolute;margin-left:-.15pt;margin-top:4.8pt;width:152.4pt;height:64.3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" fillcolor="#0070c0" strokecolor="#0070c0">
                <v:textbox>
                  <w:txbxContent>
                    <w:p w14:paraId="7081A9BF" w14:textId="77777777" w:rsidR="00FA41FC" w:rsidRDefault="00FA41FC">
                      <w:pPr>
                        <w:spacing w:line="240" w:lineRule="auto"/>
                        <w:jc w:val="center"/>
                        <w:rPr>
                          <w:rFonts w:ascii="Swis721 Th BT" w:hAnsi="Swis721 Th BT"/>
                          <w:b/>
                          <w:bCs/>
                          <w:color w:val="FFFFFF" w:themeColor="background1"/>
                        </w:rPr>
                      </w:pPr>
                      <w:r>
                        <w:rPr>
                          <w:rFonts w:ascii="Swis721 Th BT" w:hAnsi="Swis721 Th BT"/>
                          <w:b/>
                          <w:bCs/>
                          <w:color w:val="FFFFFF" w:themeColor="background1"/>
                        </w:rPr>
                        <w:t xml:space="preserve">Grupo 1 </w:t>
                      </w:r>
                    </w:p>
                    <w:p w14:paraId="395A0AF5" w14:textId="77777777" w:rsidR="00FA41FC" w:rsidRDefault="00FA41FC">
                      <w:pPr>
                        <w:spacing w:line="240" w:lineRule="auto"/>
                        <w:jc w:val="center"/>
                        <w:rPr>
                          <w:rFonts w:ascii="Swis721 Th BT" w:hAnsi="Swis721 Th BT"/>
                          <w:bCs/>
                          <w:i/>
                          <w:color w:val="FFFFFF" w:themeColor="background1"/>
                        </w:rPr>
                      </w:pPr>
                      <w:r>
                        <w:rPr>
                          <w:rFonts w:ascii="Swis721 Th BT" w:hAnsi="Swis721 Th BT"/>
                          <w:bCs/>
                          <w:i/>
                          <w:color w:val="FFFFFF" w:themeColor="background1"/>
                        </w:rPr>
                        <w:t>Salvia officinalis</w:t>
                      </w:r>
                    </w:p>
                    <w:p w14:paraId="4E633B89" w14:textId="77777777" w:rsidR="00FA41FC" w:rsidRDefault="00FA41FC">
                      <w:pPr>
                        <w:spacing w:line="240" w:lineRule="auto"/>
                        <w:jc w:val="center"/>
                        <w:rPr>
                          <w:rFonts w:ascii="Swis721 Th BT" w:hAnsi="Swis721 Th BT"/>
                          <w:b/>
                          <w:color w:val="FFFFFF" w:themeColor="background1"/>
                        </w:rPr>
                      </w:pPr>
                      <w:r>
                        <w:rPr>
                          <w:rFonts w:ascii="Swis721 Th BT" w:hAnsi="Swis721 Th BT"/>
                          <w:bCs/>
                          <w:color w:val="FFFFFF" w:themeColor="background1"/>
                        </w:rPr>
                        <w:t>500 mg ao dia</w:t>
                      </w:r>
                    </w:p>
                    <w:p w14:paraId="4FEFCB23" w14:textId="77777777" w:rsidR="00FA41FC" w:rsidRDefault="00FA41FC">
                      <w:pPr>
                        <w:spacing w:line="240" w:lineRule="auto"/>
                        <w:jc w:val="center"/>
                        <w:rPr>
                          <w:rFonts w:ascii="Swis721 Th BT" w:hAnsi="Swis721 Th BT"/>
                          <w:color w:val="FFFFFF" w:themeColor="background1"/>
                        </w:rPr>
                      </w:pPr>
                    </w:p>
                  </w:txbxContent>
                </v:textbox>
                <w10:wrap anchorx="margin"/>
              </v:shape>
            </w:pict>
          </mc:Fallback>
        </mc:AlternateContent>
      </w:r>
    </w:p>
    <w:p w14:paraId="3D50EBC9" w14:textId="77777777" w:rsidR="00CD65C2" w:rsidRDefault="00CD65C2">
      <w:pPr>
        <w:shd w:val="clear" w:color="auto" w:fill="FFFFFF"/>
        <w:spacing w:before="100" w:beforeAutospacing="1" w:after="100" w:afterAutospacing="1" w:line="240" w:lineRule="auto"/>
        <w:rPr>
          <w:rFonts w:ascii="Segoe UI" w:eastAsia="Times New Roman" w:hAnsi="Segoe UI" w:cs="Segoe UI"/>
          <w:color w:val="212121"/>
          <w:sz w:val="24"/>
          <w:szCs w:val="24"/>
          <w:lang w:eastAsia="pt-BR"/>
        </w:rPr>
      </w:pPr>
    </w:p>
    <w:p w14:paraId="64725157" w14:textId="77777777" w:rsidR="00CD65C2" w:rsidRDefault="00CD65C2">
      <w:pPr>
        <w:pStyle w:val="Titulo"/>
        <w:rPr>
          <w:rFonts w:hint="eastAsia"/>
          <w:b/>
          <w:sz w:val="23"/>
          <w:szCs w:val="23"/>
        </w:rPr>
      </w:pPr>
    </w:p>
    <w:p w14:paraId="18786DA4" w14:textId="77777777" w:rsidR="00FA41FC" w:rsidRDefault="00FA41FC">
      <w:pPr>
        <w:pStyle w:val="Titulo"/>
        <w:rPr>
          <w:b/>
          <w:sz w:val="23"/>
          <w:szCs w:val="23"/>
        </w:rPr>
      </w:pPr>
    </w:p>
    <w:p w14:paraId="10A74FD9" w14:textId="77777777" w:rsidR="00CD65C2" w:rsidRDefault="00FA41FC">
      <w:pPr>
        <w:pStyle w:val="Titulo"/>
        <w:rPr>
          <w:rFonts w:hint="eastAsia"/>
          <w:b/>
          <w:sz w:val="23"/>
          <w:szCs w:val="23"/>
        </w:rPr>
      </w:pPr>
      <w:r>
        <w:rPr>
          <w:b/>
          <w:sz w:val="23"/>
          <w:szCs w:val="23"/>
        </w:rPr>
        <w:t>Resultados:</w:t>
      </w:r>
    </w:p>
    <w:p w14:paraId="7DAEF81E" w14:textId="77777777" w:rsidR="00CD65C2" w:rsidRDefault="00CD65C2">
      <w:pPr>
        <w:pStyle w:val="Titulo"/>
        <w:spacing w:line="276" w:lineRule="auto"/>
        <w:rPr>
          <w:rFonts w:ascii="Segoe UI" w:eastAsia="Times New Roman" w:hAnsi="Segoe UI" w:cs="Segoe UI"/>
          <w:b/>
          <w:color w:val="212121"/>
          <w:sz w:val="10"/>
          <w:szCs w:val="10"/>
          <w:lang w:eastAsia="pt-BR"/>
        </w:rPr>
      </w:pPr>
    </w:p>
    <w:p w14:paraId="3C719142" w14:textId="77777777" w:rsidR="00CD65C2" w:rsidRDefault="00FA41FC">
      <w:pPr>
        <w:pStyle w:val="Corpo"/>
        <w:numPr>
          <w:ilvl w:val="0"/>
          <w:numId w:val="1"/>
        </w:numPr>
        <w:spacing w:after="0"/>
        <w:rPr>
          <w:rFonts w:hint="eastAsia"/>
          <w:color w:val="404040" w:themeColor="text1" w:themeTint="BF"/>
          <w:szCs w:val="23"/>
        </w:rPr>
      </w:pPr>
      <w:r>
        <w:rPr>
          <w:color w:val="404040" w:themeColor="text1" w:themeTint="BF"/>
          <w:szCs w:val="23"/>
        </w:rPr>
        <w:t xml:space="preserve">A comparação entre os grupos mostrou uma redução significativamente maior na severidade dos sintomas no grupo que recebeu </w:t>
      </w:r>
      <w:r>
        <w:rPr>
          <w:i/>
          <w:color w:val="404040" w:themeColor="text1" w:themeTint="BF"/>
          <w:szCs w:val="23"/>
        </w:rPr>
        <w:t>Salvia officinalis</w:t>
      </w:r>
      <w:r>
        <w:rPr>
          <w:color w:val="404040" w:themeColor="text1" w:themeTint="BF"/>
          <w:szCs w:val="23"/>
        </w:rPr>
        <w:t xml:space="preserve"> comparado ao placebo, indicando sua eficácia no alívio dos sintomas relacionados a SPM;</w:t>
      </w:r>
    </w:p>
    <w:p w14:paraId="6BDE5C47" w14:textId="77777777" w:rsidR="00CD65C2" w:rsidRDefault="00FA41FC">
      <w:pPr>
        <w:pStyle w:val="Corpo"/>
        <w:numPr>
          <w:ilvl w:val="0"/>
          <w:numId w:val="1"/>
        </w:numPr>
        <w:spacing w:after="0"/>
        <w:rPr>
          <w:rFonts w:hint="eastAsia"/>
          <w:color w:val="404040" w:themeColor="text1" w:themeTint="BF"/>
          <w:szCs w:val="23"/>
        </w:rPr>
      </w:pPr>
      <w:r>
        <w:rPr>
          <w:color w:val="404040" w:themeColor="text1" w:themeTint="BF"/>
          <w:szCs w:val="23"/>
        </w:rPr>
        <w:t>Também foi observada uma redução significativamente maior na severidade de sintomas físicos (exceto pelo inchaço) no grupo 1 comparado ao 2;</w:t>
      </w:r>
    </w:p>
    <w:p w14:paraId="4C86FEB0" w14:textId="77777777" w:rsidR="00CD65C2" w:rsidRDefault="00FA41FC">
      <w:pPr>
        <w:pStyle w:val="Corpo"/>
        <w:numPr>
          <w:ilvl w:val="0"/>
          <w:numId w:val="1"/>
        </w:numPr>
        <w:spacing w:after="0"/>
        <w:rPr>
          <w:rFonts w:hint="eastAsia"/>
          <w:color w:val="404040" w:themeColor="text1" w:themeTint="BF"/>
          <w:szCs w:val="23"/>
        </w:rPr>
      </w:pPr>
      <w:r>
        <w:rPr>
          <w:color w:val="404040" w:themeColor="text1" w:themeTint="BF"/>
          <w:szCs w:val="23"/>
        </w:rPr>
        <w:t>Houve redução significativamente maior nos escores de sintomas psicológicos no grupo 1 comparado ao 2, com exceção de "ansiedade", "tendência suicida" e "aumento ou redução de apetite".</w:t>
      </w:r>
    </w:p>
    <w:p w14:paraId="71E5792E" w14:textId="77777777" w:rsidR="00CD65C2" w:rsidRDefault="00CD65C2">
      <w:pPr>
        <w:pStyle w:val="Corpo"/>
        <w:jc w:val="center"/>
        <w:rPr>
          <w:rFonts w:hint="eastAsia"/>
          <w:b/>
          <w:color w:val="404040" w:themeColor="text1" w:themeTint="BF"/>
        </w:rPr>
      </w:pPr>
    </w:p>
    <w:p w14:paraId="0B66D259" w14:textId="77777777" w:rsidR="00CD65C2" w:rsidRDefault="00FA41FC">
      <w:pPr>
        <w:pStyle w:val="Corpo"/>
        <w:jc w:val="center"/>
        <w:rPr>
          <w:rFonts w:hint="eastAsia"/>
          <w:b/>
          <w:color w:val="404040" w:themeColor="text1" w:themeTint="BF"/>
        </w:rPr>
      </w:pPr>
      <w:r>
        <w:rPr>
          <w:b/>
          <w:color w:val="404040" w:themeColor="text1" w:themeTint="BF"/>
        </w:rPr>
        <w:t xml:space="preserve">Comparação entre </w:t>
      </w:r>
      <w:r>
        <w:rPr>
          <w:b/>
          <w:i/>
          <w:color w:val="404040" w:themeColor="text1" w:themeTint="BF"/>
        </w:rPr>
        <w:t>Salvia officinalis</w:t>
      </w:r>
      <w:r>
        <w:rPr>
          <w:b/>
          <w:color w:val="404040" w:themeColor="text1" w:themeTint="BF"/>
        </w:rPr>
        <w:t xml:space="preserve"> e Placebo nos Escores de Severidade dos Sintomas de SPM</w:t>
      </w:r>
    </w:p>
    <w:tbl>
      <w:tblPr>
        <w:tblStyle w:val="TabelaSimples11"/>
        <w:tblW w:w="0" w:type="auto"/>
        <w:tblInd w:w="129" w:type="dxa"/>
        <w:tblLook w:val="04A0" w:firstRow="1" w:lastRow="0" w:firstColumn="1" w:lastColumn="0" w:noHBand="0" w:noVBand="1"/>
      </w:tblPr>
      <w:tblGrid>
        <w:gridCol w:w="1489"/>
        <w:gridCol w:w="1035"/>
        <w:gridCol w:w="1067"/>
        <w:gridCol w:w="1227"/>
        <w:gridCol w:w="1285"/>
        <w:gridCol w:w="1134"/>
        <w:gridCol w:w="1560"/>
      </w:tblGrid>
      <w:tr w:rsidR="00CD65C2" w14:paraId="5C5D1BE0" w14:textId="77777777" w:rsidTr="00CD65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9" w:type="dxa"/>
            <w:vMerge w:val="restart"/>
            <w:vAlign w:val="center"/>
          </w:tcPr>
          <w:p w14:paraId="02A064E5" w14:textId="77777777" w:rsidR="00CD65C2" w:rsidRDefault="00FA41FC">
            <w:pPr>
              <w:spacing w:before="120" w:after="120"/>
              <w:jc w:val="center"/>
              <w:rPr>
                <w:rFonts w:ascii="Calibri" w:eastAsia="MS Mincho" w:hAnsi="Calibri" w:cs="Calibri"/>
                <w:b w:val="0"/>
                <w:bCs w:val="0"/>
                <w:sz w:val="18"/>
                <w:szCs w:val="18"/>
              </w:rPr>
            </w:pPr>
            <w:r>
              <w:rPr>
                <w:rFonts w:ascii="Calibri" w:eastAsia="MS Mincho" w:hAnsi="Calibri" w:cs="Calibri"/>
                <w:sz w:val="18"/>
                <w:szCs w:val="18"/>
              </w:rPr>
              <w:t>Sintomas</w:t>
            </w:r>
          </w:p>
        </w:tc>
        <w:tc>
          <w:tcPr>
            <w:tcW w:w="0" w:type="auto"/>
            <w:gridSpan w:val="3"/>
            <w:vAlign w:val="center"/>
          </w:tcPr>
          <w:p w14:paraId="5E4B6062" w14:textId="77777777" w:rsidR="00CD65C2" w:rsidRDefault="00FA41FC">
            <w:pPr>
              <w:spacing w:before="120" w:after="12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Calibri"/>
                <w:b w:val="0"/>
                <w:bCs w:val="0"/>
                <w:sz w:val="18"/>
                <w:szCs w:val="18"/>
              </w:rPr>
            </w:pPr>
            <w:r>
              <w:rPr>
                <w:rFonts w:ascii="Calibri" w:eastAsia="MS Mincho" w:hAnsi="Calibri" w:cs="Calibri"/>
                <w:sz w:val="18"/>
                <w:szCs w:val="18"/>
              </w:rPr>
              <w:t>Placebo</w:t>
            </w:r>
          </w:p>
        </w:tc>
        <w:tc>
          <w:tcPr>
            <w:tcW w:w="3979" w:type="dxa"/>
            <w:gridSpan w:val="3"/>
            <w:vAlign w:val="center"/>
          </w:tcPr>
          <w:p w14:paraId="0CBD7C7A" w14:textId="77777777" w:rsidR="00CD65C2" w:rsidRDefault="00FA41FC">
            <w:pPr>
              <w:spacing w:before="120" w:after="12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Calibri"/>
                <w:b w:val="0"/>
                <w:bCs w:val="0"/>
                <w:sz w:val="18"/>
                <w:szCs w:val="18"/>
              </w:rPr>
            </w:pPr>
            <w:r>
              <w:rPr>
                <w:rFonts w:ascii="Calibri" w:eastAsia="MS Mincho" w:hAnsi="Calibri" w:cs="Calibri"/>
                <w:i/>
                <w:sz w:val="18"/>
                <w:szCs w:val="18"/>
              </w:rPr>
              <w:t>Salvia officinalis</w:t>
            </w:r>
          </w:p>
        </w:tc>
      </w:tr>
      <w:tr w:rsidR="00CD65C2" w14:paraId="36B3B773" w14:textId="77777777" w:rsidTr="00CD65C2">
        <w:trPr>
          <w:trHeight w:val="281"/>
        </w:trPr>
        <w:tc>
          <w:tcPr>
            <w:cnfStyle w:val="001000000000" w:firstRow="0" w:lastRow="0" w:firstColumn="1" w:lastColumn="0" w:oddVBand="0" w:evenVBand="0" w:oddHBand="0" w:evenHBand="0" w:firstRowFirstColumn="0" w:firstRowLastColumn="0" w:lastRowFirstColumn="0" w:lastRowLastColumn="0"/>
            <w:tcW w:w="1489" w:type="dxa"/>
            <w:vMerge/>
            <w:vAlign w:val="center"/>
          </w:tcPr>
          <w:p w14:paraId="7B034C1E" w14:textId="77777777" w:rsidR="00CD65C2" w:rsidRDefault="00CD65C2">
            <w:pPr>
              <w:spacing w:before="120" w:after="120"/>
              <w:jc w:val="center"/>
              <w:rPr>
                <w:rFonts w:ascii="Calibri" w:eastAsia="MS Mincho" w:hAnsi="Calibri" w:cs="Calibri"/>
                <w:b w:val="0"/>
                <w:bCs w:val="0"/>
                <w:sz w:val="18"/>
                <w:szCs w:val="18"/>
              </w:rPr>
            </w:pPr>
          </w:p>
        </w:tc>
        <w:tc>
          <w:tcPr>
            <w:tcW w:w="0" w:type="auto"/>
            <w:vAlign w:val="center"/>
          </w:tcPr>
          <w:p w14:paraId="488C22BE" w14:textId="77777777" w:rsidR="00CD65C2" w:rsidRDefault="00FA41F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18"/>
                <w:szCs w:val="18"/>
              </w:rPr>
            </w:pPr>
            <w:r>
              <w:rPr>
                <w:rFonts w:ascii="Calibri" w:eastAsia="MS Mincho" w:hAnsi="Calibri" w:cs="Calibri"/>
                <w:sz w:val="18"/>
                <w:szCs w:val="18"/>
              </w:rPr>
              <w:t>Início</w:t>
            </w:r>
          </w:p>
        </w:tc>
        <w:tc>
          <w:tcPr>
            <w:tcW w:w="0" w:type="auto"/>
            <w:vAlign w:val="center"/>
          </w:tcPr>
          <w:p w14:paraId="431DB900" w14:textId="77777777" w:rsidR="00CD65C2" w:rsidRDefault="00FA41F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18"/>
                <w:szCs w:val="18"/>
              </w:rPr>
            </w:pPr>
            <w:r>
              <w:rPr>
                <w:rFonts w:ascii="Calibri" w:eastAsia="MS Mincho" w:hAnsi="Calibri" w:cs="Calibri"/>
                <w:sz w:val="18"/>
                <w:szCs w:val="18"/>
              </w:rPr>
              <w:t>Após 1 Mês</w:t>
            </w:r>
          </w:p>
        </w:tc>
        <w:tc>
          <w:tcPr>
            <w:tcW w:w="0" w:type="auto"/>
            <w:vAlign w:val="center"/>
          </w:tcPr>
          <w:p w14:paraId="664F1701" w14:textId="77777777" w:rsidR="00CD65C2" w:rsidRDefault="00FA41F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18"/>
                <w:szCs w:val="18"/>
              </w:rPr>
            </w:pPr>
            <w:r>
              <w:rPr>
                <w:rFonts w:ascii="Calibri" w:eastAsia="MS Mincho" w:hAnsi="Calibri" w:cs="Calibri"/>
                <w:sz w:val="18"/>
                <w:szCs w:val="18"/>
              </w:rPr>
              <w:t>Após 2 Meses</w:t>
            </w:r>
          </w:p>
        </w:tc>
        <w:tc>
          <w:tcPr>
            <w:tcW w:w="1285" w:type="dxa"/>
            <w:vAlign w:val="center"/>
          </w:tcPr>
          <w:p w14:paraId="033271AF" w14:textId="77777777" w:rsidR="00CD65C2" w:rsidRDefault="00FA41F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18"/>
                <w:szCs w:val="18"/>
              </w:rPr>
            </w:pPr>
            <w:r>
              <w:rPr>
                <w:rFonts w:ascii="Calibri" w:eastAsia="MS Mincho" w:hAnsi="Calibri" w:cs="Calibri"/>
                <w:sz w:val="18"/>
                <w:szCs w:val="18"/>
              </w:rPr>
              <w:t>Início</w:t>
            </w:r>
          </w:p>
        </w:tc>
        <w:tc>
          <w:tcPr>
            <w:tcW w:w="1134" w:type="dxa"/>
            <w:vAlign w:val="center"/>
          </w:tcPr>
          <w:p w14:paraId="414004C4" w14:textId="77777777" w:rsidR="00CD65C2" w:rsidRDefault="00FA41F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18"/>
                <w:szCs w:val="18"/>
              </w:rPr>
            </w:pPr>
            <w:r>
              <w:rPr>
                <w:rFonts w:ascii="Calibri" w:eastAsia="MS Mincho" w:hAnsi="Calibri" w:cs="Calibri"/>
                <w:sz w:val="18"/>
                <w:szCs w:val="18"/>
              </w:rPr>
              <w:t>Após 1 Mês</w:t>
            </w:r>
          </w:p>
        </w:tc>
        <w:tc>
          <w:tcPr>
            <w:tcW w:w="1560" w:type="dxa"/>
            <w:vAlign w:val="center"/>
          </w:tcPr>
          <w:p w14:paraId="5003A3E7" w14:textId="77777777" w:rsidR="00CD65C2" w:rsidRDefault="00FA41F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18"/>
                <w:szCs w:val="18"/>
              </w:rPr>
            </w:pPr>
            <w:r>
              <w:rPr>
                <w:rFonts w:ascii="Calibri" w:eastAsia="MS Mincho" w:hAnsi="Calibri" w:cs="Calibri"/>
                <w:sz w:val="18"/>
                <w:szCs w:val="18"/>
              </w:rPr>
              <w:t>Após 2 Meses</w:t>
            </w:r>
          </w:p>
        </w:tc>
      </w:tr>
      <w:tr w:rsidR="00CD65C2" w14:paraId="169650C4" w14:textId="77777777" w:rsidTr="00CD65C2">
        <w:trPr>
          <w:trHeight w:val="217"/>
        </w:trPr>
        <w:tc>
          <w:tcPr>
            <w:cnfStyle w:val="001000000000" w:firstRow="0" w:lastRow="0" w:firstColumn="1" w:lastColumn="0" w:oddVBand="0" w:evenVBand="0" w:oddHBand="0" w:evenHBand="0" w:firstRowFirstColumn="0" w:firstRowLastColumn="0" w:lastRowFirstColumn="0" w:lastRowLastColumn="0"/>
            <w:tcW w:w="1489" w:type="dxa"/>
            <w:vAlign w:val="center"/>
          </w:tcPr>
          <w:p w14:paraId="27918B26" w14:textId="77777777" w:rsidR="00CD65C2" w:rsidRDefault="00FA41FC">
            <w:pPr>
              <w:spacing w:before="120" w:after="0"/>
              <w:jc w:val="center"/>
              <w:rPr>
                <w:rFonts w:ascii="Calibri" w:eastAsia="MS Mincho" w:hAnsi="Calibri" w:cs="Calibri"/>
                <w:b w:val="0"/>
                <w:bCs w:val="0"/>
                <w:sz w:val="18"/>
                <w:szCs w:val="18"/>
              </w:rPr>
            </w:pPr>
            <w:r>
              <w:rPr>
                <w:rFonts w:ascii="Calibri" w:eastAsia="MS Mincho" w:hAnsi="Calibri" w:cs="Calibri"/>
                <w:sz w:val="18"/>
                <w:szCs w:val="18"/>
              </w:rPr>
              <w:t>Gerais</w:t>
            </w:r>
          </w:p>
        </w:tc>
        <w:tc>
          <w:tcPr>
            <w:tcW w:w="0" w:type="auto"/>
            <w:vAlign w:val="center"/>
          </w:tcPr>
          <w:p w14:paraId="1593F884" w14:textId="77777777" w:rsidR="00CD65C2" w:rsidRDefault="00FA41F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18"/>
                <w:szCs w:val="18"/>
              </w:rPr>
            </w:pPr>
            <w:r>
              <w:rPr>
                <w:rFonts w:ascii="Calibri" w:eastAsia="MS Mincho" w:hAnsi="Calibri" w:cs="Calibri"/>
                <w:sz w:val="18"/>
                <w:szCs w:val="18"/>
              </w:rPr>
              <w:t>20,87±6,56</w:t>
            </w:r>
          </w:p>
        </w:tc>
        <w:tc>
          <w:tcPr>
            <w:tcW w:w="0" w:type="auto"/>
            <w:vAlign w:val="center"/>
          </w:tcPr>
          <w:p w14:paraId="68B18CE8" w14:textId="77777777" w:rsidR="00CD65C2" w:rsidRDefault="00FA41F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18"/>
                <w:szCs w:val="18"/>
              </w:rPr>
            </w:pPr>
            <w:r>
              <w:rPr>
                <w:rFonts w:ascii="Calibri" w:eastAsia="MS Mincho" w:hAnsi="Calibri" w:cs="Calibri"/>
                <w:sz w:val="18"/>
                <w:szCs w:val="18"/>
              </w:rPr>
              <w:t>17,12±5,95</w:t>
            </w:r>
          </w:p>
        </w:tc>
        <w:tc>
          <w:tcPr>
            <w:tcW w:w="0" w:type="auto"/>
            <w:vAlign w:val="center"/>
          </w:tcPr>
          <w:p w14:paraId="7E779FE1" w14:textId="77777777" w:rsidR="00CD65C2" w:rsidRDefault="00FA41F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18"/>
                <w:szCs w:val="18"/>
              </w:rPr>
            </w:pPr>
            <w:r>
              <w:rPr>
                <w:rFonts w:ascii="Calibri" w:eastAsia="MS Mincho" w:hAnsi="Calibri" w:cs="Calibri"/>
                <w:sz w:val="18"/>
                <w:szCs w:val="18"/>
              </w:rPr>
              <w:t>16,60±6,03</w:t>
            </w:r>
          </w:p>
        </w:tc>
        <w:tc>
          <w:tcPr>
            <w:tcW w:w="1285" w:type="dxa"/>
            <w:vAlign w:val="center"/>
          </w:tcPr>
          <w:p w14:paraId="4E3D87C1" w14:textId="77777777" w:rsidR="00CD65C2" w:rsidRDefault="00FA41F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18"/>
                <w:szCs w:val="18"/>
              </w:rPr>
            </w:pPr>
            <w:r>
              <w:rPr>
                <w:rFonts w:ascii="Calibri" w:eastAsia="MS Mincho" w:hAnsi="Calibri" w:cs="Calibri"/>
                <w:sz w:val="18"/>
                <w:szCs w:val="18"/>
              </w:rPr>
              <w:t>31,97±14,93</w:t>
            </w:r>
          </w:p>
        </w:tc>
        <w:tc>
          <w:tcPr>
            <w:tcW w:w="1134" w:type="dxa"/>
            <w:vAlign w:val="center"/>
          </w:tcPr>
          <w:p w14:paraId="298DCB42" w14:textId="77777777" w:rsidR="00CD65C2" w:rsidRDefault="00FA41F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18"/>
                <w:szCs w:val="18"/>
              </w:rPr>
            </w:pPr>
            <w:r>
              <w:rPr>
                <w:rFonts w:ascii="Calibri" w:eastAsia="MS Mincho" w:hAnsi="Calibri" w:cs="Calibri"/>
                <w:sz w:val="18"/>
                <w:szCs w:val="18"/>
              </w:rPr>
              <w:t>12,13±8,22</w:t>
            </w:r>
          </w:p>
        </w:tc>
        <w:tc>
          <w:tcPr>
            <w:tcW w:w="1560" w:type="dxa"/>
            <w:vAlign w:val="center"/>
          </w:tcPr>
          <w:p w14:paraId="3FBB7C24" w14:textId="77777777" w:rsidR="00CD65C2" w:rsidRDefault="00FA41F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18"/>
                <w:szCs w:val="18"/>
              </w:rPr>
            </w:pPr>
            <w:r>
              <w:rPr>
                <w:rFonts w:ascii="Calibri" w:eastAsia="MS Mincho" w:hAnsi="Calibri" w:cs="Calibri"/>
                <w:sz w:val="18"/>
                <w:szCs w:val="18"/>
              </w:rPr>
              <w:t>8,55±7,02</w:t>
            </w:r>
          </w:p>
        </w:tc>
      </w:tr>
      <w:tr w:rsidR="00CD65C2" w14:paraId="62137EA6" w14:textId="77777777" w:rsidTr="00CD65C2">
        <w:tc>
          <w:tcPr>
            <w:cnfStyle w:val="001000000000" w:firstRow="0" w:lastRow="0" w:firstColumn="1" w:lastColumn="0" w:oddVBand="0" w:evenVBand="0" w:oddHBand="0" w:evenHBand="0" w:firstRowFirstColumn="0" w:firstRowLastColumn="0" w:lastRowFirstColumn="0" w:lastRowLastColumn="0"/>
            <w:tcW w:w="1489" w:type="dxa"/>
            <w:vAlign w:val="center"/>
          </w:tcPr>
          <w:p w14:paraId="1FA520F5" w14:textId="77777777" w:rsidR="00CD65C2" w:rsidRDefault="00FA41FC">
            <w:pPr>
              <w:spacing w:before="120" w:after="0"/>
              <w:jc w:val="center"/>
              <w:rPr>
                <w:rFonts w:ascii="Calibri" w:eastAsia="MS Mincho" w:hAnsi="Calibri" w:cs="Calibri"/>
                <w:b w:val="0"/>
                <w:bCs w:val="0"/>
                <w:sz w:val="18"/>
                <w:szCs w:val="18"/>
              </w:rPr>
            </w:pPr>
            <w:r>
              <w:rPr>
                <w:rFonts w:ascii="Calibri" w:eastAsia="MS Mincho" w:hAnsi="Calibri" w:cs="Calibri"/>
                <w:sz w:val="18"/>
                <w:szCs w:val="18"/>
              </w:rPr>
              <w:t>Físicos</w:t>
            </w:r>
          </w:p>
        </w:tc>
        <w:tc>
          <w:tcPr>
            <w:tcW w:w="0" w:type="auto"/>
            <w:vAlign w:val="center"/>
          </w:tcPr>
          <w:p w14:paraId="1CEE21DC" w14:textId="77777777" w:rsidR="00CD65C2" w:rsidRDefault="00FA41F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18"/>
                <w:szCs w:val="18"/>
              </w:rPr>
            </w:pPr>
            <w:r>
              <w:rPr>
                <w:rFonts w:ascii="Calibri" w:hAnsi="Calibri" w:cs="Times New Roman"/>
                <w:sz w:val="18"/>
                <w:szCs w:val="18"/>
              </w:rPr>
              <w:t>20,40±8,70</w:t>
            </w:r>
          </w:p>
        </w:tc>
        <w:tc>
          <w:tcPr>
            <w:tcW w:w="0" w:type="auto"/>
            <w:vAlign w:val="center"/>
          </w:tcPr>
          <w:p w14:paraId="7695BA01" w14:textId="77777777" w:rsidR="00CD65C2" w:rsidRDefault="00FA41F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18"/>
                <w:szCs w:val="18"/>
              </w:rPr>
            </w:pPr>
            <w:r>
              <w:rPr>
                <w:rFonts w:ascii="Calibri" w:hAnsi="Calibri" w:cs="Times New Roman"/>
                <w:sz w:val="18"/>
                <w:szCs w:val="18"/>
              </w:rPr>
              <w:t>16,62±7,16</w:t>
            </w:r>
          </w:p>
        </w:tc>
        <w:tc>
          <w:tcPr>
            <w:tcW w:w="0" w:type="auto"/>
            <w:vAlign w:val="center"/>
          </w:tcPr>
          <w:p w14:paraId="690DA455" w14:textId="77777777" w:rsidR="00CD65C2" w:rsidRDefault="00FA41F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18"/>
                <w:szCs w:val="18"/>
              </w:rPr>
            </w:pPr>
            <w:r>
              <w:rPr>
                <w:rFonts w:ascii="Calibri" w:hAnsi="Calibri" w:cs="Times New Roman"/>
                <w:sz w:val="18"/>
                <w:szCs w:val="18"/>
              </w:rPr>
              <w:t>17,27±9,01</w:t>
            </w:r>
          </w:p>
        </w:tc>
        <w:tc>
          <w:tcPr>
            <w:tcW w:w="1285" w:type="dxa"/>
            <w:vAlign w:val="center"/>
          </w:tcPr>
          <w:p w14:paraId="4B664757" w14:textId="77777777" w:rsidR="00CD65C2" w:rsidRDefault="00FA41F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18"/>
                <w:szCs w:val="18"/>
              </w:rPr>
            </w:pPr>
            <w:r>
              <w:rPr>
                <w:rFonts w:ascii="Calibri" w:hAnsi="Calibri" w:cs="Times New Roman"/>
                <w:sz w:val="18"/>
                <w:szCs w:val="18"/>
              </w:rPr>
              <w:t>27,37±12,82</w:t>
            </w:r>
          </w:p>
        </w:tc>
        <w:tc>
          <w:tcPr>
            <w:tcW w:w="1134" w:type="dxa"/>
            <w:vAlign w:val="center"/>
          </w:tcPr>
          <w:p w14:paraId="2DCBB51D" w14:textId="77777777" w:rsidR="00CD65C2" w:rsidRDefault="00FA41F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18"/>
                <w:szCs w:val="18"/>
              </w:rPr>
            </w:pPr>
            <w:r>
              <w:rPr>
                <w:rFonts w:ascii="Calibri" w:hAnsi="Calibri" w:cs="Times New Roman"/>
                <w:sz w:val="18"/>
                <w:szCs w:val="18"/>
              </w:rPr>
              <w:t>10,65±7,67</w:t>
            </w:r>
          </w:p>
        </w:tc>
        <w:tc>
          <w:tcPr>
            <w:tcW w:w="1560" w:type="dxa"/>
            <w:vAlign w:val="center"/>
          </w:tcPr>
          <w:p w14:paraId="7AEFF193" w14:textId="77777777" w:rsidR="00CD65C2" w:rsidRDefault="00FA41F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18"/>
                <w:szCs w:val="18"/>
              </w:rPr>
            </w:pPr>
            <w:r>
              <w:rPr>
                <w:rFonts w:ascii="Calibri" w:hAnsi="Calibri" w:cs="Times New Roman"/>
                <w:sz w:val="18"/>
                <w:szCs w:val="18"/>
              </w:rPr>
              <w:t>10,65±7,67</w:t>
            </w:r>
          </w:p>
        </w:tc>
      </w:tr>
      <w:tr w:rsidR="00CD65C2" w14:paraId="4B0E305B" w14:textId="77777777" w:rsidTr="00CD65C2">
        <w:tc>
          <w:tcPr>
            <w:cnfStyle w:val="001000000000" w:firstRow="0" w:lastRow="0" w:firstColumn="1" w:lastColumn="0" w:oddVBand="0" w:evenVBand="0" w:oddHBand="0" w:evenHBand="0" w:firstRowFirstColumn="0" w:firstRowLastColumn="0" w:lastRowFirstColumn="0" w:lastRowLastColumn="0"/>
            <w:tcW w:w="1489" w:type="dxa"/>
            <w:vAlign w:val="center"/>
          </w:tcPr>
          <w:p w14:paraId="20EE9606" w14:textId="77777777" w:rsidR="00CD65C2" w:rsidRDefault="00FA41FC">
            <w:pPr>
              <w:spacing w:before="120" w:after="0"/>
              <w:jc w:val="center"/>
              <w:rPr>
                <w:rFonts w:ascii="Calibri" w:eastAsia="MS Mincho" w:hAnsi="Calibri" w:cs="Calibri"/>
                <w:b w:val="0"/>
                <w:bCs w:val="0"/>
                <w:sz w:val="18"/>
                <w:szCs w:val="18"/>
              </w:rPr>
            </w:pPr>
            <w:r>
              <w:rPr>
                <w:rFonts w:ascii="Calibri" w:eastAsia="MS Mincho" w:hAnsi="Calibri" w:cs="Calibri"/>
                <w:sz w:val="18"/>
                <w:szCs w:val="18"/>
              </w:rPr>
              <w:t>Psicológicos</w:t>
            </w:r>
          </w:p>
        </w:tc>
        <w:tc>
          <w:tcPr>
            <w:tcW w:w="0" w:type="auto"/>
            <w:vAlign w:val="center"/>
          </w:tcPr>
          <w:p w14:paraId="7BFE3759" w14:textId="77777777" w:rsidR="00CD65C2" w:rsidRDefault="00FA41F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18"/>
                <w:szCs w:val="18"/>
              </w:rPr>
            </w:pPr>
            <w:r>
              <w:rPr>
                <w:rFonts w:ascii="Calibri" w:hAnsi="Calibri" w:cs="Times New Roman"/>
                <w:sz w:val="18"/>
                <w:szCs w:val="18"/>
              </w:rPr>
              <w:t>21,12±7,66</w:t>
            </w:r>
          </w:p>
        </w:tc>
        <w:tc>
          <w:tcPr>
            <w:tcW w:w="0" w:type="auto"/>
            <w:vAlign w:val="center"/>
          </w:tcPr>
          <w:p w14:paraId="629E42FF" w14:textId="77777777" w:rsidR="00CD65C2" w:rsidRDefault="00FA41F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18"/>
                <w:szCs w:val="18"/>
              </w:rPr>
            </w:pPr>
            <w:r>
              <w:rPr>
                <w:rFonts w:ascii="Calibri" w:hAnsi="Calibri" w:cs="Times New Roman"/>
                <w:sz w:val="18"/>
                <w:szCs w:val="18"/>
              </w:rPr>
              <w:t>17,40±7,45</w:t>
            </w:r>
          </w:p>
        </w:tc>
        <w:tc>
          <w:tcPr>
            <w:tcW w:w="0" w:type="auto"/>
            <w:vAlign w:val="center"/>
          </w:tcPr>
          <w:p w14:paraId="6C7D1F9A" w14:textId="77777777" w:rsidR="00CD65C2" w:rsidRDefault="00FA41F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18"/>
                <w:szCs w:val="18"/>
              </w:rPr>
            </w:pPr>
            <w:r>
              <w:rPr>
                <w:rFonts w:ascii="Calibri" w:hAnsi="Calibri" w:cs="Times New Roman"/>
                <w:sz w:val="18"/>
                <w:szCs w:val="18"/>
              </w:rPr>
              <w:t>16,23±6,96</w:t>
            </w:r>
          </w:p>
        </w:tc>
        <w:tc>
          <w:tcPr>
            <w:tcW w:w="1285" w:type="dxa"/>
            <w:vAlign w:val="center"/>
          </w:tcPr>
          <w:p w14:paraId="17325786" w14:textId="77777777" w:rsidR="00CD65C2" w:rsidRDefault="00FA41F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18"/>
                <w:szCs w:val="18"/>
              </w:rPr>
            </w:pPr>
            <w:r>
              <w:rPr>
                <w:rFonts w:ascii="Calibri" w:hAnsi="Calibri" w:cs="Times New Roman"/>
                <w:sz w:val="18"/>
                <w:szCs w:val="18"/>
              </w:rPr>
              <w:t>34,45±16,58</w:t>
            </w:r>
          </w:p>
        </w:tc>
        <w:tc>
          <w:tcPr>
            <w:tcW w:w="1134" w:type="dxa"/>
            <w:vAlign w:val="center"/>
          </w:tcPr>
          <w:p w14:paraId="01547DD6" w14:textId="77777777" w:rsidR="00CD65C2" w:rsidRDefault="00FA41F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18"/>
                <w:szCs w:val="18"/>
              </w:rPr>
            </w:pPr>
            <w:r>
              <w:rPr>
                <w:rFonts w:ascii="Calibri" w:hAnsi="Calibri" w:cs="Times New Roman"/>
                <w:sz w:val="18"/>
                <w:szCs w:val="18"/>
              </w:rPr>
              <w:t>12,92±9,81</w:t>
            </w:r>
          </w:p>
        </w:tc>
        <w:tc>
          <w:tcPr>
            <w:tcW w:w="1560" w:type="dxa"/>
            <w:vAlign w:val="center"/>
          </w:tcPr>
          <w:p w14:paraId="216C192A" w14:textId="77777777" w:rsidR="00CD65C2" w:rsidRDefault="00FA41F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18"/>
                <w:szCs w:val="18"/>
              </w:rPr>
            </w:pPr>
            <w:r>
              <w:rPr>
                <w:rFonts w:ascii="Calibri" w:hAnsi="Calibri" w:cs="Times New Roman"/>
                <w:sz w:val="18"/>
                <w:szCs w:val="18"/>
              </w:rPr>
              <w:t>9,25±7,90</w:t>
            </w:r>
          </w:p>
        </w:tc>
      </w:tr>
    </w:tbl>
    <w:p w14:paraId="7A61FF11" w14:textId="77777777" w:rsidR="00CD65C2" w:rsidRDefault="00CD65C2">
      <w:pPr>
        <w:pStyle w:val="Corpo"/>
        <w:spacing w:line="276" w:lineRule="auto"/>
        <w:ind w:left="720"/>
        <w:rPr>
          <w:color w:val="404040" w:themeColor="text1" w:themeTint="BF"/>
          <w:sz w:val="10"/>
          <w:szCs w:val="10"/>
          <w:lang w:eastAsia="pt-BR"/>
        </w:rPr>
      </w:pPr>
    </w:p>
    <w:p w14:paraId="1AC8C255" w14:textId="77777777" w:rsidR="00FA41FC" w:rsidRDefault="00FA41FC">
      <w:pPr>
        <w:pStyle w:val="Corpo"/>
        <w:spacing w:line="276" w:lineRule="auto"/>
        <w:ind w:left="720"/>
        <w:rPr>
          <w:color w:val="404040" w:themeColor="text1" w:themeTint="BF"/>
          <w:sz w:val="10"/>
          <w:szCs w:val="10"/>
          <w:lang w:eastAsia="pt-BR"/>
        </w:rPr>
      </w:pPr>
    </w:p>
    <w:p w14:paraId="1BA28EC4" w14:textId="77777777" w:rsidR="00FA41FC" w:rsidRDefault="00FA41FC">
      <w:pPr>
        <w:pStyle w:val="Corpo"/>
        <w:spacing w:line="276" w:lineRule="auto"/>
        <w:ind w:left="720"/>
        <w:rPr>
          <w:color w:val="404040" w:themeColor="text1" w:themeTint="BF"/>
          <w:sz w:val="10"/>
          <w:szCs w:val="10"/>
          <w:lang w:eastAsia="pt-BR"/>
        </w:rPr>
      </w:pPr>
    </w:p>
    <w:p w14:paraId="464BB38B" w14:textId="77777777" w:rsidR="00FA41FC" w:rsidRDefault="00FA41FC">
      <w:pPr>
        <w:pStyle w:val="Corpo"/>
        <w:spacing w:line="276" w:lineRule="auto"/>
        <w:ind w:left="720"/>
        <w:rPr>
          <w:color w:val="404040" w:themeColor="text1" w:themeTint="BF"/>
          <w:sz w:val="10"/>
          <w:szCs w:val="10"/>
          <w:lang w:eastAsia="pt-BR"/>
        </w:rPr>
      </w:pPr>
    </w:p>
    <w:p w14:paraId="6133BA21" w14:textId="77777777" w:rsidR="00FA41FC" w:rsidRDefault="00FA41FC">
      <w:pPr>
        <w:pStyle w:val="Corpo"/>
        <w:spacing w:line="276" w:lineRule="auto"/>
        <w:ind w:left="720"/>
        <w:rPr>
          <w:rFonts w:hint="eastAsia"/>
          <w:color w:val="404040" w:themeColor="text1" w:themeTint="BF"/>
          <w:sz w:val="10"/>
          <w:szCs w:val="10"/>
          <w:lang w:eastAsia="pt-BR"/>
        </w:rPr>
      </w:pPr>
    </w:p>
    <w:p w14:paraId="6822512C" w14:textId="77777777" w:rsidR="00CD65C2" w:rsidRDefault="00FA41FC">
      <w:pPr>
        <w:pStyle w:val="Ttulo1"/>
        <w:jc w:val="center"/>
        <w:rPr>
          <w:rFonts w:hint="eastAsia"/>
        </w:rPr>
      </w:pPr>
      <w:bookmarkStart w:id="3" w:name="_Toc165537155"/>
      <w:r>
        <w:t>Formulário</w:t>
      </w:r>
      <w:bookmarkEnd w:id="3"/>
    </w:p>
    <w:p w14:paraId="0790F408" w14:textId="77777777" w:rsidR="00CD65C2" w:rsidRDefault="00CD65C2">
      <w:pPr>
        <w:pStyle w:val="Corpo"/>
        <w:rPr>
          <w:rFonts w:hint="eastAsia"/>
          <w:b/>
          <w:i/>
          <w:color w:val="404040" w:themeColor="text1" w:themeTint="BF"/>
        </w:rPr>
      </w:pPr>
    </w:p>
    <w:p w14:paraId="5EEE91B9" w14:textId="77777777" w:rsidR="00CD65C2" w:rsidRDefault="00CD65C2">
      <w:pPr>
        <w:pStyle w:val="Corpo"/>
        <w:rPr>
          <w:rFonts w:hint="eastAsia"/>
          <w:b/>
          <w:i/>
          <w:color w:val="404040" w:themeColor="text1" w:themeTint="BF"/>
        </w:rPr>
      </w:pPr>
    </w:p>
    <w:p w14:paraId="0159569B" w14:textId="77777777" w:rsidR="00CD65C2" w:rsidRDefault="00FA41FC">
      <w:pPr>
        <w:pStyle w:val="Corpo"/>
        <w:rPr>
          <w:rFonts w:hint="eastAsia"/>
          <w:b/>
          <w:i/>
          <w:color w:val="404040" w:themeColor="text1" w:themeTint="BF"/>
          <w:sz w:val="24"/>
        </w:rPr>
      </w:pPr>
      <w:r>
        <w:rPr>
          <w:b/>
          <w:i/>
          <w:color w:val="404040" w:themeColor="text1" w:themeTint="BF"/>
          <w:sz w:val="24"/>
        </w:rPr>
        <w:t>Sálvia Diminui a Severidade dos Sintomas Associados a SPM</w:t>
      </w:r>
    </w:p>
    <w:p w14:paraId="5B5C171A"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51933455"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76EF3362" w14:textId="77777777" w:rsidR="00CD65C2" w:rsidRDefault="00FA41FC">
            <w:pPr>
              <w:pStyle w:val="Corpo"/>
              <w:jc w:val="center"/>
              <w:rPr>
                <w:rFonts w:hint="eastAsia"/>
                <w:b/>
                <w:color w:val="FFFFFF" w:themeColor="background1"/>
              </w:rPr>
            </w:pPr>
            <w:r>
              <w:rPr>
                <w:b/>
                <w:color w:val="FFFFFF" w:themeColor="background1"/>
                <w:sz w:val="22"/>
              </w:rPr>
              <w:t>Cápsulas de Sálvia</w:t>
            </w:r>
          </w:p>
        </w:tc>
      </w:tr>
      <w:tr w:rsidR="00CD65C2" w14:paraId="4484C3F7"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74B72EE" w14:textId="77777777" w:rsidR="00CD65C2" w:rsidRDefault="00FA41FC">
            <w:pPr>
              <w:pStyle w:val="Corpo"/>
              <w:jc w:val="center"/>
              <w:rPr>
                <w:rFonts w:hint="eastAsia"/>
                <w:color w:val="404040" w:themeColor="text1" w:themeTint="BF"/>
              </w:rPr>
            </w:pPr>
            <w:r>
              <w:rPr>
                <w:i/>
                <w:color w:val="404040" w:themeColor="text1" w:themeTint="BF"/>
              </w:rPr>
              <w:t>Salvia officinalis</w:t>
            </w:r>
            <w:r>
              <w:rPr>
                <w:color w:val="404040" w:themeColor="text1" w:themeTint="BF"/>
              </w:rPr>
              <w:t>...............................500 mg</w:t>
            </w:r>
          </w:p>
        </w:tc>
      </w:tr>
      <w:tr w:rsidR="00CD65C2" w14:paraId="312DCC1B"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45EBAB7" w14:textId="3A3025ED" w:rsidR="00CD65C2" w:rsidRDefault="00FA41FC">
            <w:pPr>
              <w:pStyle w:val="Corpo"/>
              <w:jc w:val="center"/>
              <w:rPr>
                <w:rFonts w:hint="eastAsia"/>
                <w:color w:val="404040" w:themeColor="text1" w:themeTint="BF"/>
              </w:rPr>
            </w:pPr>
            <w:r>
              <w:rPr>
                <w:color w:val="404040" w:themeColor="text1" w:themeTint="BF"/>
              </w:rPr>
              <w:t>Excipiente q.s.p. ........................1 Cápsula</w:t>
            </w:r>
          </w:p>
        </w:tc>
      </w:tr>
    </w:tbl>
    <w:p w14:paraId="44FC088B" w14:textId="77777777" w:rsidR="00CD65C2" w:rsidRDefault="00FA41FC">
      <w:pPr>
        <w:pStyle w:val="Corpo"/>
        <w:tabs>
          <w:tab w:val="left" w:pos="4253"/>
        </w:tabs>
        <w:ind w:right="4818"/>
        <w:jc w:val="center"/>
        <w:rPr>
          <w:rFonts w:hint="eastAsia"/>
          <w:color w:val="404040" w:themeColor="text1" w:themeTint="BF"/>
          <w:sz w:val="22"/>
          <w:szCs w:val="22"/>
        </w:rPr>
      </w:pPr>
      <w:r>
        <w:rPr>
          <w:color w:val="404040" w:themeColor="text1" w:themeTint="BF"/>
          <w:sz w:val="22"/>
          <w:szCs w:val="22"/>
        </w:rPr>
        <w:t>Administrar 1 cápsula ao dia ou conforme orientação médica.</w:t>
      </w:r>
    </w:p>
    <w:p w14:paraId="13E08315" w14:textId="77777777" w:rsidR="00CD65C2" w:rsidRDefault="00CD65C2">
      <w:pPr>
        <w:pStyle w:val="SemEspaamento"/>
      </w:pPr>
    </w:p>
    <w:p w14:paraId="27117427" w14:textId="77777777" w:rsidR="00CD65C2" w:rsidRDefault="00CD65C2">
      <w:pPr>
        <w:pStyle w:val="SemEspaamento"/>
      </w:pPr>
    </w:p>
    <w:p w14:paraId="63A1C67F" w14:textId="77777777" w:rsidR="00CD65C2" w:rsidRDefault="00CD65C2">
      <w:pPr>
        <w:pStyle w:val="SemEspaamento"/>
      </w:pPr>
    </w:p>
    <w:p w14:paraId="5048D72B" w14:textId="77777777" w:rsidR="00CD65C2" w:rsidRDefault="00CD65C2">
      <w:pPr>
        <w:pStyle w:val="SemEspaamento"/>
      </w:pPr>
    </w:p>
    <w:p w14:paraId="15736F14" w14:textId="77777777" w:rsidR="00CD65C2" w:rsidRDefault="00CD65C2">
      <w:pPr>
        <w:pStyle w:val="SemEspaamento"/>
      </w:pPr>
    </w:p>
    <w:p w14:paraId="08791FAC" w14:textId="77777777" w:rsidR="00CD65C2" w:rsidRDefault="00CD65C2">
      <w:pPr>
        <w:pStyle w:val="SemEspaamento"/>
      </w:pPr>
    </w:p>
    <w:p w14:paraId="29C0AEF3" w14:textId="77777777" w:rsidR="00CD65C2" w:rsidRDefault="00CD65C2">
      <w:pPr>
        <w:pStyle w:val="SemEspaamento"/>
      </w:pPr>
    </w:p>
    <w:p w14:paraId="60047339" w14:textId="77777777" w:rsidR="00CD65C2" w:rsidRDefault="00CD65C2">
      <w:pPr>
        <w:pStyle w:val="SemEspaamento"/>
      </w:pPr>
    </w:p>
    <w:p w14:paraId="25C52E78" w14:textId="77777777" w:rsidR="00CD65C2" w:rsidRDefault="00CD65C2">
      <w:pPr>
        <w:pStyle w:val="SemEspaamento"/>
      </w:pPr>
    </w:p>
    <w:p w14:paraId="1894867E" w14:textId="77777777" w:rsidR="00CD65C2" w:rsidRDefault="00CD65C2">
      <w:pPr>
        <w:pStyle w:val="SemEspaamento"/>
      </w:pPr>
    </w:p>
    <w:p w14:paraId="14F83B89" w14:textId="77777777" w:rsidR="00CD65C2" w:rsidRDefault="00CD65C2">
      <w:pPr>
        <w:pStyle w:val="SemEspaamento"/>
      </w:pPr>
    </w:p>
    <w:p w14:paraId="1210AD3F" w14:textId="77777777" w:rsidR="00CD65C2" w:rsidRDefault="00CD65C2">
      <w:pPr>
        <w:pStyle w:val="SemEspaamento"/>
      </w:pPr>
    </w:p>
    <w:p w14:paraId="24D2FF63" w14:textId="77777777" w:rsidR="00CD65C2" w:rsidRDefault="00CD65C2">
      <w:pPr>
        <w:pStyle w:val="SemEspaamento"/>
      </w:pPr>
    </w:p>
    <w:p w14:paraId="4D9C46F7" w14:textId="77777777" w:rsidR="00CD65C2" w:rsidRDefault="00CD65C2">
      <w:pPr>
        <w:pStyle w:val="SemEspaamento"/>
      </w:pPr>
    </w:p>
    <w:p w14:paraId="7F5B4EF0" w14:textId="77777777" w:rsidR="00CD65C2" w:rsidRDefault="00CD65C2">
      <w:pPr>
        <w:pStyle w:val="SemEspaamento"/>
      </w:pPr>
    </w:p>
    <w:p w14:paraId="6CF04BE4" w14:textId="77777777" w:rsidR="00CD65C2" w:rsidRDefault="00CD65C2">
      <w:pPr>
        <w:pStyle w:val="SemEspaamento"/>
      </w:pPr>
    </w:p>
    <w:p w14:paraId="599C49A9" w14:textId="77777777" w:rsidR="00CD65C2" w:rsidRDefault="00CD65C2">
      <w:pPr>
        <w:pStyle w:val="SemEspaamento"/>
      </w:pPr>
    </w:p>
    <w:p w14:paraId="5BC2BE85" w14:textId="77777777" w:rsidR="00CD65C2" w:rsidRDefault="00CD65C2">
      <w:pPr>
        <w:pStyle w:val="SemEspaamento"/>
      </w:pPr>
    </w:p>
    <w:p w14:paraId="5913E442" w14:textId="77777777" w:rsidR="00CD65C2" w:rsidRDefault="00CD65C2">
      <w:pPr>
        <w:pStyle w:val="SemEspaamento"/>
      </w:pPr>
    </w:p>
    <w:p w14:paraId="6B28A00D" w14:textId="77777777" w:rsidR="00CD65C2" w:rsidRDefault="00CD65C2">
      <w:pPr>
        <w:pStyle w:val="SemEspaamento"/>
      </w:pPr>
    </w:p>
    <w:p w14:paraId="1090F807" w14:textId="77777777" w:rsidR="00CD65C2" w:rsidRDefault="00CD65C2">
      <w:pPr>
        <w:pStyle w:val="SemEspaamento"/>
      </w:pPr>
    </w:p>
    <w:p w14:paraId="2487EE33" w14:textId="77777777" w:rsidR="00CD65C2" w:rsidRDefault="00CD65C2">
      <w:pPr>
        <w:pStyle w:val="SemEspaamento"/>
      </w:pPr>
    </w:p>
    <w:p w14:paraId="0DC9E336" w14:textId="77777777" w:rsidR="00CD65C2" w:rsidRDefault="00CD65C2">
      <w:pPr>
        <w:pStyle w:val="SemEspaamento"/>
      </w:pPr>
    </w:p>
    <w:p w14:paraId="151E4970" w14:textId="77777777" w:rsidR="00CD65C2" w:rsidRDefault="00CD65C2">
      <w:pPr>
        <w:pStyle w:val="SemEspaamento"/>
      </w:pPr>
    </w:p>
    <w:p w14:paraId="45F417B7" w14:textId="77777777" w:rsidR="00CD65C2" w:rsidRDefault="00CD65C2">
      <w:pPr>
        <w:pStyle w:val="SemEspaamento"/>
      </w:pPr>
    </w:p>
    <w:p w14:paraId="403EB301" w14:textId="77777777" w:rsidR="00CD65C2" w:rsidRDefault="00CD65C2">
      <w:pPr>
        <w:pStyle w:val="SemEspaamento"/>
      </w:pPr>
    </w:p>
    <w:p w14:paraId="4065F9F1" w14:textId="77777777" w:rsidR="00CD65C2" w:rsidRDefault="00CD65C2">
      <w:pPr>
        <w:pStyle w:val="SemEspaamento"/>
      </w:pPr>
    </w:p>
    <w:p w14:paraId="23325E75" w14:textId="77777777" w:rsidR="00CD65C2" w:rsidRDefault="00CD65C2">
      <w:pPr>
        <w:pStyle w:val="SemEspaamento"/>
      </w:pPr>
    </w:p>
    <w:p w14:paraId="5E5E620E" w14:textId="77777777" w:rsidR="00CD65C2" w:rsidRDefault="00CD65C2">
      <w:pPr>
        <w:pStyle w:val="SemEspaamento"/>
      </w:pPr>
    </w:p>
    <w:p w14:paraId="65E48BB9" w14:textId="77777777" w:rsidR="00CD65C2" w:rsidRDefault="00CD65C2">
      <w:pPr>
        <w:pStyle w:val="SemEspaamento"/>
      </w:pPr>
    </w:p>
    <w:p w14:paraId="0BD133D8" w14:textId="77777777" w:rsidR="00CD65C2" w:rsidRDefault="00CD65C2">
      <w:pPr>
        <w:pStyle w:val="SemEspaamento"/>
      </w:pPr>
    </w:p>
    <w:p w14:paraId="73BE8DB4" w14:textId="77777777" w:rsidR="00CD65C2" w:rsidRDefault="00FA41FC">
      <w:pPr>
        <w:pStyle w:val="Ttulo1"/>
        <w:jc w:val="center"/>
        <w:rPr>
          <w:rFonts w:hint="eastAsia"/>
        </w:rPr>
      </w:pPr>
      <w:bookmarkStart w:id="4" w:name="_Toc165537156"/>
      <w:r>
        <w:t>Curcumina</w:t>
      </w:r>
      <w:bookmarkEnd w:id="4"/>
    </w:p>
    <w:p w14:paraId="704F20FB" w14:textId="77777777" w:rsidR="00CD65C2" w:rsidRPr="00D1428E" w:rsidRDefault="00FA41FC">
      <w:pPr>
        <w:pStyle w:val="Corpo"/>
        <w:jc w:val="center"/>
        <w:rPr>
          <w:rFonts w:hint="eastAsia"/>
          <w:b/>
          <w:color w:val="0070C0"/>
          <w:sz w:val="40"/>
          <w:szCs w:val="22"/>
        </w:rPr>
      </w:pPr>
      <w:r w:rsidRPr="00D1428E">
        <w:rPr>
          <w:b/>
          <w:color w:val="0070C0"/>
          <w:sz w:val="40"/>
          <w:szCs w:val="22"/>
        </w:rPr>
        <w:t>Normaliza os Níveis de Vitamina D e Melhora a Função Hepática na Síndrome Pré-Menstrual</w:t>
      </w:r>
    </w:p>
    <w:p w14:paraId="26B14149" w14:textId="77777777" w:rsidR="00CD65C2" w:rsidRDefault="00CD65C2">
      <w:pPr>
        <w:pStyle w:val="Corpo"/>
        <w:rPr>
          <w:rFonts w:hint="eastAsia"/>
          <w:b/>
          <w:color w:val="0070C0"/>
          <w14:textFill>
            <w14:solidFill>
              <w14:srgbClr w14:val="0070C0">
                <w14:lumMod w14:val="75000"/>
                <w14:lumOff w14:val="25000"/>
              </w14:srgbClr>
            </w14:solidFill>
          </w14:textFill>
        </w:rPr>
      </w:pPr>
    </w:p>
    <w:p w14:paraId="792249FC" w14:textId="77777777" w:rsidR="00CD65C2" w:rsidRDefault="00FA41FC">
      <w:pPr>
        <w:pStyle w:val="Corpo"/>
        <w:spacing w:line="276" w:lineRule="auto"/>
        <w:rPr>
          <w:rFonts w:hint="eastAsia"/>
          <w:color w:val="404040" w:themeColor="text1" w:themeTint="BF"/>
        </w:rPr>
      </w:pPr>
      <w:r>
        <w:rPr>
          <w:color w:val="404040" w:themeColor="text1" w:themeTint="BF"/>
        </w:rPr>
        <w:t xml:space="preserve">Um estudo publicado no periódico internacional BMC </w:t>
      </w:r>
      <w:r>
        <w:rPr>
          <w:i/>
          <w:iCs/>
          <w:color w:val="404040" w:themeColor="text1" w:themeTint="BF"/>
        </w:rPr>
        <w:t xml:space="preserve">Complementary Medicine and Therapies </w:t>
      </w:r>
      <w:r>
        <w:rPr>
          <w:color w:val="404040" w:themeColor="text1" w:themeTint="BF"/>
        </w:rPr>
        <w:t xml:space="preserve">teve como objetivo avaliar os efeitos da suplementação de curcumina nos níveis de vitamina D em mulheres jovens com síndrome pré-menstrual e dismenorreia (ARABNEZHAD </w:t>
      </w:r>
      <w:r>
        <w:rPr>
          <w:i/>
          <w:color w:val="404040" w:themeColor="text1" w:themeTint="BF"/>
        </w:rPr>
        <w:t xml:space="preserve">et al., </w:t>
      </w:r>
      <w:r>
        <w:rPr>
          <w:color w:val="404040" w:themeColor="text1" w:themeTint="BF"/>
        </w:rPr>
        <w:t>2022).</w:t>
      </w:r>
    </w:p>
    <w:p w14:paraId="337D38CA" w14:textId="77777777" w:rsidR="00CD65C2" w:rsidRDefault="00FA41FC">
      <w:pPr>
        <w:pStyle w:val="NormalWeb"/>
        <w:shd w:val="clear" w:color="auto" w:fill="FFFFFF"/>
        <w:rPr>
          <w:rFonts w:ascii="Segoe UI" w:hAnsi="Segoe UI" w:cs="Segoe UI"/>
          <w:color w:val="212121"/>
        </w:rPr>
      </w:pPr>
      <w:r>
        <w:rPr>
          <w:rFonts w:ascii="Calibri" w:hAnsi="Calibri" w:cs="Arial"/>
          <w:b/>
          <w:noProof/>
          <w:lang w:eastAsia="pt-BR"/>
        </w:rPr>
        <mc:AlternateContent>
          <mc:Choice Requires="wps">
            <w:drawing>
              <wp:anchor distT="0" distB="0" distL="114300" distR="114300" simplePos="0" relativeHeight="251663360" behindDoc="0" locked="0" layoutInCell="1" allowOverlap="1">
                <wp:simplePos x="0" y="0"/>
                <wp:positionH relativeFrom="margin">
                  <wp:posOffset>17145</wp:posOffset>
                </wp:positionH>
                <wp:positionV relativeFrom="paragraph">
                  <wp:posOffset>87630</wp:posOffset>
                </wp:positionV>
                <wp:extent cx="5367655" cy="443865"/>
                <wp:effectExtent l="4445" t="5080" r="12700" b="8255"/>
                <wp:wrapNone/>
                <wp:docPr id="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647" cy="443865"/>
                        </a:xfrm>
                        <a:prstGeom prst="rect">
                          <a:avLst/>
                        </a:prstGeom>
                        <a:solidFill>
                          <a:srgbClr val="FFFFFF"/>
                        </a:solidFill>
                        <a:ln w="9525">
                          <a:solidFill>
                            <a:srgbClr val="0070C0"/>
                          </a:solidFill>
                          <a:miter lim="800000"/>
                        </a:ln>
                      </wps:spPr>
                      <wps:txbx>
                        <w:txbxContent>
                          <w:p w14:paraId="4CC3BFF1" w14:textId="17D8F1EE" w:rsidR="00FA41FC" w:rsidRDefault="00FA41FC">
                            <w:pPr>
                              <w:pStyle w:val="Corpo"/>
                              <w:rPr>
                                <w:rFonts w:hint="eastAsia"/>
                                <w:color w:val="404040" w:themeColor="text1" w:themeTint="BF"/>
                              </w:rPr>
                            </w:pPr>
                            <w:r>
                              <w:rPr>
                                <w:color w:val="404040" w:themeColor="text1" w:themeTint="BF"/>
                              </w:rPr>
                              <w:t xml:space="preserve">Para isso, 76 pacientes foram selecionadas para participarem deste estudo clínico, randomizado, triplo-cego e controlado por placebo. Elas foram divididas em dois grupos para receberem, por sete dias antes e até três dias após a menstruação, a seguinte posologia ao longo de três ciclos menstruais. </w:t>
                            </w:r>
                          </w:p>
                          <w:p w14:paraId="0CA76243" w14:textId="77777777" w:rsidR="00FA41FC" w:rsidRDefault="00FA41FC">
                            <w:pPr>
                              <w:pStyle w:val="Corpo"/>
                              <w:spacing w:line="276" w:lineRule="auto"/>
                              <w:jc w:val="center"/>
                              <w:rPr>
                                <w:rFonts w:hint="eastAsia"/>
                                <w:color w:val="404040" w:themeColor="text1" w:themeTint="BF"/>
                                <w:sz w:val="22"/>
                                <w:szCs w:val="22"/>
                              </w:rPr>
                            </w:pPr>
                          </w:p>
                        </w:txbxContent>
                      </wps:txbx>
                      <wps:bodyPr rot="0" vert="horz" wrap="square" lIns="91440" tIns="45720" rIns="91440" bIns="45720" anchor="t" anchorCtr="0" upright="1">
                        <a:noAutofit/>
                      </wps:bodyPr>
                    </wps:wsp>
                  </a:graphicData>
                </a:graphic>
              </wp:anchor>
            </w:drawing>
          </mc:Choice>
          <mc:Fallback>
            <w:pict>
              <v:shape id="_x0000_s1029" type="#_x0000_t202" style="position:absolute;margin-left:1.35pt;margin-top:6.9pt;width:422.65pt;height:34.95pt;z-index:251663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" strokecolor="#0070c0">
                <v:textbox>
                  <w:txbxContent>
                    <w:p w14:paraId="4CC3BFF1" w14:textId="17D8F1EE" w:rsidR="00FA41FC" w:rsidRDefault="00FA41FC">
                      <w:pPr>
                        <w:pStyle w:val="Corpo"/>
                        <w:rPr>
                          <w:rFonts w:hint="eastAsia"/>
                          <w:color w:val="404040" w:themeColor="text1" w:themeTint="BF"/>
                        </w:rPr>
                      </w:pPr>
                      <w:r>
                        <w:rPr>
                          <w:color w:val="404040" w:themeColor="text1" w:themeTint="BF"/>
                        </w:rPr>
                        <w:t xml:space="preserve">Para isso, 76 pacientes foram selecionadas para participarem deste estudo clínico, randomizado, triplo-cego e controlado por placebo. Elas foram divididas em dois grupos para receberem, por sete dias antes e até três dias após a menstruação, a seguinte posologia ao longo de três ciclos menstruais. </w:t>
                      </w:r>
                    </w:p>
                    <w:p w14:paraId="0CA76243" w14:textId="77777777" w:rsidR="00FA41FC" w:rsidRDefault="00FA41FC">
                      <w:pPr>
                        <w:pStyle w:val="Corpo"/>
                        <w:spacing w:line="276" w:lineRule="auto"/>
                        <w:jc w:val="center"/>
                        <w:rPr>
                          <w:rFonts w:hint="eastAsia"/>
                          <w:color w:val="404040" w:themeColor="text1" w:themeTint="BF"/>
                          <w:sz w:val="22"/>
                          <w:szCs w:val="22"/>
                        </w:rPr>
                      </w:pPr>
                    </w:p>
                  </w:txbxContent>
                </v:textbox>
                <w10:wrap anchorx="margin"/>
              </v:shape>
            </w:pict>
          </mc:Fallback>
        </mc:AlternateContent>
      </w:r>
    </w:p>
    <w:p w14:paraId="0C71526D" w14:textId="77777777" w:rsidR="00CD65C2" w:rsidRDefault="00FA41FC">
      <w:pPr>
        <w:pStyle w:val="NormalWeb"/>
        <w:shd w:val="clear" w:color="auto" w:fill="FFFFFF"/>
        <w:rPr>
          <w:rFonts w:ascii="Segoe UI" w:hAnsi="Segoe UI" w:cs="Segoe UI"/>
          <w:color w:val="212121"/>
        </w:rPr>
      </w:pPr>
      <w:r>
        <w:rPr>
          <w:rFonts w:ascii="Segoe UI" w:hAnsi="Segoe UI" w:cs="Segoe UI"/>
          <w:noProof/>
          <w:color w:val="212121"/>
          <w:lang w:eastAsia="pt-BR"/>
        </w:rPr>
        <mc:AlternateContent>
          <mc:Choice Requires="wps">
            <w:drawing>
              <wp:anchor distT="0" distB="0" distL="114300" distR="114300" simplePos="0" relativeHeight="251666432" behindDoc="0" locked="0" layoutInCell="1" allowOverlap="1">
                <wp:simplePos x="0" y="0"/>
                <wp:positionH relativeFrom="column">
                  <wp:posOffset>4360545</wp:posOffset>
                </wp:positionH>
                <wp:positionV relativeFrom="paragraph">
                  <wp:posOffset>150495</wp:posOffset>
                </wp:positionV>
                <wp:extent cx="226695" cy="138430"/>
                <wp:effectExtent l="0" t="0" r="1905" b="0"/>
                <wp:wrapNone/>
                <wp:docPr id="5" name="Triângulo isóscele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5" o:spid="_x0000_s1026" o:spt="5" type="#_x0000_t5" style="position:absolute;left:0pt;flip:y;margin-left:343.35pt;margin-top:11.85pt;height:10.9pt;width:17.85pt;z-index:251666432;mso-width-relative:page;mso-height-relative:page;" fillcolor="#D9D9D9 [3212]" filled="t" stroked="f" coordsize="21600,21600" o:gfxdata="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DTqQ43Z&#10;AAAACQEAAA8AAAAAAAAAAQAgAAAAIgAAAGRycy9kb3ducmV2LnhtbFBLAQIUABQAAAAIAIdO4kAd&#10;bjDmWAIAAKMEAAAOAAAAAAAAAAEAIAAAACgBAABkcnMvZTJvRG9jLnhtbFBLBQYAAAAABgAGAFkB&#10;AADyBQAAAAA=&#10;" adj="10800">
                <v:fill on="t" focussize="0,0"/>
                <v:stroke on="f"/>
                <v:imagedata o:title=""/>
                <o:lock v:ext="edit" aspectratio="f"/>
              </v:shape>
            </w:pict>
          </mc:Fallback>
        </mc:AlternateContent>
      </w:r>
      <w:r>
        <w:rPr>
          <w:rFonts w:ascii="Segoe UI" w:hAnsi="Segoe UI" w:cs="Segoe UI"/>
          <w:noProof/>
          <w:color w:val="212121"/>
          <w:lang w:eastAsia="pt-BR"/>
        </w:rPr>
        <mc:AlternateContent>
          <mc:Choice Requires="wps">
            <w:drawing>
              <wp:anchor distT="0" distB="0" distL="114300" distR="114300" simplePos="0" relativeHeight="251667456" behindDoc="0" locked="0" layoutInCell="1" allowOverlap="1">
                <wp:simplePos x="0" y="0"/>
                <wp:positionH relativeFrom="column">
                  <wp:posOffset>935990</wp:posOffset>
                </wp:positionH>
                <wp:positionV relativeFrom="paragraph">
                  <wp:posOffset>150495</wp:posOffset>
                </wp:positionV>
                <wp:extent cx="226695" cy="138430"/>
                <wp:effectExtent l="0" t="0" r="1905" b="0"/>
                <wp:wrapNone/>
                <wp:docPr id="7" name="Triângulo isóscele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 o:spid="_x0000_s1026" o:spt="5" type="#_x0000_t5" style="position:absolute;left:0pt;flip:y;margin-left:73.7pt;margin-top:11.85pt;height:10.9pt;width:17.85pt;z-index:251667456;mso-width-relative:page;mso-height-relative:page;" fillcolor="#D9D9D9 [3212]" filled="t" stroked="f" coordsize="21600,21600" o:gfxdata="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C0oxbY&#10;AAAACQEAAA8AAAAAAAAAAQAgAAAAIgAAAGRycy9kb3ducmV2LnhtbFBLAQIUABQAAAAIAIdO4kBw&#10;5ljHWQIAAKMEAAAOAAAAAAAAAAEAIAAAACcBAABkcnMvZTJvRG9jLnhtbFBLBQYAAAAABgAGAFkB&#10;AADyBQAAAAA=&#10;" adj="10800">
                <v:fill on="t" focussize="0,0"/>
                <v:stroke on="f"/>
                <v:imagedata o:title=""/>
                <o:lock v:ext="edit" aspectratio="f"/>
              </v:shape>
            </w:pict>
          </mc:Fallback>
        </mc:AlternateContent>
      </w:r>
    </w:p>
    <w:p w14:paraId="7273C7E8" w14:textId="77777777" w:rsidR="00CD65C2" w:rsidRDefault="00FA41FC">
      <w:pPr>
        <w:pStyle w:val="NormalWeb"/>
        <w:shd w:val="clear" w:color="auto" w:fill="FFFFFF"/>
        <w:rPr>
          <w:rFonts w:ascii="Segoe UI" w:hAnsi="Segoe UI" w:cs="Segoe UI"/>
          <w:color w:val="212121"/>
        </w:rPr>
      </w:pPr>
      <w:r>
        <w:rPr>
          <w:rFonts w:ascii="Segoe UI" w:hAnsi="Segoe UI" w:cs="Segoe UI"/>
          <w:noProof/>
          <w:color w:val="212121"/>
          <w:lang w:eastAsia="pt-BR"/>
        </w:rPr>
        <mc:AlternateContent>
          <mc:Choice Requires="wps">
            <w:drawing>
              <wp:anchor distT="0" distB="0" distL="114300" distR="114300" simplePos="0" relativeHeight="251664384" behindDoc="0" locked="0" layoutInCell="1" allowOverlap="1">
                <wp:simplePos x="0" y="0"/>
                <wp:positionH relativeFrom="margin">
                  <wp:posOffset>0</wp:posOffset>
                </wp:positionH>
                <wp:positionV relativeFrom="paragraph">
                  <wp:posOffset>66675</wp:posOffset>
                </wp:positionV>
                <wp:extent cx="1935480" cy="925830"/>
                <wp:effectExtent l="0" t="0" r="26670" b="26670"/>
                <wp:wrapNone/>
                <wp:docPr id="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925830"/>
                        </a:xfrm>
                        <a:prstGeom prst="rect">
                          <a:avLst/>
                        </a:prstGeom>
                        <a:solidFill>
                          <a:srgbClr val="0070C0"/>
                        </a:solidFill>
                        <a:ln w="9525">
                          <a:solidFill>
                            <a:srgbClr val="0070C0"/>
                          </a:solidFill>
                          <a:miter lim="800000"/>
                        </a:ln>
                      </wps:spPr>
                      <wps:txbx>
                        <w:txbxContent>
                          <w:p w14:paraId="009864A2" w14:textId="77777777" w:rsidR="00FA41FC" w:rsidRDefault="00FA41FC">
                            <w:pPr>
                              <w:spacing w:line="240" w:lineRule="auto"/>
                              <w:jc w:val="center"/>
                              <w:rPr>
                                <w:rFonts w:ascii="Swis721 Th BT" w:hAnsi="Swis721 Th BT"/>
                                <w:b/>
                                <w:bCs/>
                                <w:color w:val="FFFFFF" w:themeColor="background1"/>
                              </w:rPr>
                            </w:pPr>
                            <w:r>
                              <w:rPr>
                                <w:rFonts w:ascii="Swis721 Th BT" w:hAnsi="Swis721 Th BT"/>
                                <w:b/>
                                <w:bCs/>
                                <w:color w:val="FFFFFF" w:themeColor="background1"/>
                              </w:rPr>
                              <w:t>Grupo 1 (n=38)</w:t>
                            </w:r>
                          </w:p>
                          <w:p w14:paraId="7159561E" w14:textId="77777777" w:rsidR="00FA41FC" w:rsidRDefault="00FA41FC">
                            <w:pPr>
                              <w:spacing w:line="240" w:lineRule="auto"/>
                              <w:jc w:val="center"/>
                              <w:rPr>
                                <w:rFonts w:ascii="Swis721 Th BT" w:hAnsi="Swis721 Th BT"/>
                                <w:bCs/>
                                <w:color w:val="FFFFFF" w:themeColor="background1"/>
                              </w:rPr>
                            </w:pPr>
                            <w:r>
                              <w:rPr>
                                <w:rFonts w:ascii="Swis721 Th BT" w:hAnsi="Swis721 Th BT"/>
                                <w:bCs/>
                                <w:color w:val="FFFFFF" w:themeColor="background1"/>
                              </w:rPr>
                              <w:t>Curcumina 500 mg</w:t>
                            </w:r>
                          </w:p>
                          <w:p w14:paraId="0B49B0BE" w14:textId="77777777" w:rsidR="00FA41FC" w:rsidRDefault="00FA41FC">
                            <w:pPr>
                              <w:spacing w:line="240" w:lineRule="auto"/>
                              <w:jc w:val="center"/>
                              <w:rPr>
                                <w:rFonts w:ascii="Swis721 Th BT" w:hAnsi="Swis721 Th BT"/>
                                <w:bCs/>
                                <w:color w:val="FFFFFF" w:themeColor="background1"/>
                              </w:rPr>
                            </w:pPr>
                            <w:r>
                              <w:rPr>
                                <w:rFonts w:ascii="Swis721 Th BT" w:hAnsi="Swis721 Th BT"/>
                                <w:bCs/>
                                <w:color w:val="FFFFFF" w:themeColor="background1"/>
                              </w:rPr>
                              <w:t>Piperina 5 mg</w:t>
                            </w:r>
                          </w:p>
                          <w:p w14:paraId="250E20FF" w14:textId="77777777" w:rsidR="00FA41FC" w:rsidRDefault="00FA41FC">
                            <w:pPr>
                              <w:spacing w:line="240" w:lineRule="auto"/>
                              <w:jc w:val="center"/>
                              <w:rPr>
                                <w:rFonts w:ascii="Swis721 Th BT" w:hAnsi="Swis721 Th BT"/>
                                <w:b/>
                                <w:color w:val="FFFFFF" w:themeColor="background1"/>
                              </w:rPr>
                            </w:pPr>
                            <w:r>
                              <w:rPr>
                                <w:rFonts w:ascii="Swis721 Th BT" w:hAnsi="Swis721 Th BT"/>
                                <w:b/>
                                <w:bCs/>
                                <w:color w:val="FFFFFF" w:themeColor="background1"/>
                              </w:rPr>
                              <w:t>Dose diária</w:t>
                            </w:r>
                          </w:p>
                          <w:p w14:paraId="2A14A46A" w14:textId="77777777" w:rsidR="00FA41FC" w:rsidRDefault="00FA41FC">
                            <w:pPr>
                              <w:spacing w:line="240" w:lineRule="auto"/>
                              <w:jc w:val="center"/>
                              <w:rPr>
                                <w:rFonts w:ascii="Swis721 Th BT" w:hAnsi="Swis721 Th BT"/>
                                <w:color w:val="FFFFFF" w:themeColor="background1"/>
                              </w:rPr>
                            </w:pPr>
                          </w:p>
                        </w:txbxContent>
                      </wps:txbx>
                      <wps:bodyPr rot="0" vert="horz" wrap="square" lIns="91440" tIns="45720" rIns="91440" bIns="45720" anchor="t" anchorCtr="0" upright="1">
                        <a:noAutofit/>
                      </wps:bodyPr>
                    </wps:wsp>
                  </a:graphicData>
                </a:graphic>
              </wp:anchor>
            </w:drawing>
          </mc:Choice>
          <mc:Fallback>
            <w:pict>
              <v:shape id="_x0000_s1030" type="#_x0000_t202" style="position:absolute;margin-left:0;margin-top:5.25pt;width:152.4pt;height:72.9pt;z-index:251664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" fillcolor="#0070c0" strokecolor="#0070c0">
                <v:textbox>
                  <w:txbxContent>
                    <w:p w14:paraId="009864A2" w14:textId="77777777" w:rsidR="00FA41FC" w:rsidRDefault="00FA41FC">
                      <w:pPr>
                        <w:spacing w:line="240" w:lineRule="auto"/>
                        <w:jc w:val="center"/>
                        <w:rPr>
                          <w:rFonts w:ascii="Swis721 Th BT" w:hAnsi="Swis721 Th BT"/>
                          <w:b/>
                          <w:bCs/>
                          <w:color w:val="FFFFFF" w:themeColor="background1"/>
                        </w:rPr>
                      </w:pPr>
                      <w:r>
                        <w:rPr>
                          <w:rFonts w:ascii="Swis721 Th BT" w:hAnsi="Swis721 Th BT"/>
                          <w:b/>
                          <w:bCs/>
                          <w:color w:val="FFFFFF" w:themeColor="background1"/>
                        </w:rPr>
                        <w:t>Grupo 1 (n=38)</w:t>
                      </w:r>
                    </w:p>
                    <w:p w14:paraId="7159561E" w14:textId="77777777" w:rsidR="00FA41FC" w:rsidRDefault="00FA41FC">
                      <w:pPr>
                        <w:spacing w:line="240" w:lineRule="auto"/>
                        <w:jc w:val="center"/>
                        <w:rPr>
                          <w:rFonts w:ascii="Swis721 Th BT" w:hAnsi="Swis721 Th BT"/>
                          <w:bCs/>
                          <w:color w:val="FFFFFF" w:themeColor="background1"/>
                        </w:rPr>
                      </w:pPr>
                      <w:r>
                        <w:rPr>
                          <w:rFonts w:ascii="Swis721 Th BT" w:hAnsi="Swis721 Th BT"/>
                          <w:bCs/>
                          <w:color w:val="FFFFFF" w:themeColor="background1"/>
                        </w:rPr>
                        <w:t>Curcumina 500 mg</w:t>
                      </w:r>
                    </w:p>
                    <w:p w14:paraId="0B49B0BE" w14:textId="77777777" w:rsidR="00FA41FC" w:rsidRDefault="00FA41FC">
                      <w:pPr>
                        <w:spacing w:line="240" w:lineRule="auto"/>
                        <w:jc w:val="center"/>
                        <w:rPr>
                          <w:rFonts w:ascii="Swis721 Th BT" w:hAnsi="Swis721 Th BT"/>
                          <w:bCs/>
                          <w:color w:val="FFFFFF" w:themeColor="background1"/>
                        </w:rPr>
                      </w:pPr>
                      <w:r>
                        <w:rPr>
                          <w:rFonts w:ascii="Swis721 Th BT" w:hAnsi="Swis721 Th BT"/>
                          <w:bCs/>
                          <w:color w:val="FFFFFF" w:themeColor="background1"/>
                        </w:rPr>
                        <w:t>Piperina 5 mg</w:t>
                      </w:r>
                    </w:p>
                    <w:p w14:paraId="250E20FF" w14:textId="77777777" w:rsidR="00FA41FC" w:rsidRDefault="00FA41FC">
                      <w:pPr>
                        <w:spacing w:line="240" w:lineRule="auto"/>
                        <w:jc w:val="center"/>
                        <w:rPr>
                          <w:rFonts w:ascii="Swis721 Th BT" w:hAnsi="Swis721 Th BT"/>
                          <w:b/>
                          <w:color w:val="FFFFFF" w:themeColor="background1"/>
                        </w:rPr>
                      </w:pPr>
                      <w:r>
                        <w:rPr>
                          <w:rFonts w:ascii="Swis721 Th BT" w:hAnsi="Swis721 Th BT"/>
                          <w:b/>
                          <w:bCs/>
                          <w:color w:val="FFFFFF" w:themeColor="background1"/>
                        </w:rPr>
                        <w:t>Dose diária</w:t>
                      </w:r>
                    </w:p>
                    <w:p w14:paraId="2A14A46A" w14:textId="77777777" w:rsidR="00FA41FC" w:rsidRDefault="00FA41FC">
                      <w:pPr>
                        <w:spacing w:line="240" w:lineRule="auto"/>
                        <w:jc w:val="center"/>
                        <w:rPr>
                          <w:rFonts w:ascii="Swis721 Th BT" w:hAnsi="Swis721 Th BT"/>
                          <w:color w:val="FFFFFF" w:themeColor="background1"/>
                        </w:rPr>
                      </w:pPr>
                    </w:p>
                  </w:txbxContent>
                </v:textbox>
                <w10:wrap anchorx="margin"/>
              </v:shape>
            </w:pict>
          </mc:Fallback>
        </mc:AlternateContent>
      </w:r>
      <w:r>
        <w:rPr>
          <w:rFonts w:ascii="Segoe UI" w:hAnsi="Segoe UI" w:cs="Segoe UI"/>
          <w:noProof/>
          <w:color w:val="212121"/>
          <w:lang w:eastAsia="pt-BR"/>
        </w:rPr>
        <mc:AlternateContent>
          <mc:Choice Requires="wps">
            <w:drawing>
              <wp:anchor distT="0" distB="0" distL="114300" distR="114300" simplePos="0" relativeHeight="251665408" behindDoc="0" locked="0" layoutInCell="1" allowOverlap="1">
                <wp:simplePos x="0" y="0"/>
                <wp:positionH relativeFrom="margin">
                  <wp:posOffset>3491865</wp:posOffset>
                </wp:positionH>
                <wp:positionV relativeFrom="paragraph">
                  <wp:posOffset>54610</wp:posOffset>
                </wp:positionV>
                <wp:extent cx="1892300" cy="914400"/>
                <wp:effectExtent l="0" t="0" r="12700" b="19050"/>
                <wp:wrapNone/>
                <wp:docPr id="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914400"/>
                        </a:xfrm>
                        <a:prstGeom prst="rect">
                          <a:avLst/>
                        </a:prstGeom>
                        <a:solidFill>
                          <a:srgbClr val="0070C0"/>
                        </a:solidFill>
                        <a:ln w="9525">
                          <a:solidFill>
                            <a:srgbClr val="0070C0"/>
                          </a:solidFill>
                          <a:miter lim="800000"/>
                        </a:ln>
                      </wps:spPr>
                      <wps:txbx>
                        <w:txbxContent>
                          <w:p w14:paraId="6C038D56" w14:textId="77777777" w:rsidR="00FA41FC" w:rsidRDefault="00FA41FC">
                            <w:pPr>
                              <w:spacing w:after="0" w:line="240" w:lineRule="auto"/>
                              <w:jc w:val="center"/>
                              <w:rPr>
                                <w:rFonts w:ascii="Swis721 Th BT" w:hAnsi="Swis721 Th BT"/>
                                <w:b/>
                                <w:bCs/>
                                <w:color w:val="FFFFFF" w:themeColor="background1"/>
                              </w:rPr>
                            </w:pPr>
                            <w:r>
                              <w:rPr>
                                <w:rFonts w:ascii="Swis721 Th BT" w:hAnsi="Swis721 Th BT"/>
                                <w:b/>
                                <w:bCs/>
                                <w:color w:val="FFFFFF" w:themeColor="background1"/>
                              </w:rPr>
                              <w:t>Grupo 2 (n=38)</w:t>
                            </w:r>
                          </w:p>
                          <w:p w14:paraId="5F5205E4" w14:textId="77777777" w:rsidR="00FA41FC" w:rsidRDefault="00FA41FC">
                            <w:pPr>
                              <w:spacing w:after="0" w:line="240" w:lineRule="auto"/>
                              <w:jc w:val="center"/>
                              <w:rPr>
                                <w:rFonts w:ascii="Swis721 Th BT" w:hAnsi="Swis721 Th BT"/>
                                <w:bCs/>
                                <w:color w:val="FFFFFF" w:themeColor="background1"/>
                              </w:rPr>
                            </w:pPr>
                          </w:p>
                          <w:p w14:paraId="68B8DA29" w14:textId="77777777" w:rsidR="00FA41FC" w:rsidRDefault="00FA41FC">
                            <w:pPr>
                              <w:spacing w:after="0" w:line="240" w:lineRule="auto"/>
                              <w:jc w:val="center"/>
                              <w:rPr>
                                <w:rFonts w:ascii="Swis721 Th BT" w:hAnsi="Swis721 Th BT"/>
                                <w:bCs/>
                                <w:color w:val="FFFFFF" w:themeColor="background1"/>
                              </w:rPr>
                            </w:pPr>
                            <w:r>
                              <w:rPr>
                                <w:rFonts w:ascii="Swis721 Th BT" w:hAnsi="Swis721 Th BT"/>
                                <w:bCs/>
                                <w:color w:val="FFFFFF" w:themeColor="background1"/>
                              </w:rPr>
                              <w:t>Placebo</w:t>
                            </w:r>
                          </w:p>
                          <w:p w14:paraId="16964B09" w14:textId="77777777" w:rsidR="00FA41FC" w:rsidRDefault="00FA41FC">
                            <w:pPr>
                              <w:spacing w:after="0" w:line="240" w:lineRule="auto"/>
                              <w:jc w:val="center"/>
                              <w:rPr>
                                <w:rFonts w:ascii="Swis721 Th BT" w:hAnsi="Swis721 Th BT"/>
                                <w:color w:val="FFFFFF" w:themeColor="background1"/>
                              </w:rPr>
                            </w:pPr>
                            <w:r>
                              <w:rPr>
                                <w:rFonts w:ascii="Swis721 Th BT" w:hAnsi="Swis721 Th BT"/>
                                <w:bCs/>
                                <w:color w:val="FFFFFF" w:themeColor="background1"/>
                              </w:rPr>
                              <w:t>Dose diária</w:t>
                            </w:r>
                          </w:p>
                          <w:p w14:paraId="1EC96094" w14:textId="77777777" w:rsidR="00FA41FC" w:rsidRDefault="00FA41FC">
                            <w:pPr>
                              <w:spacing w:after="0" w:line="240" w:lineRule="auto"/>
                              <w:jc w:val="center"/>
                              <w:rPr>
                                <w:rFonts w:ascii="Swis721 Th BT" w:hAnsi="Swis721 Th BT"/>
                                <w:color w:val="FFFFFF" w:themeColor="background1"/>
                              </w:rPr>
                            </w:pPr>
                          </w:p>
                        </w:txbxContent>
                      </wps:txbx>
                      <wps:bodyPr rot="0" vert="horz" wrap="square" lIns="91440" tIns="45720" rIns="91440" bIns="45720" anchor="t" anchorCtr="0" upright="1">
                        <a:noAutofit/>
                      </wps:bodyPr>
                    </wps:wsp>
                  </a:graphicData>
                </a:graphic>
              </wp:anchor>
            </w:drawing>
          </mc:Choice>
          <mc:Fallback>
            <w:pict>
              <v:shape id="_x0000_s1031" type="#_x0000_t202" style="position:absolute;margin-left:274.95pt;margin-top:4.3pt;width:149pt;height:1in;z-index:2516654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" fillcolor="#0070c0" strokecolor="#0070c0">
                <v:textbox>
                  <w:txbxContent>
                    <w:p w14:paraId="6C038D56" w14:textId="77777777" w:rsidR="00FA41FC" w:rsidRDefault="00FA41FC">
                      <w:pPr>
                        <w:spacing w:after="0" w:line="240" w:lineRule="auto"/>
                        <w:jc w:val="center"/>
                        <w:rPr>
                          <w:rFonts w:ascii="Swis721 Th BT" w:hAnsi="Swis721 Th BT"/>
                          <w:b/>
                          <w:bCs/>
                          <w:color w:val="FFFFFF" w:themeColor="background1"/>
                        </w:rPr>
                      </w:pPr>
                      <w:r>
                        <w:rPr>
                          <w:rFonts w:ascii="Swis721 Th BT" w:hAnsi="Swis721 Th BT"/>
                          <w:b/>
                          <w:bCs/>
                          <w:color w:val="FFFFFF" w:themeColor="background1"/>
                        </w:rPr>
                        <w:t>Grupo 2 (n=38)</w:t>
                      </w:r>
                    </w:p>
                    <w:p w14:paraId="5F5205E4" w14:textId="77777777" w:rsidR="00FA41FC" w:rsidRDefault="00FA41FC">
                      <w:pPr>
                        <w:spacing w:after="0" w:line="240" w:lineRule="auto"/>
                        <w:jc w:val="center"/>
                        <w:rPr>
                          <w:rFonts w:ascii="Swis721 Th BT" w:hAnsi="Swis721 Th BT"/>
                          <w:bCs/>
                          <w:color w:val="FFFFFF" w:themeColor="background1"/>
                        </w:rPr>
                      </w:pPr>
                    </w:p>
                    <w:p w14:paraId="68B8DA29" w14:textId="77777777" w:rsidR="00FA41FC" w:rsidRDefault="00FA41FC">
                      <w:pPr>
                        <w:spacing w:after="0" w:line="240" w:lineRule="auto"/>
                        <w:jc w:val="center"/>
                        <w:rPr>
                          <w:rFonts w:ascii="Swis721 Th BT" w:hAnsi="Swis721 Th BT"/>
                          <w:bCs/>
                          <w:color w:val="FFFFFF" w:themeColor="background1"/>
                        </w:rPr>
                      </w:pPr>
                      <w:r>
                        <w:rPr>
                          <w:rFonts w:ascii="Swis721 Th BT" w:hAnsi="Swis721 Th BT"/>
                          <w:bCs/>
                          <w:color w:val="FFFFFF" w:themeColor="background1"/>
                        </w:rPr>
                        <w:t>Placebo</w:t>
                      </w:r>
                    </w:p>
                    <w:p w14:paraId="16964B09" w14:textId="77777777" w:rsidR="00FA41FC" w:rsidRDefault="00FA41FC">
                      <w:pPr>
                        <w:spacing w:after="0" w:line="240" w:lineRule="auto"/>
                        <w:jc w:val="center"/>
                        <w:rPr>
                          <w:rFonts w:ascii="Swis721 Th BT" w:hAnsi="Swis721 Th BT"/>
                          <w:color w:val="FFFFFF" w:themeColor="background1"/>
                        </w:rPr>
                      </w:pPr>
                      <w:r>
                        <w:rPr>
                          <w:rFonts w:ascii="Swis721 Th BT" w:hAnsi="Swis721 Th BT"/>
                          <w:bCs/>
                          <w:color w:val="FFFFFF" w:themeColor="background1"/>
                        </w:rPr>
                        <w:t>Dose diária</w:t>
                      </w:r>
                    </w:p>
                    <w:p w14:paraId="1EC96094" w14:textId="77777777" w:rsidR="00FA41FC" w:rsidRDefault="00FA41FC">
                      <w:pPr>
                        <w:spacing w:after="0" w:line="240" w:lineRule="auto"/>
                        <w:jc w:val="center"/>
                        <w:rPr>
                          <w:rFonts w:ascii="Swis721 Th BT" w:hAnsi="Swis721 Th BT"/>
                          <w:color w:val="FFFFFF" w:themeColor="background1"/>
                        </w:rPr>
                      </w:pPr>
                    </w:p>
                  </w:txbxContent>
                </v:textbox>
                <w10:wrap anchorx="margin"/>
              </v:shape>
            </w:pict>
          </mc:Fallback>
        </mc:AlternateContent>
      </w:r>
    </w:p>
    <w:p w14:paraId="2E8ACC1B" w14:textId="77777777" w:rsidR="00CD65C2" w:rsidRDefault="00CD65C2">
      <w:pPr>
        <w:shd w:val="clear" w:color="auto" w:fill="FFFFFF"/>
        <w:spacing w:before="100" w:beforeAutospacing="1" w:after="100" w:afterAutospacing="1" w:line="240" w:lineRule="auto"/>
        <w:rPr>
          <w:rFonts w:ascii="Segoe UI" w:eastAsia="Times New Roman" w:hAnsi="Segoe UI" w:cs="Segoe UI"/>
          <w:color w:val="212121"/>
          <w:sz w:val="24"/>
          <w:szCs w:val="24"/>
          <w:lang w:eastAsia="pt-BR"/>
        </w:rPr>
      </w:pPr>
    </w:p>
    <w:p w14:paraId="1DC50672" w14:textId="77777777" w:rsidR="00CD65C2" w:rsidRDefault="00CD65C2">
      <w:pPr>
        <w:shd w:val="clear" w:color="auto" w:fill="FFFFFF"/>
        <w:spacing w:before="100" w:beforeAutospacing="1" w:after="100" w:afterAutospacing="1" w:line="240" w:lineRule="auto"/>
        <w:rPr>
          <w:rFonts w:ascii="Segoe UI" w:eastAsia="Times New Roman" w:hAnsi="Segoe UI" w:cs="Segoe UI"/>
          <w:color w:val="212121"/>
          <w:sz w:val="24"/>
          <w:szCs w:val="24"/>
          <w:lang w:eastAsia="pt-BR"/>
        </w:rPr>
      </w:pPr>
    </w:p>
    <w:p w14:paraId="2A9506B4" w14:textId="77777777" w:rsidR="00CD65C2" w:rsidRDefault="00FA41FC">
      <w:pPr>
        <w:pStyle w:val="PargrafodaLista"/>
        <w:numPr>
          <w:ilvl w:val="0"/>
          <w:numId w:val="2"/>
        </w:numPr>
        <w:shd w:val="clear" w:color="auto" w:fill="FFFFFF"/>
        <w:spacing w:before="100" w:beforeAutospacing="1" w:after="100" w:afterAutospacing="1" w:line="240" w:lineRule="auto"/>
        <w:rPr>
          <w:rFonts w:ascii="Swis721 Th BT" w:eastAsia="Times New Roman" w:hAnsi="Swis721 Th BT" w:cs="Segoe UI"/>
          <w:color w:val="212121"/>
          <w:sz w:val="23"/>
          <w:szCs w:val="23"/>
          <w:lang w:eastAsia="pt-BR"/>
        </w:rPr>
      </w:pPr>
      <w:r>
        <w:rPr>
          <w:rFonts w:ascii="Swis721 Th BT" w:eastAsia="Times New Roman" w:hAnsi="Swis721 Th BT" w:cs="Segoe UI"/>
          <w:color w:val="212121"/>
          <w:sz w:val="23"/>
          <w:szCs w:val="23"/>
          <w:lang w:eastAsia="pt-BR"/>
        </w:rPr>
        <w:t>Níveis séricos de vitamina D, função renal e enzimas hepáticas também foram medidos antes e após a intervenção</w:t>
      </w:r>
    </w:p>
    <w:p w14:paraId="322EDF37" w14:textId="77777777" w:rsidR="00CD65C2" w:rsidRDefault="00FA41FC">
      <w:pPr>
        <w:pStyle w:val="Titulo"/>
        <w:rPr>
          <w:rFonts w:hint="eastAsia"/>
          <w:b/>
          <w:sz w:val="23"/>
          <w:szCs w:val="23"/>
        </w:rPr>
      </w:pPr>
      <w:r>
        <w:rPr>
          <w:b/>
          <w:sz w:val="23"/>
          <w:szCs w:val="23"/>
        </w:rPr>
        <w:t>Resultados:</w:t>
      </w:r>
    </w:p>
    <w:p w14:paraId="4B3600D2" w14:textId="77777777" w:rsidR="00CD65C2" w:rsidRDefault="00CD65C2">
      <w:pPr>
        <w:pStyle w:val="Titulo"/>
        <w:spacing w:line="276" w:lineRule="auto"/>
        <w:rPr>
          <w:rFonts w:ascii="Segoe UI" w:eastAsia="Times New Roman" w:hAnsi="Segoe UI" w:cs="Segoe UI"/>
          <w:b/>
          <w:color w:val="212121"/>
          <w:sz w:val="10"/>
          <w:szCs w:val="10"/>
          <w:lang w:eastAsia="pt-BR"/>
        </w:rPr>
      </w:pPr>
    </w:p>
    <w:p w14:paraId="71CA48D6" w14:textId="773C3D91" w:rsidR="00CD65C2" w:rsidRDefault="00FA41FC">
      <w:pPr>
        <w:pStyle w:val="Corpo"/>
        <w:numPr>
          <w:ilvl w:val="0"/>
          <w:numId w:val="3"/>
        </w:numPr>
        <w:rPr>
          <w:rFonts w:hint="eastAsia"/>
          <w:color w:val="404040" w:themeColor="text1" w:themeTint="BF"/>
          <w:lang w:eastAsia="pt-BR"/>
        </w:rPr>
      </w:pPr>
      <w:r>
        <w:rPr>
          <w:color w:val="404040" w:themeColor="text1" w:themeTint="BF"/>
          <w:lang w:eastAsia="pt-BR"/>
        </w:rPr>
        <w:t xml:space="preserve">A curcumina aumentou significativamente os níveis séricos médios (IQR) de vitamina D </w:t>
      </w:r>
      <w:r w:rsidRPr="00D1428E">
        <w:rPr>
          <w:color w:val="404040" w:themeColor="text1" w:themeTint="BF"/>
          <w:lang w:eastAsia="pt-BR"/>
        </w:rPr>
        <w:t>(</w:t>
      </w:r>
      <w:r>
        <w:rPr>
          <w:color w:val="404040" w:themeColor="text1" w:themeTint="BF"/>
          <w:lang w:eastAsia="pt-BR"/>
        </w:rPr>
        <w:t>12,8 ng/ml para 16,2 ng/ml</w:t>
      </w:r>
      <w:r w:rsidRPr="00D1428E">
        <w:rPr>
          <w:color w:val="404040" w:themeColor="text1" w:themeTint="BF"/>
          <w:lang w:eastAsia="pt-BR"/>
        </w:rPr>
        <w:t xml:space="preserve">; </w:t>
      </w:r>
      <w:r>
        <w:rPr>
          <w:color w:val="404040" w:themeColor="text1" w:themeTint="BF"/>
          <w:lang w:eastAsia="pt-BR"/>
        </w:rPr>
        <w:t>p</w:t>
      </w:r>
      <w:r w:rsidRPr="00D1428E">
        <w:rPr>
          <w:color w:val="404040" w:themeColor="text1" w:themeTint="BF"/>
          <w:lang w:eastAsia="pt-BR"/>
        </w:rPr>
        <w:t xml:space="preserve"> </w:t>
      </w:r>
      <w:r>
        <w:rPr>
          <w:color w:val="404040" w:themeColor="text1" w:themeTint="BF"/>
          <w:lang w:eastAsia="pt-BR"/>
        </w:rPr>
        <w:t>=</w:t>
      </w:r>
      <w:r w:rsidRPr="00D1428E">
        <w:rPr>
          <w:color w:val="404040" w:themeColor="text1" w:themeTint="BF"/>
          <w:lang w:eastAsia="pt-BR"/>
        </w:rPr>
        <w:t xml:space="preserve"> </w:t>
      </w:r>
      <w:r>
        <w:rPr>
          <w:color w:val="404040" w:themeColor="text1" w:themeTint="BF"/>
          <w:lang w:eastAsia="pt-BR"/>
        </w:rPr>
        <w:t xml:space="preserve">0,045) </w:t>
      </w:r>
      <w:r w:rsidRPr="00D1428E">
        <w:rPr>
          <w:color w:val="404040" w:themeColor="text1" w:themeTint="BF"/>
          <w:lang w:eastAsia="pt-BR"/>
        </w:rPr>
        <w:t xml:space="preserve">em compração ao </w:t>
      </w:r>
      <w:r>
        <w:rPr>
          <w:color w:val="404040" w:themeColor="text1" w:themeTint="BF"/>
          <w:lang w:eastAsia="pt-BR"/>
        </w:rPr>
        <w:t xml:space="preserve">placebo </w:t>
      </w:r>
      <w:r w:rsidRPr="00D1428E">
        <w:rPr>
          <w:color w:val="404040" w:themeColor="text1" w:themeTint="BF"/>
          <w:lang w:eastAsia="pt-BR"/>
        </w:rPr>
        <w:t>(</w:t>
      </w:r>
      <w:r>
        <w:rPr>
          <w:color w:val="404040" w:themeColor="text1" w:themeTint="BF"/>
          <w:lang w:eastAsia="pt-BR"/>
        </w:rPr>
        <w:t>18,6 ng/ml para 21,3 ng/ml</w:t>
      </w:r>
      <w:r w:rsidRPr="00D1428E">
        <w:rPr>
          <w:color w:val="404040" w:themeColor="text1" w:themeTint="BF"/>
          <w:lang w:eastAsia="pt-BR"/>
        </w:rPr>
        <w:t xml:space="preserve">, </w:t>
      </w:r>
      <w:r>
        <w:rPr>
          <w:color w:val="404040" w:themeColor="text1" w:themeTint="BF"/>
          <w:lang w:eastAsia="pt-BR"/>
        </w:rPr>
        <w:t>p = 0,17);</w:t>
      </w:r>
    </w:p>
    <w:p w14:paraId="78591DB2" w14:textId="77777777" w:rsidR="00CD65C2" w:rsidRDefault="00FA41FC">
      <w:pPr>
        <w:pStyle w:val="Corpo"/>
        <w:numPr>
          <w:ilvl w:val="0"/>
          <w:numId w:val="3"/>
        </w:numPr>
        <w:rPr>
          <w:rFonts w:hint="eastAsia"/>
          <w:color w:val="404040" w:themeColor="text1" w:themeTint="BF"/>
          <w:lang w:eastAsia="pt-BR"/>
        </w:rPr>
      </w:pPr>
      <w:r>
        <w:rPr>
          <w:color w:val="404040" w:themeColor="text1" w:themeTint="BF"/>
          <w:lang w:eastAsia="pt-BR"/>
        </w:rPr>
        <w:t>Os níveis séricos de aspartato aminotransferase e bilirrubina direta foram reduzidos ao final do estudo no grupo curcumina (p &lt; 0,05), mas não mudaram significativamente no grupo controle (p &gt; 0,05).</w:t>
      </w:r>
    </w:p>
    <w:p w14:paraId="0DD51B7F" w14:textId="5D12E7EC" w:rsidR="00CD65C2" w:rsidRDefault="00FA41FC">
      <w:pPr>
        <w:pStyle w:val="Corpo"/>
        <w:numPr>
          <w:ilvl w:val="0"/>
          <w:numId w:val="3"/>
        </w:numPr>
        <w:rPr>
          <w:rFonts w:hint="eastAsia"/>
          <w:color w:val="404040" w:themeColor="text1" w:themeTint="BF"/>
          <w:lang w:eastAsia="pt-BR"/>
        </w:rPr>
      </w:pPr>
      <w:r w:rsidRPr="00D1428E">
        <w:rPr>
          <w:color w:val="404040" w:themeColor="text1" w:themeTint="BF"/>
          <w:lang w:eastAsia="pt-BR"/>
        </w:rPr>
        <w:t>N</w:t>
      </w:r>
      <w:r>
        <w:rPr>
          <w:color w:val="404040" w:themeColor="text1" w:themeTint="BF"/>
          <w:lang w:eastAsia="pt-BR"/>
        </w:rPr>
        <w:t>ão foram detectadas diferenças significativas nos níveis de glicemia de jejum entre os grupos de curcumina e placebo.</w:t>
      </w:r>
    </w:p>
    <w:p w14:paraId="438C84EB" w14:textId="77777777" w:rsidR="00CD65C2" w:rsidRDefault="00CD65C2">
      <w:pPr>
        <w:pStyle w:val="Corpo"/>
        <w:spacing w:line="276" w:lineRule="auto"/>
        <w:ind w:left="720"/>
        <w:rPr>
          <w:rFonts w:hint="eastAsia"/>
          <w:color w:val="404040" w:themeColor="text1" w:themeTint="BF"/>
          <w:sz w:val="10"/>
          <w:szCs w:val="10"/>
          <w:lang w:eastAsia="pt-BR"/>
        </w:rPr>
      </w:pPr>
    </w:p>
    <w:p w14:paraId="00D4048A" w14:textId="77777777" w:rsidR="00CD65C2" w:rsidRDefault="00CD65C2">
      <w:pPr>
        <w:pStyle w:val="Titulo"/>
        <w:rPr>
          <w:rFonts w:hint="eastAsia"/>
          <w:b/>
          <w:sz w:val="23"/>
          <w:szCs w:val="23"/>
          <w:lang w:eastAsia="pt-BR"/>
        </w:rPr>
      </w:pPr>
    </w:p>
    <w:p w14:paraId="60BEDB74" w14:textId="77777777" w:rsidR="00CD65C2" w:rsidRDefault="00FA41FC">
      <w:pPr>
        <w:pStyle w:val="Titulo"/>
        <w:rPr>
          <w:rFonts w:hint="eastAsia"/>
          <w:b/>
          <w:sz w:val="23"/>
          <w:szCs w:val="23"/>
          <w:lang w:eastAsia="pt-BR"/>
        </w:rPr>
      </w:pPr>
      <w:r>
        <w:rPr>
          <w:b/>
          <w:sz w:val="23"/>
          <w:szCs w:val="23"/>
          <w:lang w:eastAsia="pt-BR"/>
        </w:rPr>
        <w:t>Conclusão:</w:t>
      </w:r>
    </w:p>
    <w:p w14:paraId="14F5C943" w14:textId="77777777" w:rsidR="00CD65C2" w:rsidRDefault="00CD65C2">
      <w:pPr>
        <w:pStyle w:val="Corpo"/>
        <w:spacing w:line="276" w:lineRule="auto"/>
        <w:rPr>
          <w:rFonts w:hint="eastAsia"/>
          <w:color w:val="404040" w:themeColor="text1" w:themeTint="BF"/>
          <w:sz w:val="10"/>
          <w:szCs w:val="10"/>
          <w:lang w:eastAsia="pt-BR"/>
        </w:rPr>
      </w:pPr>
    </w:p>
    <w:p w14:paraId="3436BF4C" w14:textId="77777777" w:rsidR="00CD65C2" w:rsidRPr="00D1428E" w:rsidRDefault="00FA41FC">
      <w:pPr>
        <w:pStyle w:val="Corpo"/>
        <w:jc w:val="center"/>
        <w:rPr>
          <w:rFonts w:hint="eastAsia"/>
          <w:b/>
          <w:i/>
          <w:iCs/>
          <w:color w:val="404040" w:themeColor="text1" w:themeTint="BF"/>
          <w:lang w:eastAsia="pt-BR"/>
        </w:rPr>
      </w:pPr>
      <w:r w:rsidRPr="00D1428E">
        <w:rPr>
          <w:rFonts w:hint="eastAsia"/>
          <w:b/>
          <w:i/>
          <w:iCs/>
          <w:color w:val="404040" w:themeColor="text1" w:themeTint="BF"/>
          <w:lang w:eastAsia="pt-BR"/>
        </w:rPr>
        <w:t xml:space="preserve">A </w:t>
      </w:r>
      <w:r w:rsidRPr="00D1428E">
        <w:rPr>
          <w:b/>
          <w:i/>
          <w:iCs/>
          <w:color w:val="404040" w:themeColor="text1" w:themeTint="BF"/>
          <w:lang w:eastAsia="pt-BR"/>
        </w:rPr>
        <w:t>suplementa</w:t>
      </w:r>
      <w:r w:rsidRPr="00D1428E">
        <w:rPr>
          <w:rFonts w:hint="cs"/>
          <w:b/>
          <w:i/>
          <w:iCs/>
          <w:color w:val="404040" w:themeColor="text1" w:themeTint="BF"/>
          <w:lang w:eastAsia="pt-BR"/>
        </w:rPr>
        <w:t>çã</w:t>
      </w:r>
      <w:r w:rsidRPr="00D1428E">
        <w:rPr>
          <w:b/>
          <w:i/>
          <w:iCs/>
          <w:color w:val="404040" w:themeColor="text1" w:themeTint="BF"/>
          <w:lang w:eastAsia="pt-BR"/>
        </w:rPr>
        <w:t>o</w:t>
      </w:r>
      <w:r w:rsidRPr="00D1428E">
        <w:rPr>
          <w:rFonts w:hint="eastAsia"/>
          <w:b/>
          <w:i/>
          <w:iCs/>
          <w:color w:val="404040" w:themeColor="text1" w:themeTint="BF"/>
          <w:lang w:eastAsia="pt-BR"/>
        </w:rPr>
        <w:t xml:space="preserve"> de curcumina em mulheres com </w:t>
      </w:r>
      <w:r w:rsidRPr="00D1428E">
        <w:rPr>
          <w:b/>
          <w:i/>
          <w:iCs/>
          <w:color w:val="404040" w:themeColor="text1" w:themeTint="BF"/>
          <w:lang w:eastAsia="pt-BR"/>
        </w:rPr>
        <w:t>s</w:t>
      </w:r>
      <w:r w:rsidRPr="00D1428E">
        <w:rPr>
          <w:rFonts w:hint="cs"/>
          <w:b/>
          <w:i/>
          <w:iCs/>
          <w:color w:val="404040" w:themeColor="text1" w:themeTint="BF"/>
          <w:lang w:eastAsia="pt-BR"/>
        </w:rPr>
        <w:t>í</w:t>
      </w:r>
      <w:r w:rsidRPr="00D1428E">
        <w:rPr>
          <w:b/>
          <w:i/>
          <w:iCs/>
          <w:color w:val="404040" w:themeColor="text1" w:themeTint="BF"/>
          <w:lang w:eastAsia="pt-BR"/>
        </w:rPr>
        <w:t>ndrome</w:t>
      </w:r>
      <w:r w:rsidRPr="00D1428E">
        <w:rPr>
          <w:rFonts w:hint="eastAsia"/>
          <w:b/>
          <w:i/>
          <w:iCs/>
          <w:color w:val="404040" w:themeColor="text1" w:themeTint="BF"/>
          <w:lang w:eastAsia="pt-BR"/>
        </w:rPr>
        <w:t xml:space="preserve"> </w:t>
      </w:r>
      <w:r w:rsidRPr="00D1428E">
        <w:rPr>
          <w:b/>
          <w:i/>
          <w:iCs/>
          <w:color w:val="404040" w:themeColor="text1" w:themeTint="BF"/>
          <w:lang w:eastAsia="pt-BR"/>
        </w:rPr>
        <w:t>pr</w:t>
      </w:r>
      <w:r w:rsidRPr="00D1428E">
        <w:rPr>
          <w:rFonts w:hint="cs"/>
          <w:b/>
          <w:i/>
          <w:iCs/>
          <w:color w:val="404040" w:themeColor="text1" w:themeTint="BF"/>
          <w:lang w:eastAsia="pt-BR"/>
        </w:rPr>
        <w:t>é</w:t>
      </w:r>
      <w:r w:rsidRPr="00D1428E">
        <w:rPr>
          <w:b/>
          <w:i/>
          <w:iCs/>
          <w:color w:val="404040" w:themeColor="text1" w:themeTint="BF"/>
          <w:lang w:eastAsia="pt-BR"/>
        </w:rPr>
        <w:t>-menstrual</w:t>
      </w:r>
      <w:r w:rsidRPr="00D1428E">
        <w:rPr>
          <w:rFonts w:hint="eastAsia"/>
          <w:b/>
          <w:i/>
          <w:iCs/>
          <w:color w:val="404040" w:themeColor="text1" w:themeTint="BF"/>
          <w:lang w:eastAsia="pt-BR"/>
        </w:rPr>
        <w:t xml:space="preserve"> e dismenorreia melhorou os </w:t>
      </w:r>
      <w:r w:rsidRPr="00D1428E">
        <w:rPr>
          <w:b/>
          <w:i/>
          <w:iCs/>
          <w:color w:val="404040" w:themeColor="text1" w:themeTint="BF"/>
          <w:lang w:eastAsia="pt-BR"/>
        </w:rPr>
        <w:t>n</w:t>
      </w:r>
      <w:r w:rsidRPr="00D1428E">
        <w:rPr>
          <w:rFonts w:hint="cs"/>
          <w:b/>
          <w:i/>
          <w:iCs/>
          <w:color w:val="404040" w:themeColor="text1" w:themeTint="BF"/>
          <w:lang w:eastAsia="pt-BR"/>
        </w:rPr>
        <w:t>í</w:t>
      </w:r>
      <w:r w:rsidRPr="00D1428E">
        <w:rPr>
          <w:b/>
          <w:i/>
          <w:iCs/>
          <w:color w:val="404040" w:themeColor="text1" w:themeTint="BF"/>
          <w:lang w:eastAsia="pt-BR"/>
        </w:rPr>
        <w:t>veis</w:t>
      </w:r>
      <w:r w:rsidRPr="00D1428E">
        <w:rPr>
          <w:rFonts w:hint="eastAsia"/>
          <w:b/>
          <w:i/>
          <w:iCs/>
          <w:color w:val="404040" w:themeColor="text1" w:themeTint="BF"/>
          <w:lang w:eastAsia="pt-BR"/>
        </w:rPr>
        <w:t xml:space="preserve"> de vitamina D e normalizou a </w:t>
      </w:r>
      <w:r w:rsidRPr="00D1428E">
        <w:rPr>
          <w:b/>
          <w:i/>
          <w:iCs/>
          <w:color w:val="404040" w:themeColor="text1" w:themeTint="BF"/>
          <w:lang w:eastAsia="pt-BR"/>
        </w:rPr>
        <w:t>fun</w:t>
      </w:r>
      <w:r w:rsidRPr="00D1428E">
        <w:rPr>
          <w:rFonts w:hint="cs"/>
          <w:b/>
          <w:i/>
          <w:iCs/>
          <w:color w:val="404040" w:themeColor="text1" w:themeTint="BF"/>
          <w:lang w:eastAsia="pt-BR"/>
        </w:rPr>
        <w:t>çã</w:t>
      </w:r>
      <w:r w:rsidRPr="00D1428E">
        <w:rPr>
          <w:b/>
          <w:i/>
          <w:iCs/>
          <w:color w:val="404040" w:themeColor="text1" w:themeTint="BF"/>
          <w:lang w:eastAsia="pt-BR"/>
        </w:rPr>
        <w:t>o</w:t>
      </w:r>
      <w:r w:rsidRPr="00D1428E">
        <w:rPr>
          <w:rFonts w:hint="eastAsia"/>
          <w:b/>
          <w:i/>
          <w:iCs/>
          <w:color w:val="404040" w:themeColor="text1" w:themeTint="BF"/>
          <w:lang w:eastAsia="pt-BR"/>
        </w:rPr>
        <w:t xml:space="preserve"> </w:t>
      </w:r>
      <w:r w:rsidRPr="00D1428E">
        <w:rPr>
          <w:b/>
          <w:i/>
          <w:iCs/>
          <w:color w:val="404040" w:themeColor="text1" w:themeTint="BF"/>
          <w:lang w:eastAsia="pt-BR"/>
        </w:rPr>
        <w:t>hep</w:t>
      </w:r>
      <w:r w:rsidRPr="00D1428E">
        <w:rPr>
          <w:rFonts w:hint="cs"/>
          <w:b/>
          <w:i/>
          <w:iCs/>
          <w:color w:val="404040" w:themeColor="text1" w:themeTint="BF"/>
          <w:lang w:eastAsia="pt-BR"/>
        </w:rPr>
        <w:t>á</w:t>
      </w:r>
      <w:r w:rsidRPr="00D1428E">
        <w:rPr>
          <w:b/>
          <w:i/>
          <w:iCs/>
          <w:color w:val="404040" w:themeColor="text1" w:themeTint="BF"/>
          <w:lang w:eastAsia="pt-BR"/>
        </w:rPr>
        <w:t>tica.</w:t>
      </w:r>
      <w:r w:rsidRPr="00D1428E">
        <w:rPr>
          <w:rFonts w:hint="eastAsia"/>
          <w:b/>
          <w:i/>
          <w:iCs/>
          <w:color w:val="404040" w:themeColor="text1" w:themeTint="BF"/>
          <w:lang w:eastAsia="pt-BR"/>
        </w:rPr>
        <w:t xml:space="preserve"> </w:t>
      </w:r>
      <w:r w:rsidRPr="00D1428E">
        <w:rPr>
          <w:b/>
          <w:i/>
          <w:iCs/>
          <w:color w:val="404040" w:themeColor="text1" w:themeTint="BF"/>
          <w:lang w:eastAsia="pt-BR"/>
        </w:rPr>
        <w:t>Por</w:t>
      </w:r>
      <w:r w:rsidRPr="00D1428E">
        <w:rPr>
          <w:rFonts w:hint="cs"/>
          <w:b/>
          <w:i/>
          <w:iCs/>
          <w:color w:val="404040" w:themeColor="text1" w:themeTint="BF"/>
          <w:lang w:eastAsia="pt-BR"/>
        </w:rPr>
        <w:t>é</w:t>
      </w:r>
      <w:r w:rsidRPr="00D1428E">
        <w:rPr>
          <w:b/>
          <w:i/>
          <w:iCs/>
          <w:color w:val="404040" w:themeColor="text1" w:themeTint="BF"/>
          <w:lang w:eastAsia="pt-BR"/>
        </w:rPr>
        <w:t>m,</w:t>
      </w:r>
      <w:r w:rsidRPr="00D1428E">
        <w:rPr>
          <w:rFonts w:hint="eastAsia"/>
          <w:b/>
          <w:i/>
          <w:iCs/>
          <w:color w:val="404040" w:themeColor="text1" w:themeTint="BF"/>
          <w:lang w:eastAsia="pt-BR"/>
        </w:rPr>
        <w:t xml:space="preserve"> </w:t>
      </w:r>
      <w:r w:rsidRPr="00D1428E">
        <w:rPr>
          <w:b/>
          <w:i/>
          <w:iCs/>
          <w:color w:val="404040" w:themeColor="text1" w:themeTint="BF"/>
          <w:lang w:eastAsia="pt-BR"/>
        </w:rPr>
        <w:t>n</w:t>
      </w:r>
      <w:r w:rsidRPr="00D1428E">
        <w:rPr>
          <w:rFonts w:hint="cs"/>
          <w:b/>
          <w:i/>
          <w:iCs/>
          <w:color w:val="404040" w:themeColor="text1" w:themeTint="BF"/>
          <w:lang w:eastAsia="pt-BR"/>
        </w:rPr>
        <w:t>ã</w:t>
      </w:r>
      <w:r w:rsidRPr="00D1428E">
        <w:rPr>
          <w:b/>
          <w:i/>
          <w:iCs/>
          <w:color w:val="404040" w:themeColor="text1" w:themeTint="BF"/>
          <w:lang w:eastAsia="pt-BR"/>
        </w:rPr>
        <w:t>o</w:t>
      </w:r>
      <w:r w:rsidRPr="00D1428E">
        <w:rPr>
          <w:rFonts w:hint="eastAsia"/>
          <w:b/>
          <w:i/>
          <w:iCs/>
          <w:color w:val="404040" w:themeColor="text1" w:themeTint="BF"/>
          <w:lang w:eastAsia="pt-BR"/>
        </w:rPr>
        <w:t xml:space="preserve"> foram observadas </w:t>
      </w:r>
      <w:r w:rsidRPr="00D1428E">
        <w:rPr>
          <w:b/>
          <w:i/>
          <w:iCs/>
          <w:color w:val="404040" w:themeColor="text1" w:themeTint="BF"/>
          <w:lang w:eastAsia="pt-BR"/>
        </w:rPr>
        <w:t>diferen</w:t>
      </w:r>
      <w:r w:rsidRPr="00D1428E">
        <w:rPr>
          <w:rFonts w:hint="cs"/>
          <w:b/>
          <w:i/>
          <w:iCs/>
          <w:color w:val="404040" w:themeColor="text1" w:themeTint="BF"/>
          <w:lang w:eastAsia="pt-BR"/>
        </w:rPr>
        <w:t>ç</w:t>
      </w:r>
      <w:r w:rsidRPr="00D1428E">
        <w:rPr>
          <w:b/>
          <w:i/>
          <w:iCs/>
          <w:color w:val="404040" w:themeColor="text1" w:themeTint="BF"/>
          <w:lang w:eastAsia="pt-BR"/>
        </w:rPr>
        <w:t>as</w:t>
      </w:r>
      <w:r w:rsidRPr="00D1428E">
        <w:rPr>
          <w:rFonts w:hint="eastAsia"/>
          <w:b/>
          <w:i/>
          <w:iCs/>
          <w:color w:val="404040" w:themeColor="text1" w:themeTint="BF"/>
          <w:lang w:eastAsia="pt-BR"/>
        </w:rPr>
        <w:t xml:space="preserve"> na glicemia.</w:t>
      </w:r>
    </w:p>
    <w:p w14:paraId="335583AD" w14:textId="77777777" w:rsidR="00CD65C2" w:rsidRDefault="00CD65C2">
      <w:pPr>
        <w:pStyle w:val="Corpo"/>
        <w:spacing w:line="276" w:lineRule="auto"/>
        <w:jc w:val="center"/>
        <w:rPr>
          <w:rFonts w:hint="eastAsia"/>
          <w:b/>
          <w:color w:val="404040" w:themeColor="text1" w:themeTint="BF"/>
          <w:sz w:val="22"/>
          <w:szCs w:val="22"/>
          <w:lang w:eastAsia="pt-BR"/>
        </w:rPr>
      </w:pPr>
    </w:p>
    <w:p w14:paraId="72A95F1C" w14:textId="77777777" w:rsidR="00CD65C2" w:rsidRDefault="00CD65C2">
      <w:pPr>
        <w:pStyle w:val="Corpo"/>
        <w:spacing w:line="276" w:lineRule="auto"/>
        <w:jc w:val="center"/>
        <w:rPr>
          <w:rFonts w:hint="eastAsia"/>
          <w:b/>
          <w:color w:val="404040" w:themeColor="text1" w:themeTint="BF"/>
          <w:sz w:val="22"/>
          <w:szCs w:val="22"/>
          <w:lang w:eastAsia="pt-BR"/>
        </w:rPr>
      </w:pPr>
    </w:p>
    <w:p w14:paraId="66B29826" w14:textId="77777777" w:rsidR="00CD65C2" w:rsidRDefault="00FA41FC">
      <w:pPr>
        <w:pStyle w:val="Ttulo1"/>
        <w:jc w:val="center"/>
        <w:rPr>
          <w:rFonts w:hint="eastAsia"/>
        </w:rPr>
      </w:pPr>
      <w:bookmarkStart w:id="5" w:name="_Toc165537157"/>
      <w:r>
        <w:t>Formulário</w:t>
      </w:r>
      <w:bookmarkEnd w:id="5"/>
    </w:p>
    <w:p w14:paraId="6C83E80E" w14:textId="77777777" w:rsidR="00CD65C2" w:rsidRDefault="00CD65C2">
      <w:pPr>
        <w:pStyle w:val="Corpo"/>
        <w:rPr>
          <w:rFonts w:hint="eastAsia"/>
          <w:b/>
          <w:i/>
          <w:color w:val="404040" w:themeColor="text1" w:themeTint="BF"/>
        </w:rPr>
      </w:pPr>
    </w:p>
    <w:p w14:paraId="1B6A63C3" w14:textId="77777777" w:rsidR="00CD65C2" w:rsidRDefault="00CD65C2">
      <w:pPr>
        <w:pStyle w:val="Corpo"/>
        <w:rPr>
          <w:rFonts w:hint="eastAsia"/>
          <w:b/>
          <w:i/>
          <w:color w:val="404040" w:themeColor="text1" w:themeTint="BF"/>
        </w:rPr>
      </w:pPr>
    </w:p>
    <w:p w14:paraId="5B820149" w14:textId="77777777" w:rsidR="00CD65C2" w:rsidRDefault="00FA41FC">
      <w:pPr>
        <w:pStyle w:val="Corpo"/>
        <w:rPr>
          <w:rFonts w:hint="eastAsia"/>
          <w:b/>
          <w:bCs/>
          <w:i/>
          <w:iCs/>
          <w:color w:val="404040" w:themeColor="text1" w:themeTint="BF"/>
        </w:rPr>
      </w:pPr>
      <w:r>
        <w:rPr>
          <w:b/>
          <w:bCs/>
          <w:i/>
          <w:iCs/>
          <w:color w:val="404040" w:themeColor="text1" w:themeTint="BF"/>
        </w:rPr>
        <w:t>Curcumina Melhora a Função Hepática e os Níveis de Vitamina D</w:t>
      </w:r>
    </w:p>
    <w:p w14:paraId="2578385F" w14:textId="77777777" w:rsidR="00CD65C2" w:rsidRDefault="00CD65C2">
      <w:pPr>
        <w:pStyle w:val="Corpo"/>
        <w:rPr>
          <w:rFonts w:hint="eastAsia"/>
          <w:b/>
          <w:i/>
          <w:color w:val="404040" w:themeColor="text1" w:themeTint="BF"/>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684E4549"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101748BD" w14:textId="77777777" w:rsidR="00CD65C2" w:rsidRDefault="00FA41FC">
            <w:pPr>
              <w:pStyle w:val="Corpo"/>
              <w:jc w:val="center"/>
              <w:rPr>
                <w:rFonts w:hint="eastAsia"/>
                <w:b/>
                <w:color w:val="0070C0"/>
                <w:szCs w:val="23"/>
                <w14:textFill>
                  <w14:solidFill>
                    <w14:srgbClr w14:val="0070C0">
                      <w14:lumMod w14:val="75000"/>
                      <w14:lumOff w14:val="25000"/>
                    </w14:srgbClr>
                  </w14:solidFill>
                </w14:textFill>
              </w:rPr>
            </w:pPr>
            <w:r>
              <w:rPr>
                <w:b/>
                <w:color w:val="FFFFFF" w:themeColor="background1"/>
                <w:szCs w:val="23"/>
              </w:rPr>
              <w:t>Cápsulas de Curcumina</w:t>
            </w:r>
          </w:p>
        </w:tc>
      </w:tr>
      <w:tr w:rsidR="00CD65C2" w14:paraId="29616D92"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DC4FE6D" w14:textId="77777777" w:rsidR="00CD65C2" w:rsidRDefault="00FA41FC">
            <w:pPr>
              <w:pStyle w:val="Corpo"/>
              <w:jc w:val="center"/>
              <w:rPr>
                <w:rFonts w:hint="eastAsia"/>
                <w:color w:val="404040" w:themeColor="text1" w:themeTint="BF"/>
              </w:rPr>
            </w:pPr>
            <w:r>
              <w:rPr>
                <w:color w:val="404040" w:themeColor="text1" w:themeTint="BF"/>
              </w:rPr>
              <w:t>Curcumina......................................500 mg</w:t>
            </w:r>
          </w:p>
        </w:tc>
      </w:tr>
      <w:tr w:rsidR="00CD65C2" w14:paraId="5ABC034A"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9B548F1" w14:textId="77777777" w:rsidR="00CD65C2" w:rsidRDefault="00FA41FC">
            <w:pPr>
              <w:pStyle w:val="Corpo"/>
              <w:jc w:val="center"/>
              <w:rPr>
                <w:rFonts w:hint="eastAsia"/>
                <w:color w:val="404040" w:themeColor="text1" w:themeTint="BF"/>
              </w:rPr>
            </w:pPr>
            <w:r>
              <w:rPr>
                <w:color w:val="404040" w:themeColor="text1" w:themeTint="BF"/>
              </w:rPr>
              <w:t>Piperina..............................................5 mg</w:t>
            </w:r>
          </w:p>
        </w:tc>
      </w:tr>
      <w:tr w:rsidR="00CD65C2" w14:paraId="4D2CE964"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9D7217E" w14:textId="39583981" w:rsidR="00CD65C2" w:rsidRDefault="00FA41FC">
            <w:pPr>
              <w:pStyle w:val="Corpo"/>
              <w:jc w:val="center"/>
              <w:rPr>
                <w:rFonts w:hint="eastAsia"/>
                <w:iCs/>
                <w:color w:val="404040" w:themeColor="text1" w:themeTint="BF"/>
              </w:rPr>
            </w:pPr>
            <w:r>
              <w:rPr>
                <w:color w:val="404040" w:themeColor="text1" w:themeTint="BF"/>
              </w:rPr>
              <w:t>Excipiente q.s.p. .......................1 Cápsula</w:t>
            </w:r>
          </w:p>
        </w:tc>
      </w:tr>
    </w:tbl>
    <w:p w14:paraId="4F027CAA" w14:textId="77777777" w:rsidR="00CD65C2" w:rsidRDefault="00FA41FC">
      <w:pPr>
        <w:pStyle w:val="Corpo"/>
        <w:ind w:right="4393"/>
        <w:jc w:val="center"/>
        <w:rPr>
          <w:rFonts w:hint="eastAsia"/>
          <w:color w:val="404040" w:themeColor="text1" w:themeTint="BF"/>
          <w:sz w:val="22"/>
          <w:szCs w:val="22"/>
        </w:rPr>
      </w:pPr>
      <w:r>
        <w:rPr>
          <w:color w:val="404040" w:themeColor="text1" w:themeTint="BF"/>
          <w:sz w:val="22"/>
          <w:szCs w:val="22"/>
        </w:rPr>
        <w:t>Administrar 1 cápsula ao dia ou conforme orientação médica.</w:t>
      </w:r>
    </w:p>
    <w:p w14:paraId="2D756FB5" w14:textId="77777777" w:rsidR="00CD65C2" w:rsidRDefault="00CD65C2">
      <w:pPr>
        <w:pStyle w:val="SemEspaamento"/>
      </w:pPr>
    </w:p>
    <w:p w14:paraId="0D4B4674" w14:textId="77777777" w:rsidR="00CD65C2" w:rsidRDefault="00CD65C2">
      <w:pPr>
        <w:pStyle w:val="SemEspaamento"/>
      </w:pPr>
    </w:p>
    <w:p w14:paraId="1BDA7F7F" w14:textId="77777777" w:rsidR="00CD65C2" w:rsidRDefault="00CD65C2">
      <w:pPr>
        <w:pStyle w:val="SemEspaamento"/>
      </w:pPr>
    </w:p>
    <w:p w14:paraId="2859FD2F" w14:textId="77777777" w:rsidR="00CD65C2" w:rsidRDefault="00CD65C2">
      <w:pPr>
        <w:pStyle w:val="SemEspaamento"/>
      </w:pPr>
    </w:p>
    <w:p w14:paraId="1F52C9F2" w14:textId="77777777" w:rsidR="00CD65C2" w:rsidRDefault="00CD65C2">
      <w:pPr>
        <w:pStyle w:val="SemEspaamento"/>
      </w:pPr>
    </w:p>
    <w:p w14:paraId="461A0289" w14:textId="77777777" w:rsidR="00CD65C2" w:rsidRDefault="00CD65C2">
      <w:pPr>
        <w:pStyle w:val="SemEspaamento"/>
      </w:pPr>
    </w:p>
    <w:p w14:paraId="6EE00F65" w14:textId="77777777" w:rsidR="00CD65C2" w:rsidRDefault="00CD65C2">
      <w:pPr>
        <w:pStyle w:val="SemEspaamento"/>
      </w:pPr>
    </w:p>
    <w:p w14:paraId="24BB766D" w14:textId="77777777" w:rsidR="00CD65C2" w:rsidRDefault="00CD65C2">
      <w:pPr>
        <w:pStyle w:val="SemEspaamento"/>
      </w:pPr>
    </w:p>
    <w:p w14:paraId="46BAFA41" w14:textId="77777777" w:rsidR="00CD65C2" w:rsidRDefault="00CD65C2">
      <w:pPr>
        <w:pStyle w:val="SemEspaamento"/>
      </w:pPr>
    </w:p>
    <w:p w14:paraId="0E1F7478" w14:textId="77777777" w:rsidR="00CD65C2" w:rsidRDefault="00CD65C2">
      <w:pPr>
        <w:pStyle w:val="SemEspaamento"/>
      </w:pPr>
    </w:p>
    <w:p w14:paraId="67C3E5CD" w14:textId="77777777" w:rsidR="00CD65C2" w:rsidRDefault="00CD65C2">
      <w:pPr>
        <w:pStyle w:val="SemEspaamento"/>
      </w:pPr>
    </w:p>
    <w:p w14:paraId="6153CAE1" w14:textId="77777777" w:rsidR="00CD65C2" w:rsidRDefault="00CD65C2">
      <w:pPr>
        <w:pStyle w:val="SemEspaamento"/>
      </w:pPr>
    </w:p>
    <w:p w14:paraId="669AF8AC" w14:textId="77777777" w:rsidR="00CD65C2" w:rsidRDefault="00CD65C2">
      <w:pPr>
        <w:pStyle w:val="SemEspaamento"/>
      </w:pPr>
    </w:p>
    <w:p w14:paraId="6242BDA4" w14:textId="77777777" w:rsidR="00CD65C2" w:rsidRDefault="00CD65C2">
      <w:pPr>
        <w:pStyle w:val="SemEspaamento"/>
      </w:pPr>
    </w:p>
    <w:p w14:paraId="357230A5" w14:textId="77777777" w:rsidR="00CD65C2" w:rsidRDefault="00CD65C2">
      <w:pPr>
        <w:pStyle w:val="SemEspaamento"/>
      </w:pPr>
    </w:p>
    <w:p w14:paraId="78C0EB47" w14:textId="77777777" w:rsidR="00CD65C2" w:rsidRDefault="00CD65C2">
      <w:pPr>
        <w:pStyle w:val="SemEspaamento"/>
      </w:pPr>
    </w:p>
    <w:p w14:paraId="1C0EEB9F" w14:textId="77777777" w:rsidR="00CD65C2" w:rsidRDefault="00CD65C2">
      <w:pPr>
        <w:pStyle w:val="SemEspaamento"/>
      </w:pPr>
    </w:p>
    <w:p w14:paraId="0371EABD" w14:textId="77777777" w:rsidR="00CD65C2" w:rsidRDefault="00CD65C2">
      <w:pPr>
        <w:pStyle w:val="SemEspaamento"/>
      </w:pPr>
    </w:p>
    <w:p w14:paraId="4446FC13" w14:textId="77777777" w:rsidR="00CD65C2" w:rsidRDefault="00CD65C2">
      <w:pPr>
        <w:pStyle w:val="SemEspaamento"/>
      </w:pPr>
    </w:p>
    <w:p w14:paraId="72412D35" w14:textId="77777777" w:rsidR="00CD65C2" w:rsidRDefault="00CD65C2">
      <w:pPr>
        <w:pStyle w:val="SemEspaamento"/>
      </w:pPr>
    </w:p>
    <w:p w14:paraId="49702EF5" w14:textId="77777777" w:rsidR="00CD65C2" w:rsidRDefault="00CD65C2">
      <w:pPr>
        <w:pStyle w:val="SemEspaamento"/>
      </w:pPr>
    </w:p>
    <w:p w14:paraId="6FC64BA3" w14:textId="77777777" w:rsidR="00CD65C2" w:rsidRDefault="00CD65C2">
      <w:pPr>
        <w:pStyle w:val="SemEspaamento"/>
      </w:pPr>
    </w:p>
    <w:p w14:paraId="255095DE" w14:textId="77777777" w:rsidR="00CD65C2" w:rsidRDefault="00CD65C2">
      <w:pPr>
        <w:pStyle w:val="SemEspaamento"/>
      </w:pPr>
    </w:p>
    <w:p w14:paraId="1F921D9F" w14:textId="77777777" w:rsidR="00CD65C2" w:rsidRDefault="00CD65C2">
      <w:pPr>
        <w:pStyle w:val="SemEspaamento"/>
      </w:pPr>
    </w:p>
    <w:p w14:paraId="43872A8A" w14:textId="77777777" w:rsidR="00CD65C2" w:rsidRDefault="00CD65C2">
      <w:pPr>
        <w:pStyle w:val="SemEspaamento"/>
      </w:pPr>
    </w:p>
    <w:p w14:paraId="3377B871" w14:textId="77777777" w:rsidR="00CD65C2" w:rsidRDefault="00CD65C2">
      <w:pPr>
        <w:pStyle w:val="SemEspaamento"/>
      </w:pPr>
    </w:p>
    <w:p w14:paraId="12EB8565" w14:textId="77777777" w:rsidR="00CD65C2" w:rsidRDefault="00CD65C2">
      <w:pPr>
        <w:pStyle w:val="SemEspaamento"/>
      </w:pPr>
    </w:p>
    <w:p w14:paraId="70692BF6" w14:textId="77777777" w:rsidR="00CD65C2" w:rsidRDefault="00CD65C2">
      <w:pPr>
        <w:pStyle w:val="SemEspaamento"/>
      </w:pPr>
    </w:p>
    <w:p w14:paraId="0DC86605" w14:textId="77777777" w:rsidR="00CD65C2" w:rsidRDefault="00CD65C2">
      <w:pPr>
        <w:pStyle w:val="SemEspaamento"/>
      </w:pPr>
    </w:p>
    <w:p w14:paraId="5BFE85C9" w14:textId="77777777" w:rsidR="00CD65C2" w:rsidRDefault="00CD65C2">
      <w:pPr>
        <w:pStyle w:val="SemEspaamento"/>
      </w:pPr>
    </w:p>
    <w:p w14:paraId="4E5F6428" w14:textId="77777777" w:rsidR="00CD65C2" w:rsidRDefault="00CD65C2">
      <w:pPr>
        <w:pStyle w:val="SemEspaamento"/>
      </w:pPr>
    </w:p>
    <w:p w14:paraId="3C924133" w14:textId="77777777" w:rsidR="00CD65C2" w:rsidRDefault="00FA41FC">
      <w:pPr>
        <w:pStyle w:val="Ttulo1"/>
        <w:jc w:val="center"/>
        <w:rPr>
          <w:rFonts w:hint="eastAsia"/>
        </w:rPr>
      </w:pPr>
      <w:bookmarkStart w:id="6" w:name="_Toc165537158"/>
      <w:r>
        <w:t>Sulfato de Zinco</w:t>
      </w:r>
      <w:bookmarkEnd w:id="6"/>
    </w:p>
    <w:p w14:paraId="51DC263B" w14:textId="77777777" w:rsidR="00CD65C2" w:rsidRPr="00D1428E" w:rsidRDefault="00FA41FC">
      <w:pPr>
        <w:pStyle w:val="Corpo"/>
        <w:jc w:val="center"/>
        <w:rPr>
          <w:rFonts w:hint="eastAsia"/>
          <w:b/>
          <w:color w:val="0070C0"/>
          <w:sz w:val="40"/>
          <w:szCs w:val="22"/>
        </w:rPr>
      </w:pPr>
      <w:r w:rsidRPr="00D1428E">
        <w:rPr>
          <w:b/>
          <w:color w:val="0070C0"/>
          <w:sz w:val="40"/>
          <w:szCs w:val="22"/>
        </w:rPr>
        <w:t>Promove Melhora da SPM e Qualidade de Vida</w:t>
      </w:r>
    </w:p>
    <w:p w14:paraId="05B38412" w14:textId="77777777" w:rsidR="00CD65C2" w:rsidRDefault="00CD65C2">
      <w:pPr>
        <w:pStyle w:val="Corpo"/>
        <w:rPr>
          <w:rFonts w:hint="eastAsia"/>
          <w:b/>
          <w:color w:val="0070C0"/>
          <w14:textFill>
            <w14:solidFill>
              <w14:srgbClr w14:val="0070C0">
                <w14:lumMod w14:val="75000"/>
                <w14:lumOff w14:val="25000"/>
              </w14:srgbClr>
            </w14:solidFill>
          </w14:textFill>
        </w:rPr>
      </w:pPr>
    </w:p>
    <w:p w14:paraId="52DE69D3" w14:textId="77777777" w:rsidR="00CD65C2" w:rsidRDefault="00CD65C2">
      <w:pPr>
        <w:pStyle w:val="Corpo"/>
        <w:spacing w:after="120"/>
        <w:rPr>
          <w:rFonts w:hint="eastAsia"/>
          <w:color w:val="404040" w:themeColor="text1" w:themeTint="BF"/>
          <w:sz w:val="24"/>
        </w:rPr>
      </w:pPr>
    </w:p>
    <w:p w14:paraId="398EA1D7" w14:textId="24499E85" w:rsidR="00CD65C2" w:rsidRDefault="00FA41FC">
      <w:pPr>
        <w:pStyle w:val="Corpo"/>
        <w:spacing w:after="120"/>
        <w:rPr>
          <w:rFonts w:hint="eastAsia"/>
          <w:color w:val="404040" w:themeColor="text1" w:themeTint="BF"/>
          <w:sz w:val="24"/>
        </w:rPr>
      </w:pPr>
      <w:r>
        <w:rPr>
          <w:color w:val="404040" w:themeColor="text1" w:themeTint="BF"/>
          <w:sz w:val="24"/>
        </w:rPr>
        <w:t xml:space="preserve">Este estudo duplo-cego, randomizado e placebo-controlado teve como objetivo avaliar o efeito da suplementação de sulfato de zinco (ZS) na síndrome pré-menstrual (SPM) e na qualidade de vida relacionada à saúde, QV (Siahbazi </w:t>
      </w:r>
      <w:r>
        <w:rPr>
          <w:i/>
          <w:color w:val="404040" w:themeColor="text1" w:themeTint="BF"/>
          <w:sz w:val="24"/>
        </w:rPr>
        <w:t xml:space="preserve">et al., </w:t>
      </w:r>
      <w:r>
        <w:rPr>
          <w:color w:val="404040" w:themeColor="text1" w:themeTint="BF"/>
          <w:sz w:val="24"/>
        </w:rPr>
        <w:t>2017).</w:t>
      </w:r>
    </w:p>
    <w:p w14:paraId="2FE374F2"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672576" behindDoc="0" locked="0" layoutInCell="1" allowOverlap="1">
                <wp:simplePos x="0" y="0"/>
                <wp:positionH relativeFrom="margin">
                  <wp:posOffset>5080</wp:posOffset>
                </wp:positionH>
                <wp:positionV relativeFrom="paragraph">
                  <wp:posOffset>96520</wp:posOffset>
                </wp:positionV>
                <wp:extent cx="5724525" cy="486410"/>
                <wp:effectExtent l="4445" t="4445" r="11430" b="17145"/>
                <wp:wrapNone/>
                <wp:docPr id="14"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486410"/>
                        </a:xfrm>
                        <a:prstGeom prst="rect">
                          <a:avLst/>
                        </a:prstGeom>
                        <a:solidFill>
                          <a:schemeClr val="bg1">
                            <a:lumMod val="100000"/>
                            <a:lumOff val="0"/>
                          </a:schemeClr>
                        </a:solidFill>
                        <a:ln w="9525">
                          <a:solidFill>
                            <a:srgbClr val="0070C0"/>
                          </a:solidFill>
                          <a:miter lim="800000"/>
                        </a:ln>
                      </wps:spPr>
                      <wps:txbx>
                        <w:txbxContent>
                          <w:p w14:paraId="3E515FF8" w14:textId="5DF7D228" w:rsidR="00FA41FC" w:rsidRDefault="00FA41FC">
                            <w:pPr>
                              <w:jc w:val="center"/>
                              <w:rPr>
                                <w:rFonts w:ascii="Swis721 Th BT" w:hAnsi="Swis721 Th BT"/>
                                <w:sz w:val="23"/>
                                <w:szCs w:val="23"/>
                              </w:rPr>
                            </w:pPr>
                            <w:r>
                              <w:rPr>
                                <w:rFonts w:ascii="Swis721 Th BT" w:hAnsi="Swis721 Th BT"/>
                                <w:sz w:val="23"/>
                                <w:szCs w:val="23"/>
                              </w:rPr>
                              <w:t xml:space="preserve">Para isso, 142 mulheres com esse quadro clínico e idades entre 20-35 anos foram selecionadas para receberem do 16º dia do ciclo menstrual até o segundo dia do ciclo a seguinte posologia: </w:t>
                            </w:r>
                          </w:p>
                        </w:txbxContent>
                      </wps:txbx>
                      <wps:bodyPr rot="0" vert="horz" wrap="square" lIns="91440" tIns="45720" rIns="91440" bIns="45720" anchor="t" anchorCtr="0" upright="1">
                        <a:noAutofit/>
                      </wps:bodyPr>
                    </wps:wsp>
                  </a:graphicData>
                </a:graphic>
              </wp:anchor>
            </w:drawing>
          </mc:Choice>
          <mc:Fallback>
            <w:pict>
              <v:shape id="Caixa de texto 14" o:spid="_x0000_s1032" type="#_x0000_t202" style="position:absolute;left:0;text-align:left;margin-left:.4pt;margin-top:7.6pt;width:450.75pt;height:38.3pt;z-index:2516725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" fillcolor="white [3212]" strokecolor="#0070c0">
                <v:textbox>
                  <w:txbxContent>
                    <w:p w14:paraId="3E515FF8" w14:textId="5DF7D228" w:rsidR="00FA41FC" w:rsidRDefault="00FA41FC">
                      <w:pPr>
                        <w:jc w:val="center"/>
                        <w:rPr>
                          <w:rFonts w:ascii="Swis721 Th BT" w:hAnsi="Swis721 Th BT"/>
                          <w:sz w:val="23"/>
                          <w:szCs w:val="23"/>
                        </w:rPr>
                      </w:pPr>
                      <w:r>
                        <w:rPr>
                          <w:rFonts w:ascii="Swis721 Th BT" w:hAnsi="Swis721 Th BT"/>
                          <w:sz w:val="23"/>
                          <w:szCs w:val="23"/>
                        </w:rPr>
                        <w:t xml:space="preserve">Para isso, 142 mulheres com esse quadro clínico e idades entre 20-35 anos foram selecionadas para receberem do 16º dia do ciclo menstrual até o segundo dia do ciclo a seguinte posologia: </w:t>
                      </w:r>
                    </w:p>
                  </w:txbxContent>
                </v:textbox>
                <w10:wrap anchorx="margin"/>
              </v:shape>
            </w:pict>
          </mc:Fallback>
        </mc:AlternateContent>
      </w:r>
      <w:r>
        <w:rPr>
          <w:color w:val="404040" w:themeColor="text1" w:themeTint="BF"/>
          <w:sz w:val="24"/>
        </w:rPr>
        <w:br/>
      </w:r>
    </w:p>
    <w:p w14:paraId="52DB733A" w14:textId="77777777" w:rsidR="00CD65C2" w:rsidRDefault="00CD65C2">
      <w:pPr>
        <w:pStyle w:val="Corpo"/>
        <w:rPr>
          <w:rFonts w:hint="eastAsia"/>
          <w:color w:val="404040" w:themeColor="text1" w:themeTint="BF"/>
        </w:rPr>
      </w:pPr>
    </w:p>
    <w:p w14:paraId="47E05282" w14:textId="77777777" w:rsidR="00CD65C2" w:rsidRDefault="00CD65C2">
      <w:pPr>
        <w:pStyle w:val="Corpo"/>
        <w:rPr>
          <w:rFonts w:hint="eastAsia"/>
          <w:color w:val="404040" w:themeColor="text1" w:themeTint="BF"/>
        </w:rPr>
      </w:pPr>
    </w:p>
    <w:p w14:paraId="03CA2849"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670528"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13" name="Triângulo isóscele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3" o:spid="_x0000_s1026" o:spt="5" type="#_x0000_t5" style="position:absolute;left:0pt;flip:y;margin-left:65.25pt;margin-top:0.85pt;height:10.9pt;width:17.85pt;z-index:251670528;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n+uDbdYA&#10;AAAIAQAADwAAAAAAAAABACAAAAAiAAAAZHJzL2Rvd25yZXYueG1sUEsBAhQAFAAAAAgAh07iQLnC&#10;tKhaAgAApQQAAA4AAAAAAAAAAQAgAAAAJQEAAGRycy9lMm9Eb2MueG1sUEsFBgAAAAAGAAYAWQEA&#10;APEFA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669504" behindDoc="0" locked="0" layoutInCell="1" allowOverlap="1">
                <wp:simplePos x="0" y="0"/>
                <wp:positionH relativeFrom="column">
                  <wp:posOffset>4664710</wp:posOffset>
                </wp:positionH>
                <wp:positionV relativeFrom="paragraph">
                  <wp:posOffset>10795</wp:posOffset>
                </wp:positionV>
                <wp:extent cx="226695" cy="138430"/>
                <wp:effectExtent l="0" t="0" r="1905" b="0"/>
                <wp:wrapNone/>
                <wp:docPr id="12" name="Triângulo isóscele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2" o:spid="_x0000_s1026" o:spt="5" type="#_x0000_t5" style="position:absolute;left:0pt;flip:y;margin-left:367.3pt;margin-top:0.85pt;height:10.9pt;width:17.85pt;z-index:251669504;mso-width-relative:page;mso-height-relative:page;" fillcolor="#D9D9D9 [3212]" filled="t" stroked="f" coordsize="21600,21600" o:gfxdata="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qyKZW1gAA&#10;AAgBAAAPAAAAAAAAAAEAIAAAACIAAABkcnMvZG93bnJldi54bWxQSwECFAAUAAAACACHTuJA7ncd&#10;KVkCAAClBAAADgAAAAAAAAABACAAAAAlAQAAZHJzL2Uyb0RvYy54bWxQSwUGAAAAAAYABgBZAQAA&#10;8AUAAAAA&#10;" adj="10800">
                <v:fill on="t" focussize="0,0"/>
                <v:stroke on="f"/>
                <v:imagedata o:title=""/>
                <o:lock v:ext="edit" aspectratio="f"/>
              </v:shape>
            </w:pict>
          </mc:Fallback>
        </mc:AlternateContent>
      </w:r>
    </w:p>
    <w:p w14:paraId="7D7830F0"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668480" behindDoc="0" locked="0" layoutInCell="1" allowOverlap="1">
                <wp:simplePos x="0" y="0"/>
                <wp:positionH relativeFrom="column">
                  <wp:posOffset>-5715</wp:posOffset>
                </wp:positionH>
                <wp:positionV relativeFrom="paragraph">
                  <wp:posOffset>88900</wp:posOffset>
                </wp:positionV>
                <wp:extent cx="1913890" cy="781685"/>
                <wp:effectExtent l="0" t="0" r="10160" b="18415"/>
                <wp:wrapNone/>
                <wp:docPr id="11"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3CBEFCF7"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Sulfato de Zinco 220 mg</w:t>
                            </w:r>
                          </w:p>
                          <w:p w14:paraId="05FB593D" w14:textId="07463482"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(contendo 50 mg de zinco elementar)</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11" o:spid="_x0000_s1033" type="#_x0000_t202" style="position:absolute;left:0;text-align:left;margin-left:-.45pt;margin-top:7pt;width:150.7pt;height:61.5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" fillcolor="#0070c0" strokecolor="#0070c0">
                <v:textbox>
                  <w:txbxContent>
                    <w:p w14:paraId="3CBEFCF7"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Sulfato de Zinco 220 mg</w:t>
                      </w:r>
                    </w:p>
                    <w:p w14:paraId="05FB593D" w14:textId="07463482"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(contendo 50 mg de zinco elementar)</w:t>
                      </w:r>
                      <w:r>
                        <w:rPr>
                          <w:rFonts w:ascii="Swis721 Th BT" w:hAnsi="Swis721 Th BT"/>
                          <w:color w:val="FFFFFF" w:themeColor="background1"/>
                          <w:szCs w:val="23"/>
                        </w:rPr>
                        <w:t xml:space="preserve"> </w:t>
                      </w: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671552" behindDoc="0" locked="0" layoutInCell="1" allowOverlap="1">
                <wp:simplePos x="0" y="0"/>
                <wp:positionH relativeFrom="column">
                  <wp:posOffset>3839210</wp:posOffset>
                </wp:positionH>
                <wp:positionV relativeFrom="paragraph">
                  <wp:posOffset>88900</wp:posOffset>
                </wp:positionV>
                <wp:extent cx="1905000" cy="781685"/>
                <wp:effectExtent l="0" t="0" r="19050" b="18415"/>
                <wp:wrapNone/>
                <wp:docPr id="19" name="Caixa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6AEA0F3F"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3057D674" w14:textId="77777777" w:rsidR="00FA41FC" w:rsidRDefault="00FA41FC">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19" o:spid="_x0000_s1034" type="#_x0000_t202" style="position:absolute;left:0;text-align:left;margin-left:302.3pt;margin-top:7pt;width:150pt;height:61.5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" fillcolor="#0070c0" strokecolor="#0070c0">
                <v:textbox>
                  <w:txbxContent>
                    <w:p w14:paraId="6AEA0F3F"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3057D674" w14:textId="77777777" w:rsidR="00FA41FC" w:rsidRDefault="00FA41FC">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14:paraId="34CAEFA4" w14:textId="77777777" w:rsidR="00CD65C2" w:rsidRDefault="00CD65C2">
      <w:pPr>
        <w:pStyle w:val="Corpo"/>
        <w:rPr>
          <w:rFonts w:hint="eastAsia"/>
          <w:color w:val="404040" w:themeColor="text1" w:themeTint="BF"/>
        </w:rPr>
      </w:pPr>
    </w:p>
    <w:p w14:paraId="685835B3" w14:textId="77777777" w:rsidR="00CD65C2" w:rsidRDefault="00CD65C2">
      <w:pPr>
        <w:pStyle w:val="Corpo"/>
        <w:rPr>
          <w:rFonts w:hint="eastAsia"/>
          <w:color w:val="404040" w:themeColor="text1" w:themeTint="BF"/>
        </w:rPr>
      </w:pPr>
    </w:p>
    <w:p w14:paraId="1B110D0A" w14:textId="77777777" w:rsidR="00CD65C2" w:rsidRDefault="00CD65C2">
      <w:pPr>
        <w:pStyle w:val="Corpo"/>
        <w:rPr>
          <w:rFonts w:hint="eastAsia"/>
          <w:color w:val="404040" w:themeColor="text1" w:themeTint="BF"/>
        </w:rPr>
      </w:pPr>
    </w:p>
    <w:p w14:paraId="782DF985" w14:textId="77777777" w:rsidR="00CD65C2" w:rsidRDefault="00CD65C2">
      <w:pPr>
        <w:pStyle w:val="Corpo"/>
        <w:spacing w:before="120"/>
        <w:rPr>
          <w:rFonts w:hint="eastAsia"/>
          <w:color w:val="404040" w:themeColor="text1" w:themeTint="BF"/>
          <w:sz w:val="20"/>
        </w:rPr>
      </w:pPr>
    </w:p>
    <w:p w14:paraId="16CA48B2" w14:textId="77777777" w:rsidR="00CD65C2" w:rsidRDefault="00FA41FC">
      <w:pPr>
        <w:pStyle w:val="Corpo"/>
        <w:numPr>
          <w:ilvl w:val="0"/>
          <w:numId w:val="4"/>
        </w:numPr>
        <w:spacing w:before="120" w:after="0"/>
        <w:ind w:left="765"/>
        <w:rPr>
          <w:rFonts w:hint="eastAsia"/>
          <w:color w:val="404040" w:themeColor="text1" w:themeTint="BF"/>
          <w:sz w:val="20"/>
          <w:szCs w:val="23"/>
        </w:rPr>
      </w:pPr>
      <w:r>
        <w:rPr>
          <w:color w:val="404040" w:themeColor="text1" w:themeTint="BF"/>
          <w:sz w:val="20"/>
          <w:szCs w:val="23"/>
        </w:rPr>
        <w:t xml:space="preserve">Os dados foram coletados usando o </w:t>
      </w:r>
      <w:r>
        <w:rPr>
          <w:i/>
          <w:iCs/>
          <w:color w:val="404040" w:themeColor="text1" w:themeTint="BF"/>
          <w:sz w:val="20"/>
          <w:szCs w:val="23"/>
        </w:rPr>
        <w:t xml:space="preserve">Premenstrual Sintomas Screening Tool (PSST) </w:t>
      </w:r>
      <w:r>
        <w:rPr>
          <w:color w:val="404040" w:themeColor="text1" w:themeTint="BF"/>
          <w:sz w:val="20"/>
          <w:szCs w:val="23"/>
        </w:rPr>
        <w:t>e</w:t>
      </w:r>
      <w:r>
        <w:rPr>
          <w:i/>
          <w:iCs/>
          <w:color w:val="404040" w:themeColor="text1" w:themeTint="BF"/>
          <w:sz w:val="20"/>
          <w:szCs w:val="23"/>
        </w:rPr>
        <w:t xml:space="preserve"> 12 itens Short-Form Health Survey Questionnaire</w:t>
      </w:r>
      <w:r>
        <w:rPr>
          <w:color w:val="404040" w:themeColor="text1" w:themeTint="BF"/>
          <w:sz w:val="20"/>
          <w:szCs w:val="23"/>
        </w:rPr>
        <w:t>.</w:t>
      </w:r>
    </w:p>
    <w:p w14:paraId="6953A55C" w14:textId="77777777" w:rsidR="00CD65C2" w:rsidRDefault="00CD65C2">
      <w:pPr>
        <w:pStyle w:val="Corpo"/>
        <w:rPr>
          <w:rFonts w:hint="eastAsia"/>
          <w:b/>
          <w:color w:val="339966"/>
          <w:sz w:val="25"/>
          <w:szCs w:val="25"/>
          <w14:textFill>
            <w14:solidFill>
              <w14:srgbClr w14:val="339966">
                <w14:lumMod w14:val="75000"/>
                <w14:lumOff w14:val="25000"/>
              </w14:srgbClr>
            </w14:solidFill>
          </w14:textFill>
        </w:rPr>
      </w:pPr>
    </w:p>
    <w:p w14:paraId="48FBAC50"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7A0E567F" w14:textId="77777777" w:rsidR="00CD65C2" w:rsidRDefault="00CD65C2">
      <w:pPr>
        <w:pStyle w:val="Corpo"/>
        <w:rPr>
          <w:rFonts w:hint="eastAsia"/>
          <w:color w:val="404040" w:themeColor="text1" w:themeTint="BF"/>
          <w:sz w:val="16"/>
          <w:szCs w:val="16"/>
        </w:rPr>
      </w:pPr>
    </w:p>
    <w:p w14:paraId="13193363" w14:textId="77777777"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A prevalência de SPM moderada a grave no grupo 1 diminuiu significativamente ao longo do período do estudo (9,5% no primeiro, 6% no segundo e 2,6% no terceiro mês do estudo), mas no grupo placebo essa redução foi observada apenas no primeiro mês do estudo (14,2% no primeiro, 13,7% no segundo e 13,5% no terceiro mês);</w:t>
      </w:r>
    </w:p>
    <w:p w14:paraId="48D50A25" w14:textId="77777777"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Além disso, o grupo 1 obteve melhoras nas pontuações do componente PSST ao longo do período do estudo;</w:t>
      </w:r>
    </w:p>
    <w:p w14:paraId="2FF31B96" w14:textId="77777777"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Os escores médios de QV nos componentes físico e mental foram significativamente melhorados no grupo 1. No entanto, as diferenças foram estatisticamente significativas apenas 3 meses após a intervenção.</w:t>
      </w:r>
    </w:p>
    <w:p w14:paraId="1C7623C9" w14:textId="77777777" w:rsidR="00CD65C2" w:rsidRDefault="00CD65C2">
      <w:pPr>
        <w:pStyle w:val="Corpo"/>
        <w:spacing w:after="120"/>
        <w:ind w:left="786"/>
        <w:rPr>
          <w:rFonts w:hint="eastAsia"/>
          <w:color w:val="404040" w:themeColor="text1" w:themeTint="BF"/>
          <w:sz w:val="24"/>
        </w:rPr>
      </w:pPr>
    </w:p>
    <w:p w14:paraId="7B4784C6"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01BD86F6" w14:textId="77777777" w:rsidR="00CD65C2" w:rsidRDefault="00CD65C2">
      <w:pPr>
        <w:pStyle w:val="Corpo"/>
        <w:rPr>
          <w:rFonts w:hint="eastAsia"/>
          <w:b/>
          <w:color w:val="339966"/>
          <w:sz w:val="16"/>
          <w:szCs w:val="16"/>
          <w14:textFill>
            <w14:solidFill>
              <w14:srgbClr w14:val="339966">
                <w14:lumMod w14:val="75000"/>
                <w14:lumOff w14:val="25000"/>
              </w14:srgbClr>
            </w14:solidFill>
          </w14:textFill>
        </w:rPr>
      </w:pPr>
    </w:p>
    <w:p w14:paraId="5EEF358D" w14:textId="77777777" w:rsidR="00CD65C2" w:rsidRDefault="00FA41FC">
      <w:pPr>
        <w:pStyle w:val="Corpo"/>
        <w:jc w:val="center"/>
        <w:rPr>
          <w:rFonts w:hint="eastAsia"/>
          <w:b/>
          <w:i/>
          <w:color w:val="404040" w:themeColor="text1" w:themeTint="BF"/>
        </w:rPr>
      </w:pPr>
      <w:r>
        <w:rPr>
          <w:b/>
          <w:i/>
          <w:color w:val="404040" w:themeColor="text1" w:themeTint="BF"/>
        </w:rPr>
        <w:t xml:space="preserve">O sulfato de zinco, como tratamento simples e de menor custo, foi associado à melhora dos sintomas da SPM e da QV relacionada à saúde. </w:t>
      </w:r>
    </w:p>
    <w:p w14:paraId="19E6462F" w14:textId="77777777" w:rsidR="00CD65C2" w:rsidRDefault="00CD65C2">
      <w:pPr>
        <w:pStyle w:val="Corpo"/>
        <w:rPr>
          <w:rFonts w:hint="eastAsia"/>
          <w:color w:val="404040" w:themeColor="text1" w:themeTint="BF"/>
        </w:rPr>
      </w:pPr>
    </w:p>
    <w:p w14:paraId="321F2908" w14:textId="77777777" w:rsidR="00CD65C2" w:rsidRDefault="00FA41FC">
      <w:pPr>
        <w:pStyle w:val="Corpo"/>
        <w:jc w:val="center"/>
        <w:rPr>
          <w:rFonts w:hint="eastAsia"/>
          <w:b/>
          <w:color w:val="404040" w:themeColor="text1" w:themeTint="BF"/>
          <w:lang w:eastAsia="pt-BR"/>
        </w:rPr>
      </w:pPr>
      <w:r>
        <w:rPr>
          <w:color w:val="404040" w:themeColor="text1" w:themeTint="BF"/>
        </w:rPr>
        <w:br w:type="page"/>
      </w:r>
    </w:p>
    <w:p w14:paraId="7075D4F8" w14:textId="77777777" w:rsidR="00CD65C2" w:rsidRDefault="00FA41FC">
      <w:pPr>
        <w:pStyle w:val="Ttulo1"/>
        <w:jc w:val="center"/>
        <w:rPr>
          <w:rFonts w:hint="eastAsia"/>
        </w:rPr>
      </w:pPr>
      <w:bookmarkStart w:id="7" w:name="_Toc165537159"/>
      <w:r>
        <w:t>Formulário</w:t>
      </w:r>
      <w:bookmarkEnd w:id="7"/>
    </w:p>
    <w:p w14:paraId="73782FB8" w14:textId="77777777" w:rsidR="00CD65C2" w:rsidRDefault="00CD65C2">
      <w:pPr>
        <w:pStyle w:val="Corpo"/>
        <w:rPr>
          <w:rFonts w:hint="eastAsia"/>
          <w:b/>
          <w:i/>
          <w:color w:val="404040" w:themeColor="text1" w:themeTint="BF"/>
        </w:rPr>
      </w:pPr>
    </w:p>
    <w:p w14:paraId="64CB88F9" w14:textId="77777777" w:rsidR="00CD65C2" w:rsidRDefault="00CD65C2">
      <w:pPr>
        <w:pStyle w:val="Corpo"/>
        <w:rPr>
          <w:rFonts w:hint="eastAsia"/>
          <w:b/>
          <w:i/>
          <w:color w:val="404040" w:themeColor="text1" w:themeTint="BF"/>
        </w:rPr>
      </w:pPr>
    </w:p>
    <w:p w14:paraId="6F529E48" w14:textId="77777777" w:rsidR="00CD65C2" w:rsidRDefault="00FA41FC">
      <w:pPr>
        <w:pStyle w:val="Corpo"/>
        <w:rPr>
          <w:rFonts w:hint="eastAsia"/>
          <w:b/>
          <w:i/>
          <w:color w:val="404040" w:themeColor="text1" w:themeTint="BF"/>
          <w:sz w:val="24"/>
        </w:rPr>
      </w:pPr>
      <w:r>
        <w:rPr>
          <w:b/>
          <w:i/>
          <w:color w:val="404040" w:themeColor="text1" w:themeTint="BF"/>
          <w:sz w:val="24"/>
        </w:rPr>
        <w:t>Sulfato de Zinco Melhora da SPM e Qualidade de Vida</w:t>
      </w:r>
    </w:p>
    <w:p w14:paraId="4F8F2A97"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39715745"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4261B534" w14:textId="77777777" w:rsidR="00CD65C2" w:rsidRDefault="00FA41FC">
            <w:pPr>
              <w:pStyle w:val="Corpo"/>
              <w:jc w:val="center"/>
              <w:rPr>
                <w:rFonts w:hint="eastAsia"/>
                <w:b/>
                <w:color w:val="FFFFFF" w:themeColor="background1"/>
              </w:rPr>
            </w:pPr>
            <w:r>
              <w:rPr>
                <w:b/>
                <w:color w:val="FFFFFF" w:themeColor="background1"/>
              </w:rPr>
              <w:t>Cápsulas de Sulfato de Zinco</w:t>
            </w:r>
          </w:p>
        </w:tc>
      </w:tr>
      <w:tr w:rsidR="00CD65C2" w14:paraId="1267A6CE"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C2DC191" w14:textId="77777777" w:rsidR="00CD65C2" w:rsidRDefault="00FA41FC">
            <w:pPr>
              <w:pStyle w:val="Corpo"/>
              <w:rPr>
                <w:rFonts w:hint="eastAsia"/>
                <w:color w:val="404040" w:themeColor="text1" w:themeTint="BF"/>
              </w:rPr>
            </w:pPr>
            <w:r>
              <w:rPr>
                <w:color w:val="404040" w:themeColor="text1" w:themeTint="BF"/>
              </w:rPr>
              <w:t>Sulfato de Zinco..............................220 mg</w:t>
            </w:r>
          </w:p>
        </w:tc>
      </w:tr>
      <w:tr w:rsidR="00CD65C2" w14:paraId="43743B26"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D76D91F" w14:textId="37531CA0" w:rsidR="00CD65C2" w:rsidRDefault="00FA41FC">
            <w:pPr>
              <w:pStyle w:val="Corpo"/>
              <w:rPr>
                <w:rFonts w:hint="eastAsia"/>
                <w:color w:val="404040" w:themeColor="text1" w:themeTint="BF"/>
              </w:rPr>
            </w:pPr>
            <w:r>
              <w:rPr>
                <w:color w:val="404040" w:themeColor="text1" w:themeTint="BF"/>
              </w:rPr>
              <w:t>Excipiente q.s.p. ........................1 Cápsula</w:t>
            </w:r>
          </w:p>
        </w:tc>
      </w:tr>
    </w:tbl>
    <w:p w14:paraId="5D0E062E" w14:textId="77777777" w:rsidR="00CD65C2" w:rsidRDefault="00FA41FC">
      <w:pPr>
        <w:pStyle w:val="Corpo"/>
        <w:ind w:right="4762"/>
        <w:jc w:val="center"/>
        <w:rPr>
          <w:rFonts w:hint="eastAsia"/>
          <w:color w:val="404040" w:themeColor="text1" w:themeTint="BF"/>
          <w:sz w:val="22"/>
          <w:szCs w:val="22"/>
        </w:rPr>
      </w:pPr>
      <w:r>
        <w:rPr>
          <w:color w:val="404040" w:themeColor="text1" w:themeTint="BF"/>
          <w:sz w:val="22"/>
          <w:szCs w:val="22"/>
        </w:rPr>
        <w:t>Administrar 1 cápsula ao dia (do 16º dia do ciclo ao 2ª dia do ciclo seguinte) ou conforme orientação médica.</w:t>
      </w:r>
    </w:p>
    <w:p w14:paraId="7E1009B2" w14:textId="77777777" w:rsidR="00CD65C2" w:rsidRDefault="00CD65C2">
      <w:pPr>
        <w:pStyle w:val="SemEspaamento"/>
      </w:pPr>
    </w:p>
    <w:p w14:paraId="4850DC96" w14:textId="77777777" w:rsidR="00CD65C2" w:rsidRDefault="00CD65C2">
      <w:pPr>
        <w:pStyle w:val="SemEspaamento"/>
      </w:pPr>
    </w:p>
    <w:p w14:paraId="612B481F" w14:textId="77777777" w:rsidR="00CD65C2" w:rsidRDefault="00CD65C2">
      <w:pPr>
        <w:pStyle w:val="SemEspaamento"/>
      </w:pPr>
    </w:p>
    <w:p w14:paraId="547AC11A" w14:textId="77777777" w:rsidR="00CD65C2" w:rsidRDefault="00CD65C2">
      <w:pPr>
        <w:pStyle w:val="SemEspaamento"/>
      </w:pPr>
    </w:p>
    <w:p w14:paraId="044ED53F" w14:textId="77777777" w:rsidR="00CD65C2" w:rsidRDefault="00CD65C2">
      <w:pPr>
        <w:pStyle w:val="SemEspaamento"/>
      </w:pPr>
    </w:p>
    <w:p w14:paraId="5F577A59" w14:textId="77777777" w:rsidR="00CD65C2" w:rsidRDefault="00CD65C2">
      <w:pPr>
        <w:pStyle w:val="SemEspaamento"/>
      </w:pPr>
    </w:p>
    <w:p w14:paraId="39FD8578" w14:textId="77777777" w:rsidR="00CD65C2" w:rsidRDefault="00CD65C2">
      <w:pPr>
        <w:pStyle w:val="SemEspaamento"/>
      </w:pPr>
    </w:p>
    <w:p w14:paraId="4DF61DF7" w14:textId="77777777" w:rsidR="00CD65C2" w:rsidRDefault="00CD65C2">
      <w:pPr>
        <w:pStyle w:val="SemEspaamento"/>
      </w:pPr>
    </w:p>
    <w:p w14:paraId="75E8709B" w14:textId="77777777" w:rsidR="00CD65C2" w:rsidRDefault="00CD65C2">
      <w:pPr>
        <w:pStyle w:val="SemEspaamento"/>
      </w:pPr>
    </w:p>
    <w:p w14:paraId="7134EF61" w14:textId="77777777" w:rsidR="00CD65C2" w:rsidRDefault="00CD65C2">
      <w:pPr>
        <w:pStyle w:val="SemEspaamento"/>
      </w:pPr>
    </w:p>
    <w:p w14:paraId="16D04CDC" w14:textId="77777777" w:rsidR="00CD65C2" w:rsidRDefault="00CD65C2">
      <w:pPr>
        <w:pStyle w:val="SemEspaamento"/>
      </w:pPr>
    </w:p>
    <w:p w14:paraId="502147B2" w14:textId="77777777" w:rsidR="00CD65C2" w:rsidRDefault="00CD65C2">
      <w:pPr>
        <w:pStyle w:val="SemEspaamento"/>
      </w:pPr>
    </w:p>
    <w:p w14:paraId="27C86536" w14:textId="77777777" w:rsidR="00CD65C2" w:rsidRDefault="00CD65C2">
      <w:pPr>
        <w:pStyle w:val="SemEspaamento"/>
      </w:pPr>
    </w:p>
    <w:p w14:paraId="4DDF9186" w14:textId="77777777" w:rsidR="00CD65C2" w:rsidRDefault="00CD65C2">
      <w:pPr>
        <w:pStyle w:val="SemEspaamento"/>
      </w:pPr>
    </w:p>
    <w:p w14:paraId="14DE9168" w14:textId="77777777" w:rsidR="00CD65C2" w:rsidRDefault="00CD65C2">
      <w:pPr>
        <w:pStyle w:val="SemEspaamento"/>
      </w:pPr>
    </w:p>
    <w:p w14:paraId="397D0073" w14:textId="77777777" w:rsidR="00CD65C2" w:rsidRDefault="00CD65C2">
      <w:pPr>
        <w:pStyle w:val="SemEspaamento"/>
      </w:pPr>
    </w:p>
    <w:p w14:paraId="0B870210" w14:textId="77777777" w:rsidR="00CD65C2" w:rsidRDefault="00CD65C2">
      <w:pPr>
        <w:pStyle w:val="SemEspaamento"/>
      </w:pPr>
    </w:p>
    <w:p w14:paraId="5566E1D3" w14:textId="77777777" w:rsidR="00CD65C2" w:rsidRDefault="00CD65C2">
      <w:pPr>
        <w:pStyle w:val="SemEspaamento"/>
      </w:pPr>
    </w:p>
    <w:p w14:paraId="66F23677" w14:textId="77777777" w:rsidR="00CD65C2" w:rsidRDefault="00CD65C2">
      <w:pPr>
        <w:pStyle w:val="SemEspaamento"/>
      </w:pPr>
    </w:p>
    <w:p w14:paraId="752052C3" w14:textId="77777777" w:rsidR="00CD65C2" w:rsidRDefault="00CD65C2">
      <w:pPr>
        <w:pStyle w:val="SemEspaamento"/>
      </w:pPr>
    </w:p>
    <w:p w14:paraId="7413F361" w14:textId="77777777" w:rsidR="00CD65C2" w:rsidRDefault="00CD65C2">
      <w:pPr>
        <w:pStyle w:val="SemEspaamento"/>
      </w:pPr>
    </w:p>
    <w:p w14:paraId="3C6CC9D9" w14:textId="77777777" w:rsidR="00CD65C2" w:rsidRDefault="00CD65C2">
      <w:pPr>
        <w:pStyle w:val="SemEspaamento"/>
      </w:pPr>
    </w:p>
    <w:p w14:paraId="34885C2E" w14:textId="77777777" w:rsidR="00CD65C2" w:rsidRDefault="00CD65C2">
      <w:pPr>
        <w:pStyle w:val="SemEspaamento"/>
      </w:pPr>
    </w:p>
    <w:p w14:paraId="6E451C16" w14:textId="77777777" w:rsidR="00CD65C2" w:rsidRDefault="00CD65C2">
      <w:pPr>
        <w:pStyle w:val="SemEspaamento"/>
      </w:pPr>
    </w:p>
    <w:p w14:paraId="6C536DDA" w14:textId="77777777" w:rsidR="00CD65C2" w:rsidRDefault="00CD65C2">
      <w:pPr>
        <w:pStyle w:val="SemEspaamento"/>
      </w:pPr>
    </w:p>
    <w:p w14:paraId="57AA39C2" w14:textId="77777777" w:rsidR="00CD65C2" w:rsidRDefault="00CD65C2">
      <w:pPr>
        <w:pStyle w:val="SemEspaamento"/>
      </w:pPr>
    </w:p>
    <w:p w14:paraId="3876A12B" w14:textId="77777777" w:rsidR="00CD65C2" w:rsidRDefault="00CD65C2">
      <w:pPr>
        <w:pStyle w:val="SemEspaamento"/>
      </w:pPr>
    </w:p>
    <w:p w14:paraId="3A11B25B" w14:textId="77777777" w:rsidR="00CD65C2" w:rsidRDefault="00CD65C2">
      <w:pPr>
        <w:pStyle w:val="SemEspaamento"/>
      </w:pPr>
    </w:p>
    <w:p w14:paraId="53F42EB0" w14:textId="77777777" w:rsidR="00CD65C2" w:rsidRDefault="00CD65C2">
      <w:pPr>
        <w:pStyle w:val="SemEspaamento"/>
      </w:pPr>
    </w:p>
    <w:p w14:paraId="59B009C7" w14:textId="77777777" w:rsidR="00CD65C2" w:rsidRDefault="00CD65C2">
      <w:pPr>
        <w:pStyle w:val="SemEspaamento"/>
      </w:pPr>
    </w:p>
    <w:p w14:paraId="5173EA17" w14:textId="77777777" w:rsidR="00CD65C2" w:rsidRDefault="00CD65C2">
      <w:pPr>
        <w:pStyle w:val="SemEspaamento"/>
      </w:pPr>
    </w:p>
    <w:p w14:paraId="66E8432E" w14:textId="0A7DE478" w:rsidR="00CD65C2" w:rsidRDefault="00FA41FC">
      <w:pPr>
        <w:pStyle w:val="Ttulo1"/>
        <w:jc w:val="center"/>
        <w:rPr>
          <w:rFonts w:hint="eastAsia"/>
        </w:rPr>
      </w:pPr>
      <w:bookmarkStart w:id="8" w:name="_Toc165537160"/>
      <w:r>
        <w:t>Ômega 3</w:t>
      </w:r>
      <w:bookmarkEnd w:id="8"/>
    </w:p>
    <w:p w14:paraId="776618D8" w14:textId="77777777" w:rsidR="00CD65C2" w:rsidRPr="00D1428E" w:rsidRDefault="00FA41FC">
      <w:pPr>
        <w:pStyle w:val="Corpo"/>
        <w:jc w:val="center"/>
        <w:rPr>
          <w:rFonts w:hint="eastAsia"/>
          <w:b/>
          <w:color w:val="0070C0"/>
          <w:sz w:val="40"/>
          <w:szCs w:val="22"/>
        </w:rPr>
      </w:pPr>
      <w:r w:rsidRPr="00D1428E">
        <w:rPr>
          <w:b/>
          <w:color w:val="0070C0"/>
          <w:sz w:val="40"/>
          <w:szCs w:val="22"/>
        </w:rPr>
        <w:t>Promove Melhora da SPM e Qualidade de Vida</w:t>
      </w:r>
    </w:p>
    <w:p w14:paraId="22D40E35" w14:textId="77777777" w:rsidR="00CD65C2" w:rsidRDefault="00CD65C2">
      <w:pPr>
        <w:pStyle w:val="Corpo"/>
        <w:rPr>
          <w:rFonts w:hint="eastAsia"/>
          <w:b/>
          <w:color w:val="0070C0"/>
          <w14:textFill>
            <w14:solidFill>
              <w14:srgbClr w14:val="0070C0">
                <w14:lumMod w14:val="75000"/>
                <w14:lumOff w14:val="25000"/>
              </w14:srgbClr>
            </w14:solidFill>
          </w14:textFill>
        </w:rPr>
      </w:pPr>
    </w:p>
    <w:p w14:paraId="3C31C4EC" w14:textId="77777777" w:rsidR="00CD65C2" w:rsidRDefault="00CD65C2">
      <w:pPr>
        <w:pStyle w:val="Corpo"/>
        <w:spacing w:after="120"/>
        <w:rPr>
          <w:rFonts w:hint="eastAsia"/>
          <w:color w:val="404040" w:themeColor="text1" w:themeTint="BF"/>
          <w:sz w:val="24"/>
        </w:rPr>
      </w:pPr>
    </w:p>
    <w:p w14:paraId="5C5C5804" w14:textId="5BC51F53" w:rsidR="00CD65C2" w:rsidRDefault="00FA41FC">
      <w:pPr>
        <w:pStyle w:val="Corpo"/>
        <w:rPr>
          <w:rFonts w:hint="eastAsia"/>
          <w:color w:val="404040" w:themeColor="text1" w:themeTint="BF"/>
          <w:sz w:val="24"/>
        </w:rPr>
      </w:pPr>
      <w:r>
        <w:rPr>
          <w:color w:val="404040" w:themeColor="text1" w:themeTint="BF"/>
          <w:sz w:val="24"/>
        </w:rPr>
        <w:t>Um estudo conduzido por Behboudi, Hariri e Moghaddam (2017) teve como objetivo avaliar se a suplementação de ômega 3 melhoraria os sintomas pré-menstruais e a qualidade de vida de mulheres em idade reprodutiva.</w:t>
      </w:r>
    </w:p>
    <w:p w14:paraId="5DA979D4"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677696" behindDoc="0" locked="0" layoutInCell="1" allowOverlap="1">
                <wp:simplePos x="0" y="0"/>
                <wp:positionH relativeFrom="margin">
                  <wp:posOffset>5715</wp:posOffset>
                </wp:positionH>
                <wp:positionV relativeFrom="paragraph">
                  <wp:posOffset>92075</wp:posOffset>
                </wp:positionV>
                <wp:extent cx="5724525" cy="695325"/>
                <wp:effectExtent l="0" t="0" r="28575" b="28575"/>
                <wp:wrapNone/>
                <wp:docPr id="20" name="Caixa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695325"/>
                        </a:xfrm>
                        <a:prstGeom prst="rect">
                          <a:avLst/>
                        </a:prstGeom>
                        <a:solidFill>
                          <a:schemeClr val="bg1">
                            <a:lumMod val="100000"/>
                            <a:lumOff val="0"/>
                          </a:schemeClr>
                        </a:solidFill>
                        <a:ln w="9525">
                          <a:solidFill>
                            <a:srgbClr val="0070C0"/>
                          </a:solidFill>
                          <a:miter lim="800000"/>
                        </a:ln>
                      </wps:spPr>
                      <wps:txbx>
                        <w:txbxContent>
                          <w:p w14:paraId="78F4B366" w14:textId="11B6C602" w:rsidR="00FA41FC" w:rsidRDefault="00FA41FC">
                            <w:pPr>
                              <w:jc w:val="center"/>
                              <w:rPr>
                                <w:rFonts w:ascii="Swis721 Th BT" w:hAnsi="Swis721 Th BT"/>
                                <w:sz w:val="23"/>
                                <w:szCs w:val="23"/>
                              </w:rPr>
                            </w:pPr>
                            <w:r>
                              <w:rPr>
                                <w:rFonts w:ascii="Swis721 Th BT" w:hAnsi="Swis721 Th BT"/>
                                <w:sz w:val="23"/>
                                <w:szCs w:val="23"/>
                              </w:rPr>
                              <w:t>Para isso, 95 mulheres iranianas que sofriam com SPM foram randomizadas em dois grupos para receberem, por oito dias antes e dois após a menstruação, durante 3 ciclos menstruais consecutivos:</w:t>
                            </w:r>
                          </w:p>
                          <w:p w14:paraId="5E934983"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20" o:spid="_x0000_s1035" type="#_x0000_t202" style="position:absolute;left:0;text-align:left;margin-left:.45pt;margin-top:7.25pt;width:450.75pt;height:54.75pt;z-index:2516776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" fillcolor="white [3212]" strokecolor="#0070c0">
                <v:textbox>
                  <w:txbxContent>
                    <w:p w14:paraId="78F4B366" w14:textId="11B6C602" w:rsidR="00FA41FC" w:rsidRDefault="00FA41FC">
                      <w:pPr>
                        <w:jc w:val="center"/>
                        <w:rPr>
                          <w:rFonts w:ascii="Swis721 Th BT" w:hAnsi="Swis721 Th BT"/>
                          <w:sz w:val="23"/>
                          <w:szCs w:val="23"/>
                        </w:rPr>
                      </w:pPr>
                      <w:r>
                        <w:rPr>
                          <w:rFonts w:ascii="Swis721 Th BT" w:hAnsi="Swis721 Th BT"/>
                          <w:sz w:val="23"/>
                          <w:szCs w:val="23"/>
                        </w:rPr>
                        <w:t>Para isso, 95 mulheres iranianas que sofriam com SPM foram randomizadas em dois grupos para receberem, por oito dias antes e dois após a menstruação, durante 3 ciclos menstruais consecutivos:</w:t>
                      </w:r>
                    </w:p>
                    <w:p w14:paraId="5E934983"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5378115D" w14:textId="77777777" w:rsidR="00CD65C2" w:rsidRDefault="00CD65C2">
      <w:pPr>
        <w:pStyle w:val="Corpo"/>
        <w:rPr>
          <w:rFonts w:hint="eastAsia"/>
          <w:color w:val="404040" w:themeColor="text1" w:themeTint="BF"/>
        </w:rPr>
      </w:pPr>
    </w:p>
    <w:p w14:paraId="403EF068" w14:textId="77777777" w:rsidR="00CD65C2" w:rsidRDefault="00CD65C2">
      <w:pPr>
        <w:pStyle w:val="Corpo"/>
        <w:rPr>
          <w:rFonts w:hint="eastAsia"/>
          <w:color w:val="404040" w:themeColor="text1" w:themeTint="BF"/>
        </w:rPr>
      </w:pPr>
    </w:p>
    <w:p w14:paraId="49999488" w14:textId="77777777" w:rsidR="00CD65C2" w:rsidRDefault="00CD65C2">
      <w:pPr>
        <w:pStyle w:val="Corpo"/>
        <w:rPr>
          <w:rFonts w:hint="eastAsia"/>
          <w:color w:val="404040" w:themeColor="text1" w:themeTint="BF"/>
        </w:rPr>
      </w:pPr>
    </w:p>
    <w:p w14:paraId="23E3FB93"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675648"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21" name="Triângulo isóscele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1" o:spid="_x0000_s1026" o:spt="5" type="#_x0000_t5" style="position:absolute;left:0pt;flip:y;margin-left:65.25pt;margin-top:0.85pt;height:10.9pt;width:17.85pt;z-index:251675648;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n+uDbdYA&#10;AAAIAQAADwAAAAAAAAABACAAAAAiAAAAZHJzL2Rvd25yZXYueG1sUEsBAhQAFAAAAAgAh07iQDEe&#10;dbVaAgAApQQAAA4AAAAAAAAAAQAgAAAAJQEAAGRycy9lMm9Eb2MueG1sUEsFBgAAAAAGAAYAWQEA&#10;APEFA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674624" behindDoc="0" locked="0" layoutInCell="1" allowOverlap="1">
                <wp:simplePos x="0" y="0"/>
                <wp:positionH relativeFrom="column">
                  <wp:posOffset>4664710</wp:posOffset>
                </wp:positionH>
                <wp:positionV relativeFrom="paragraph">
                  <wp:posOffset>10795</wp:posOffset>
                </wp:positionV>
                <wp:extent cx="226695" cy="138430"/>
                <wp:effectExtent l="0" t="0" r="1905" b="0"/>
                <wp:wrapNone/>
                <wp:docPr id="22" name="Triângulo isóscele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2" o:spid="_x0000_s1026" o:spt="5" type="#_x0000_t5" style="position:absolute;left:0pt;flip:y;margin-left:367.3pt;margin-top:0.85pt;height:10.9pt;width:17.85pt;z-index:251674624;mso-width-relative:page;mso-height-relative:page;" fillcolor="#D9D9D9 [3212]" filled="t" stroked="f" coordsize="21600,21600" o:gfxdata="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qyKZW1gAA&#10;AAgBAAAPAAAAAAAAAAEAIAAAACIAAABkcnMvZG93bnJldi54bWxQSwECFAAUAAAACACHTuJAicf+&#10;7FkCAAClBAAADgAAAAAAAAABACAAAAAlAQAAZHJzL2Uyb0RvYy54bWxQSwUGAAAAAAYABgBZAQAA&#10;8AUAAAAA&#10;" adj="10800">
                <v:fill on="t" focussize="0,0"/>
                <v:stroke on="f"/>
                <v:imagedata o:title=""/>
                <o:lock v:ext="edit" aspectratio="f"/>
              </v:shape>
            </w:pict>
          </mc:Fallback>
        </mc:AlternateContent>
      </w:r>
    </w:p>
    <w:p w14:paraId="7C370BE4"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673600" behindDoc="0" locked="0" layoutInCell="1" allowOverlap="1">
                <wp:simplePos x="0" y="0"/>
                <wp:positionH relativeFrom="column">
                  <wp:posOffset>-5715</wp:posOffset>
                </wp:positionH>
                <wp:positionV relativeFrom="paragraph">
                  <wp:posOffset>88900</wp:posOffset>
                </wp:positionV>
                <wp:extent cx="1913890" cy="781685"/>
                <wp:effectExtent l="0" t="0" r="10160" b="18415"/>
                <wp:wrapNone/>
                <wp:docPr id="23" name="Caixa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53C0D10D"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1 g de óleo de peixe</w:t>
                            </w:r>
                          </w:p>
                          <w:p w14:paraId="2720B7EA"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 vez ao dia</w:t>
                            </w:r>
                          </w:p>
                        </w:txbxContent>
                      </wps:txbx>
                      <wps:bodyPr rot="0" vert="horz" wrap="square" lIns="91440" tIns="45720" rIns="91440" bIns="45720" anchor="ctr" anchorCtr="0" upright="1">
                        <a:noAutofit/>
                      </wps:bodyPr>
                    </wps:wsp>
                  </a:graphicData>
                </a:graphic>
              </wp:anchor>
            </w:drawing>
          </mc:Choice>
          <mc:Fallback>
            <w:pict>
              <v:shape id="Caixa de texto 23" o:spid="_x0000_s1036" type="#_x0000_t202" style="position:absolute;left:0;text-align:left;margin-left:-.45pt;margin-top:7pt;width:150.7pt;height:61.5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" fillcolor="#0070c0" strokecolor="#0070c0">
                <v:textbox>
                  <w:txbxContent>
                    <w:p w14:paraId="53C0D10D"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1 g de óleo de peixe</w:t>
                      </w:r>
                    </w:p>
                    <w:p w14:paraId="2720B7EA"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 vez ao dia</w:t>
                      </w: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676672" behindDoc="0" locked="0" layoutInCell="1" allowOverlap="1">
                <wp:simplePos x="0" y="0"/>
                <wp:positionH relativeFrom="column">
                  <wp:posOffset>3839210</wp:posOffset>
                </wp:positionH>
                <wp:positionV relativeFrom="paragraph">
                  <wp:posOffset>88900</wp:posOffset>
                </wp:positionV>
                <wp:extent cx="1905000" cy="781685"/>
                <wp:effectExtent l="0" t="0" r="19050" b="18415"/>
                <wp:wrapNone/>
                <wp:docPr id="24" name="Caixa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13EA76F4"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24E23B4B" w14:textId="77777777" w:rsidR="00FA41FC" w:rsidRDefault="00FA41FC">
                            <w:pPr>
                              <w:spacing w:after="0" w:line="240" w:lineRule="auto"/>
                              <w:jc w:val="center"/>
                              <w:rPr>
                                <w:rFonts w:ascii="Swis721 Th BT" w:hAnsi="Swis721 Th BT"/>
                                <w:b/>
                                <w:color w:val="FFFFFF" w:themeColor="background1"/>
                                <w:sz w:val="23"/>
                                <w:szCs w:val="23"/>
                              </w:rPr>
                            </w:pPr>
                          </w:p>
                          <w:p w14:paraId="16097F1F" w14:textId="77777777" w:rsidR="00FA41FC" w:rsidRDefault="00FA41FC">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24" o:spid="_x0000_s1037" type="#_x0000_t202" style="position:absolute;left:0;text-align:left;margin-left:302.3pt;margin-top:7pt;width:150pt;height:61.5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" fillcolor="#0070c0" strokecolor="#0070c0">
                <v:textbox>
                  <w:txbxContent>
                    <w:p w14:paraId="13EA76F4"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24E23B4B" w14:textId="77777777" w:rsidR="00FA41FC" w:rsidRDefault="00FA41FC">
                      <w:pPr>
                        <w:spacing w:after="0" w:line="240" w:lineRule="auto"/>
                        <w:jc w:val="center"/>
                        <w:rPr>
                          <w:rFonts w:ascii="Swis721 Th BT" w:hAnsi="Swis721 Th BT"/>
                          <w:b/>
                          <w:color w:val="FFFFFF" w:themeColor="background1"/>
                          <w:sz w:val="23"/>
                          <w:szCs w:val="23"/>
                        </w:rPr>
                      </w:pPr>
                    </w:p>
                    <w:p w14:paraId="16097F1F" w14:textId="77777777" w:rsidR="00FA41FC" w:rsidRDefault="00FA41FC">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14:paraId="055E77B2" w14:textId="77777777" w:rsidR="00CD65C2" w:rsidRDefault="00CD65C2">
      <w:pPr>
        <w:pStyle w:val="Corpo"/>
        <w:rPr>
          <w:rFonts w:hint="eastAsia"/>
          <w:color w:val="404040" w:themeColor="text1" w:themeTint="BF"/>
        </w:rPr>
      </w:pPr>
    </w:p>
    <w:p w14:paraId="14229A52" w14:textId="77777777" w:rsidR="00CD65C2" w:rsidRDefault="00CD65C2">
      <w:pPr>
        <w:pStyle w:val="Corpo"/>
        <w:rPr>
          <w:rFonts w:hint="eastAsia"/>
          <w:color w:val="404040" w:themeColor="text1" w:themeTint="BF"/>
        </w:rPr>
      </w:pPr>
    </w:p>
    <w:p w14:paraId="0E86E72D" w14:textId="77777777" w:rsidR="00CD65C2" w:rsidRDefault="00CD65C2">
      <w:pPr>
        <w:pStyle w:val="Corpo"/>
        <w:rPr>
          <w:rFonts w:hint="eastAsia"/>
          <w:color w:val="404040" w:themeColor="text1" w:themeTint="BF"/>
        </w:rPr>
      </w:pPr>
    </w:p>
    <w:p w14:paraId="685F6357" w14:textId="77777777" w:rsidR="00CD65C2" w:rsidRDefault="00CD65C2">
      <w:pPr>
        <w:pStyle w:val="Corpo"/>
        <w:spacing w:before="120"/>
        <w:rPr>
          <w:rFonts w:hint="eastAsia"/>
          <w:color w:val="404040" w:themeColor="text1" w:themeTint="BF"/>
          <w:sz w:val="20"/>
        </w:rPr>
      </w:pPr>
    </w:p>
    <w:p w14:paraId="2E72F113" w14:textId="77777777" w:rsidR="00CD65C2" w:rsidRDefault="00FA41FC">
      <w:pPr>
        <w:pStyle w:val="Corpo"/>
        <w:numPr>
          <w:ilvl w:val="0"/>
          <w:numId w:val="6"/>
        </w:numPr>
        <w:spacing w:before="120" w:after="0"/>
        <w:rPr>
          <w:rFonts w:hint="eastAsia"/>
          <w:color w:val="404040" w:themeColor="text1" w:themeTint="BF"/>
          <w:sz w:val="20"/>
          <w:szCs w:val="20"/>
        </w:rPr>
      </w:pPr>
      <w:r>
        <w:rPr>
          <w:color w:val="404040" w:themeColor="text1" w:themeTint="BF"/>
          <w:sz w:val="20"/>
          <w:szCs w:val="20"/>
        </w:rPr>
        <w:t>Para avaliar os resultados da intervenção, foi utilizada uma triagem dos sintomas pré-menstruais (</w:t>
      </w:r>
      <w:r>
        <w:rPr>
          <w:i/>
          <w:color w:val="404040" w:themeColor="text1" w:themeTint="BF"/>
          <w:sz w:val="20"/>
          <w:szCs w:val="20"/>
        </w:rPr>
        <w:t>PMS screening tool)</w:t>
      </w:r>
      <w:r>
        <w:rPr>
          <w:color w:val="404040" w:themeColor="text1" w:themeTint="BF"/>
          <w:sz w:val="20"/>
          <w:szCs w:val="20"/>
        </w:rPr>
        <w:t>.</w:t>
      </w:r>
    </w:p>
    <w:p w14:paraId="0A973208" w14:textId="77777777" w:rsidR="00CD65C2" w:rsidRDefault="00CD65C2">
      <w:pPr>
        <w:pStyle w:val="Corpo"/>
        <w:rPr>
          <w:rFonts w:hint="eastAsia"/>
          <w:b/>
          <w:color w:val="339966"/>
          <w:sz w:val="25"/>
          <w:szCs w:val="25"/>
          <w14:textFill>
            <w14:solidFill>
              <w14:srgbClr w14:val="339966">
                <w14:lumMod w14:val="75000"/>
                <w14:lumOff w14:val="25000"/>
              </w14:srgbClr>
            </w14:solidFill>
          </w14:textFill>
        </w:rPr>
      </w:pPr>
    </w:p>
    <w:p w14:paraId="6567255C"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41112D10" w14:textId="77777777" w:rsidR="00CD65C2" w:rsidRDefault="00CD65C2">
      <w:pPr>
        <w:pStyle w:val="Corpo"/>
        <w:rPr>
          <w:rFonts w:hint="eastAsia"/>
          <w:color w:val="404040" w:themeColor="text1" w:themeTint="BF"/>
          <w:sz w:val="16"/>
          <w:szCs w:val="16"/>
        </w:rPr>
      </w:pPr>
    </w:p>
    <w:p w14:paraId="4AFA9534" w14:textId="77777777" w:rsidR="00CD65C2" w:rsidRDefault="00FA41FC">
      <w:pPr>
        <w:pStyle w:val="Corpo"/>
        <w:numPr>
          <w:ilvl w:val="0"/>
          <w:numId w:val="7"/>
        </w:numPr>
        <w:spacing w:after="0"/>
        <w:ind w:left="360"/>
        <w:rPr>
          <w:rFonts w:hint="eastAsia"/>
          <w:color w:val="404040" w:themeColor="text1" w:themeTint="BF"/>
          <w:sz w:val="24"/>
        </w:rPr>
      </w:pPr>
      <w:r>
        <w:rPr>
          <w:color w:val="404040" w:themeColor="text1" w:themeTint="BF"/>
          <w:sz w:val="24"/>
        </w:rPr>
        <w:t>A maioria dos sintomas pré-menstruais e suas interferências nas atividades diárias reduziu significativamente após o período de acompanhamento;</w:t>
      </w:r>
    </w:p>
    <w:p w14:paraId="0A3AD64B" w14:textId="77777777" w:rsidR="00CD65C2" w:rsidRDefault="00CD65C2">
      <w:pPr>
        <w:pStyle w:val="Corpo"/>
        <w:spacing w:after="0"/>
        <w:ind w:left="426"/>
        <w:rPr>
          <w:rFonts w:hint="eastAsia"/>
          <w:color w:val="404040" w:themeColor="text1" w:themeTint="BF"/>
          <w:sz w:val="24"/>
        </w:rPr>
      </w:pPr>
    </w:p>
    <w:p w14:paraId="0E3BAC07" w14:textId="344F91DD" w:rsidR="00CD65C2" w:rsidRDefault="00FA41FC">
      <w:pPr>
        <w:pStyle w:val="Corpo"/>
        <w:numPr>
          <w:ilvl w:val="0"/>
          <w:numId w:val="7"/>
        </w:numPr>
        <w:spacing w:after="0"/>
        <w:ind w:left="360"/>
        <w:rPr>
          <w:rFonts w:hint="eastAsia"/>
          <w:color w:val="404040" w:themeColor="text1" w:themeTint="BF"/>
          <w:sz w:val="24"/>
        </w:rPr>
      </w:pPr>
      <w:r>
        <w:rPr>
          <w:color w:val="404040" w:themeColor="text1" w:themeTint="BF"/>
          <w:sz w:val="24"/>
        </w:rPr>
        <w:t>O uso prolongado da suplementação de ômega 3 promoveu uma melhora nos sintomas pré-menstruais e nas atividades diárias realizadas durante este período;</w:t>
      </w:r>
    </w:p>
    <w:p w14:paraId="22434589" w14:textId="77777777" w:rsidR="00CD65C2" w:rsidRDefault="00CD65C2">
      <w:pPr>
        <w:pStyle w:val="Corpo"/>
        <w:spacing w:after="0"/>
        <w:ind w:left="426"/>
        <w:rPr>
          <w:rFonts w:hint="eastAsia"/>
          <w:color w:val="404040" w:themeColor="text1" w:themeTint="BF"/>
          <w:sz w:val="24"/>
        </w:rPr>
      </w:pPr>
    </w:p>
    <w:p w14:paraId="09CF6D11" w14:textId="6B9B9589" w:rsidR="00CD65C2" w:rsidRDefault="00FA41FC">
      <w:pPr>
        <w:pStyle w:val="Corpo"/>
        <w:numPr>
          <w:ilvl w:val="0"/>
          <w:numId w:val="7"/>
        </w:numPr>
        <w:spacing w:after="0"/>
        <w:ind w:left="360"/>
        <w:rPr>
          <w:rFonts w:hint="eastAsia"/>
          <w:color w:val="404040" w:themeColor="text1" w:themeTint="BF"/>
          <w:sz w:val="24"/>
        </w:rPr>
      </w:pPr>
      <w:r>
        <w:rPr>
          <w:color w:val="404040" w:themeColor="text1" w:themeTint="BF"/>
          <w:sz w:val="24"/>
        </w:rPr>
        <w:t xml:space="preserve">A suplementação de ômega 3 melhorou a qualidade de vida das mulheres; </w:t>
      </w:r>
    </w:p>
    <w:p w14:paraId="7597E5E9" w14:textId="77777777" w:rsidR="00CD65C2" w:rsidRDefault="00CD65C2">
      <w:pPr>
        <w:pStyle w:val="Corpo"/>
        <w:spacing w:after="0"/>
        <w:ind w:left="426"/>
        <w:rPr>
          <w:rFonts w:hint="eastAsia"/>
          <w:color w:val="404040" w:themeColor="text1" w:themeTint="BF"/>
          <w:sz w:val="24"/>
        </w:rPr>
      </w:pPr>
    </w:p>
    <w:p w14:paraId="5F5C1973" w14:textId="77777777" w:rsidR="00CD65C2" w:rsidRDefault="00FA41FC">
      <w:pPr>
        <w:pStyle w:val="Corpo"/>
        <w:numPr>
          <w:ilvl w:val="0"/>
          <w:numId w:val="7"/>
        </w:numPr>
        <w:spacing w:after="0"/>
        <w:ind w:left="360"/>
        <w:rPr>
          <w:rFonts w:hint="eastAsia"/>
          <w:color w:val="404040" w:themeColor="text1" w:themeTint="BF"/>
          <w:sz w:val="24"/>
        </w:rPr>
      </w:pPr>
      <w:r>
        <w:rPr>
          <w:color w:val="404040" w:themeColor="text1" w:themeTint="BF"/>
          <w:sz w:val="24"/>
        </w:rPr>
        <w:t>Foi observada uma redução na dismenorreia primária nas mulheres do grupo 1.</w:t>
      </w:r>
    </w:p>
    <w:p w14:paraId="6B4929B7" w14:textId="77777777" w:rsidR="00CD65C2" w:rsidRDefault="00CD65C2">
      <w:pPr>
        <w:pStyle w:val="Corpo"/>
        <w:spacing w:after="120"/>
        <w:ind w:left="786"/>
        <w:rPr>
          <w:rFonts w:hint="eastAsia"/>
          <w:color w:val="404040" w:themeColor="text1" w:themeTint="BF"/>
          <w:sz w:val="24"/>
        </w:rPr>
      </w:pPr>
    </w:p>
    <w:p w14:paraId="70D2429F"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4D52B264" w14:textId="77777777" w:rsidR="00CD65C2" w:rsidRDefault="00CD65C2">
      <w:pPr>
        <w:pStyle w:val="Corpo"/>
        <w:rPr>
          <w:rFonts w:hint="eastAsia"/>
          <w:b/>
          <w:color w:val="339966"/>
          <w:sz w:val="16"/>
          <w:szCs w:val="16"/>
          <w14:textFill>
            <w14:solidFill>
              <w14:srgbClr w14:val="339966">
                <w14:lumMod w14:val="75000"/>
                <w14:lumOff w14:val="25000"/>
              </w14:srgbClr>
            </w14:solidFill>
          </w14:textFill>
        </w:rPr>
      </w:pPr>
    </w:p>
    <w:p w14:paraId="78927E11" w14:textId="759BC9E3" w:rsidR="00CD65C2" w:rsidRDefault="00FA41FC" w:rsidP="00D1428E">
      <w:pPr>
        <w:pStyle w:val="Corpo"/>
        <w:jc w:val="center"/>
        <w:rPr>
          <w:rFonts w:hint="eastAsia"/>
          <w:b/>
          <w:i/>
          <w:color w:val="404040" w:themeColor="text1" w:themeTint="BF"/>
        </w:rPr>
      </w:pPr>
      <w:r>
        <w:rPr>
          <w:b/>
          <w:i/>
          <w:color w:val="404040" w:themeColor="text1" w:themeTint="BF"/>
        </w:rPr>
        <w:t>As pesquisadoras concluíram que a suplementação de ômega 3 reduziu significativamente os sintomas pré-menstruais e melhorou a qualidade de vida das mulheres após três semanas de uso.</w:t>
      </w:r>
    </w:p>
    <w:p w14:paraId="26FB46EA" w14:textId="77777777" w:rsidR="00CD65C2" w:rsidRDefault="00FA41FC">
      <w:pPr>
        <w:pStyle w:val="Corpo"/>
        <w:jc w:val="center"/>
        <w:rPr>
          <w:rFonts w:hint="eastAsia"/>
          <w:b/>
          <w:i/>
          <w:color w:val="404040" w:themeColor="text1" w:themeTint="BF"/>
        </w:rPr>
      </w:pPr>
      <w:r>
        <w:rPr>
          <w:b/>
          <w:i/>
          <w:color w:val="404040" w:themeColor="text1" w:themeTint="BF"/>
        </w:rPr>
        <w:t xml:space="preserve"> </w:t>
      </w:r>
    </w:p>
    <w:p w14:paraId="10DC58DA" w14:textId="77777777" w:rsidR="00CD65C2" w:rsidRDefault="00CD65C2">
      <w:pPr>
        <w:pStyle w:val="Corpo"/>
        <w:rPr>
          <w:rFonts w:hint="eastAsia"/>
          <w:color w:val="404040" w:themeColor="text1" w:themeTint="BF"/>
        </w:rPr>
      </w:pPr>
    </w:p>
    <w:p w14:paraId="70494E80" w14:textId="77777777" w:rsidR="00CD65C2" w:rsidRDefault="00FA41FC">
      <w:pPr>
        <w:pStyle w:val="Corpo"/>
        <w:jc w:val="center"/>
        <w:rPr>
          <w:rFonts w:hint="eastAsia"/>
          <w:b/>
          <w:color w:val="404040" w:themeColor="text1" w:themeTint="BF"/>
          <w:lang w:eastAsia="pt-BR"/>
        </w:rPr>
      </w:pPr>
      <w:r>
        <w:rPr>
          <w:color w:val="404040" w:themeColor="text1" w:themeTint="BF"/>
        </w:rPr>
        <w:br w:type="page"/>
      </w:r>
    </w:p>
    <w:p w14:paraId="47558441" w14:textId="77777777" w:rsidR="00CD65C2" w:rsidRDefault="00FA41FC">
      <w:pPr>
        <w:pStyle w:val="Ttulo1"/>
        <w:jc w:val="center"/>
        <w:rPr>
          <w:rFonts w:hint="eastAsia"/>
        </w:rPr>
      </w:pPr>
      <w:bookmarkStart w:id="9" w:name="_Toc165537161"/>
      <w:r>
        <w:t>Formulário</w:t>
      </w:r>
      <w:bookmarkEnd w:id="9"/>
    </w:p>
    <w:p w14:paraId="36BF7FEA" w14:textId="77777777" w:rsidR="00CD65C2" w:rsidRDefault="00CD65C2">
      <w:pPr>
        <w:pStyle w:val="Corpo"/>
        <w:rPr>
          <w:rFonts w:hint="eastAsia"/>
          <w:b/>
          <w:i/>
          <w:color w:val="404040" w:themeColor="text1" w:themeTint="BF"/>
        </w:rPr>
      </w:pPr>
    </w:p>
    <w:p w14:paraId="6B9B06BA" w14:textId="77777777" w:rsidR="00CD65C2" w:rsidRDefault="00CD65C2">
      <w:pPr>
        <w:pStyle w:val="Corpo"/>
        <w:rPr>
          <w:rFonts w:hint="eastAsia"/>
          <w:b/>
          <w:i/>
          <w:color w:val="404040" w:themeColor="text1" w:themeTint="BF"/>
        </w:rPr>
      </w:pPr>
    </w:p>
    <w:p w14:paraId="355DFBCA" w14:textId="749D0ACA" w:rsidR="00CD65C2" w:rsidRDefault="00FA41FC">
      <w:pPr>
        <w:pStyle w:val="Corpo"/>
        <w:rPr>
          <w:rFonts w:hint="eastAsia"/>
          <w:b/>
          <w:i/>
          <w:color w:val="404040" w:themeColor="text1" w:themeTint="BF"/>
          <w:sz w:val="24"/>
        </w:rPr>
      </w:pPr>
      <w:r>
        <w:rPr>
          <w:b/>
          <w:i/>
          <w:color w:val="404040" w:themeColor="text1" w:themeTint="BF"/>
          <w:sz w:val="24"/>
        </w:rPr>
        <w:t>Ômega 3 Melhora os Sintomas e a Qualidade de Vida de Mulheres que Sofrem de Síndrome Pré-Menstrual</w:t>
      </w:r>
    </w:p>
    <w:p w14:paraId="719155B6" w14:textId="77777777" w:rsidR="00CD65C2" w:rsidRDefault="00CD65C2">
      <w:pPr>
        <w:pStyle w:val="Corpo"/>
        <w:rPr>
          <w:rFonts w:hint="eastAsia"/>
          <w:b/>
          <w:i/>
          <w:color w:val="404040" w:themeColor="text1" w:themeTint="BF"/>
          <w:sz w:val="24"/>
          <w:u w:val="single"/>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54B369D8"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6F922572" w14:textId="47B3D501" w:rsidR="00CD65C2" w:rsidRDefault="00FA41FC">
            <w:pPr>
              <w:pStyle w:val="Corpo"/>
              <w:jc w:val="center"/>
              <w:rPr>
                <w:rFonts w:hint="eastAsia"/>
                <w:b/>
                <w:color w:val="FFFFFF" w:themeColor="background1"/>
              </w:rPr>
            </w:pPr>
            <w:r>
              <w:rPr>
                <w:b/>
                <w:color w:val="FFFFFF" w:themeColor="background1"/>
                <w:sz w:val="22"/>
              </w:rPr>
              <w:t>Cápsulas de Ômega 3</w:t>
            </w:r>
          </w:p>
        </w:tc>
      </w:tr>
      <w:tr w:rsidR="00CD65C2" w14:paraId="7D71EEC8" w14:textId="77777777">
        <w:trPr>
          <w:trHeight w:val="391"/>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1F05ECF" w14:textId="77777777" w:rsidR="00CD65C2" w:rsidRDefault="00FA41FC">
            <w:pPr>
              <w:pStyle w:val="Corpo"/>
              <w:rPr>
                <w:rFonts w:hint="eastAsia"/>
                <w:color w:val="404040" w:themeColor="text1" w:themeTint="BF"/>
              </w:rPr>
            </w:pPr>
            <w:r>
              <w:rPr>
                <w:color w:val="404040" w:themeColor="text1" w:themeTint="BF"/>
              </w:rPr>
              <w:t>Cápsula de Óleo de Peixe.....................1 g</w:t>
            </w:r>
          </w:p>
        </w:tc>
      </w:tr>
    </w:tbl>
    <w:p w14:paraId="16E268B8" w14:textId="77777777" w:rsidR="00CD65C2" w:rsidRDefault="00FA41FC">
      <w:pPr>
        <w:pStyle w:val="Corpo"/>
        <w:ind w:right="4818"/>
        <w:jc w:val="center"/>
        <w:rPr>
          <w:rFonts w:hint="eastAsia"/>
          <w:color w:val="404040" w:themeColor="text1" w:themeTint="BF"/>
          <w:sz w:val="22"/>
          <w:szCs w:val="22"/>
        </w:rPr>
      </w:pPr>
      <w:r>
        <w:rPr>
          <w:color w:val="404040" w:themeColor="text1" w:themeTint="BF"/>
          <w:sz w:val="22"/>
          <w:szCs w:val="22"/>
        </w:rPr>
        <w:t>Administrar 1 cápsula ao dia por 8 dias antes e 2 dias após a menstruação ou conforme a orientação médica.</w:t>
      </w:r>
    </w:p>
    <w:p w14:paraId="06D82135" w14:textId="77777777" w:rsidR="00CD65C2" w:rsidRDefault="00CD65C2">
      <w:pPr>
        <w:pStyle w:val="SemEspaamento"/>
      </w:pPr>
    </w:p>
    <w:p w14:paraId="2C7E90DF" w14:textId="77777777" w:rsidR="00CD65C2" w:rsidRDefault="00CD65C2">
      <w:pPr>
        <w:pStyle w:val="SemEspaamento"/>
      </w:pPr>
    </w:p>
    <w:p w14:paraId="0E8891B5" w14:textId="77777777" w:rsidR="00CD65C2" w:rsidRDefault="00CD65C2">
      <w:pPr>
        <w:pStyle w:val="SemEspaamento"/>
      </w:pPr>
    </w:p>
    <w:p w14:paraId="284A864D" w14:textId="77777777" w:rsidR="00CD65C2" w:rsidRDefault="00CD65C2">
      <w:pPr>
        <w:pStyle w:val="SemEspaamento"/>
      </w:pPr>
    </w:p>
    <w:p w14:paraId="4E0EFEA1" w14:textId="77777777" w:rsidR="00CD65C2" w:rsidRDefault="00CD65C2">
      <w:pPr>
        <w:pStyle w:val="SemEspaamento"/>
      </w:pPr>
    </w:p>
    <w:p w14:paraId="304B4B58" w14:textId="77777777" w:rsidR="00CD65C2" w:rsidRDefault="00CD65C2">
      <w:pPr>
        <w:pStyle w:val="SemEspaamento"/>
      </w:pPr>
    </w:p>
    <w:p w14:paraId="5396352D" w14:textId="77777777" w:rsidR="00CD65C2" w:rsidRDefault="00CD65C2">
      <w:pPr>
        <w:pStyle w:val="SemEspaamento"/>
      </w:pPr>
    </w:p>
    <w:p w14:paraId="4482E0C1" w14:textId="77777777" w:rsidR="00CD65C2" w:rsidRDefault="00CD65C2">
      <w:pPr>
        <w:pStyle w:val="SemEspaamento"/>
      </w:pPr>
    </w:p>
    <w:p w14:paraId="6BF52B0C" w14:textId="77777777" w:rsidR="00CD65C2" w:rsidRDefault="00CD65C2">
      <w:pPr>
        <w:pStyle w:val="SemEspaamento"/>
      </w:pPr>
    </w:p>
    <w:p w14:paraId="37814A85" w14:textId="77777777" w:rsidR="00CD65C2" w:rsidRDefault="00CD65C2">
      <w:pPr>
        <w:pStyle w:val="SemEspaamento"/>
      </w:pPr>
    </w:p>
    <w:p w14:paraId="76149E2A" w14:textId="77777777" w:rsidR="00CD65C2" w:rsidRDefault="00CD65C2">
      <w:pPr>
        <w:pStyle w:val="SemEspaamento"/>
      </w:pPr>
    </w:p>
    <w:p w14:paraId="1004A6E6" w14:textId="77777777" w:rsidR="00CD65C2" w:rsidRDefault="00CD65C2">
      <w:pPr>
        <w:pStyle w:val="SemEspaamento"/>
      </w:pPr>
    </w:p>
    <w:p w14:paraId="1D837FED" w14:textId="77777777" w:rsidR="00CD65C2" w:rsidRDefault="00CD65C2">
      <w:pPr>
        <w:pStyle w:val="SemEspaamento"/>
      </w:pPr>
    </w:p>
    <w:p w14:paraId="58CF6DAE" w14:textId="77777777" w:rsidR="00CD65C2" w:rsidRDefault="00CD65C2">
      <w:pPr>
        <w:pStyle w:val="SemEspaamento"/>
      </w:pPr>
    </w:p>
    <w:p w14:paraId="28AF8A19" w14:textId="77777777" w:rsidR="00CD65C2" w:rsidRDefault="00CD65C2">
      <w:pPr>
        <w:pStyle w:val="SemEspaamento"/>
      </w:pPr>
    </w:p>
    <w:p w14:paraId="7151AB69" w14:textId="77777777" w:rsidR="00CD65C2" w:rsidRDefault="00CD65C2">
      <w:pPr>
        <w:pStyle w:val="SemEspaamento"/>
      </w:pPr>
    </w:p>
    <w:p w14:paraId="6529BC2D" w14:textId="77777777" w:rsidR="00CD65C2" w:rsidRDefault="00CD65C2">
      <w:pPr>
        <w:pStyle w:val="SemEspaamento"/>
      </w:pPr>
    </w:p>
    <w:p w14:paraId="0D24ECE2" w14:textId="77777777" w:rsidR="00CD65C2" w:rsidRDefault="00CD65C2">
      <w:pPr>
        <w:pStyle w:val="SemEspaamento"/>
      </w:pPr>
    </w:p>
    <w:p w14:paraId="5CA0481B" w14:textId="77777777" w:rsidR="00CD65C2" w:rsidRDefault="00CD65C2">
      <w:pPr>
        <w:pStyle w:val="SemEspaamento"/>
      </w:pPr>
    </w:p>
    <w:p w14:paraId="0BFB21E2" w14:textId="77777777" w:rsidR="00CD65C2" w:rsidRDefault="00CD65C2">
      <w:pPr>
        <w:pStyle w:val="SemEspaamento"/>
      </w:pPr>
    </w:p>
    <w:p w14:paraId="3C4F880F" w14:textId="77777777" w:rsidR="00CD65C2" w:rsidRDefault="00CD65C2">
      <w:pPr>
        <w:pStyle w:val="SemEspaamento"/>
      </w:pPr>
    </w:p>
    <w:p w14:paraId="522380B0" w14:textId="77777777" w:rsidR="00CD65C2" w:rsidRDefault="00CD65C2">
      <w:pPr>
        <w:pStyle w:val="SemEspaamento"/>
      </w:pPr>
    </w:p>
    <w:p w14:paraId="370CC697" w14:textId="77777777" w:rsidR="00CD65C2" w:rsidRDefault="00CD65C2">
      <w:pPr>
        <w:pStyle w:val="SemEspaamento"/>
      </w:pPr>
    </w:p>
    <w:p w14:paraId="002B62DB" w14:textId="77777777" w:rsidR="00CD65C2" w:rsidRDefault="00CD65C2">
      <w:pPr>
        <w:pStyle w:val="SemEspaamento"/>
      </w:pPr>
    </w:p>
    <w:p w14:paraId="1B7C106D" w14:textId="77777777" w:rsidR="00CD65C2" w:rsidRDefault="00CD65C2">
      <w:pPr>
        <w:pStyle w:val="SemEspaamento"/>
      </w:pPr>
    </w:p>
    <w:p w14:paraId="018EE72A" w14:textId="77777777" w:rsidR="00CD65C2" w:rsidRDefault="00CD65C2">
      <w:pPr>
        <w:pStyle w:val="SemEspaamento"/>
      </w:pPr>
    </w:p>
    <w:p w14:paraId="6246F5A5" w14:textId="77777777" w:rsidR="00CD65C2" w:rsidRDefault="00CD65C2">
      <w:pPr>
        <w:pStyle w:val="SemEspaamento"/>
      </w:pPr>
    </w:p>
    <w:p w14:paraId="574AAE68" w14:textId="77777777" w:rsidR="00CD65C2" w:rsidRDefault="00CD65C2">
      <w:pPr>
        <w:pStyle w:val="SemEspaamento"/>
      </w:pPr>
    </w:p>
    <w:p w14:paraId="6711AD90" w14:textId="77777777" w:rsidR="00CD65C2" w:rsidRDefault="00CD65C2">
      <w:pPr>
        <w:pStyle w:val="SemEspaamento"/>
      </w:pPr>
    </w:p>
    <w:p w14:paraId="2C3C48BA" w14:textId="77777777" w:rsidR="00CD65C2" w:rsidRDefault="00CD65C2">
      <w:pPr>
        <w:pStyle w:val="SemEspaamento"/>
      </w:pPr>
    </w:p>
    <w:p w14:paraId="1FBED220" w14:textId="77777777" w:rsidR="00CD65C2" w:rsidRDefault="00CD65C2">
      <w:pPr>
        <w:pStyle w:val="SemEspaamento"/>
      </w:pPr>
    </w:p>
    <w:p w14:paraId="768FE532" w14:textId="77777777" w:rsidR="00CD65C2" w:rsidRDefault="00CD65C2">
      <w:pPr>
        <w:pStyle w:val="SemEspaamento"/>
      </w:pPr>
    </w:p>
    <w:p w14:paraId="0958ABA0" w14:textId="77777777" w:rsidR="00CD65C2" w:rsidRDefault="00FA41FC">
      <w:pPr>
        <w:pStyle w:val="Ttulo1"/>
        <w:jc w:val="center"/>
        <w:rPr>
          <w:rFonts w:hint="eastAsia"/>
        </w:rPr>
      </w:pPr>
      <w:bookmarkStart w:id="10" w:name="_Toc165537162"/>
      <w:r>
        <w:rPr>
          <w:i/>
        </w:rPr>
        <w:t>Vitex agnus castus</w:t>
      </w:r>
      <w:bookmarkEnd w:id="10"/>
    </w:p>
    <w:p w14:paraId="29BCC15D" w14:textId="58FF5750" w:rsidR="00CD65C2" w:rsidRDefault="00FA41FC">
      <w:pPr>
        <w:pStyle w:val="Subtitulocorpo"/>
        <w:ind w:right="-994"/>
        <w:rPr>
          <w:rFonts w:hint="eastAsia"/>
          <w:szCs w:val="40"/>
        </w:rPr>
      </w:pPr>
      <w:r>
        <w:rPr>
          <w:szCs w:val="40"/>
        </w:rPr>
        <w:t>Reduz a Irritabilidade, Melhora o Humor e Trata as Dores de Cabeça Associada à SPM</w:t>
      </w:r>
    </w:p>
    <w:p w14:paraId="4952D504" w14:textId="77777777" w:rsidR="00CD65C2" w:rsidRDefault="00CD65C2">
      <w:pPr>
        <w:pStyle w:val="Corpo"/>
        <w:spacing w:after="120"/>
        <w:rPr>
          <w:rFonts w:hint="eastAsia"/>
          <w:color w:val="404040" w:themeColor="text1" w:themeTint="BF"/>
          <w:sz w:val="24"/>
        </w:rPr>
      </w:pPr>
    </w:p>
    <w:tbl>
      <w:tblPr>
        <w:tblStyle w:val="Tabelacomgrade"/>
        <w:tblpPr w:leftFromText="141" w:rightFromText="141" w:vertAnchor="text" w:horzAnchor="margin" w:tblpY="233"/>
        <w:tblW w:w="9378" w:type="dxa"/>
        <w:tblLook w:val="04A0" w:firstRow="1" w:lastRow="0" w:firstColumn="1" w:lastColumn="0" w:noHBand="0" w:noVBand="1"/>
      </w:tblPr>
      <w:tblGrid>
        <w:gridCol w:w="1602"/>
        <w:gridCol w:w="774"/>
        <w:gridCol w:w="1472"/>
        <w:gridCol w:w="3206"/>
        <w:gridCol w:w="2324"/>
      </w:tblGrid>
      <w:tr w:rsidR="00CD65C2" w14:paraId="05612994" w14:textId="77777777">
        <w:trPr>
          <w:trHeight w:val="413"/>
        </w:trPr>
        <w:tc>
          <w:tcPr>
            <w:tcW w:w="1602" w:type="dxa"/>
          </w:tcPr>
          <w:p w14:paraId="09C2D831" w14:textId="77777777" w:rsidR="00CD65C2" w:rsidRDefault="00CD65C2">
            <w:pPr>
              <w:pStyle w:val="Corpo"/>
              <w:rPr>
                <w:rFonts w:hint="eastAsia"/>
                <w:b/>
                <w:color w:val="404040" w:themeColor="text1" w:themeTint="BF"/>
                <w:szCs w:val="23"/>
              </w:rPr>
            </w:pPr>
          </w:p>
        </w:tc>
        <w:tc>
          <w:tcPr>
            <w:tcW w:w="774" w:type="dxa"/>
          </w:tcPr>
          <w:p w14:paraId="12EC8C32" w14:textId="77777777" w:rsidR="00CD65C2" w:rsidRDefault="00FA41FC">
            <w:pPr>
              <w:pStyle w:val="Corpo"/>
              <w:jc w:val="center"/>
              <w:rPr>
                <w:rFonts w:hint="eastAsia"/>
                <w:b/>
                <w:color w:val="404040" w:themeColor="text1" w:themeTint="BF"/>
                <w:szCs w:val="23"/>
              </w:rPr>
            </w:pPr>
            <w:r>
              <w:rPr>
                <w:b/>
                <w:color w:val="404040" w:themeColor="text1" w:themeTint="BF"/>
                <w:szCs w:val="23"/>
              </w:rPr>
              <w:t>N</w:t>
            </w:r>
          </w:p>
        </w:tc>
        <w:tc>
          <w:tcPr>
            <w:tcW w:w="1472" w:type="dxa"/>
          </w:tcPr>
          <w:p w14:paraId="17CB1D14" w14:textId="77777777" w:rsidR="00CD65C2" w:rsidRDefault="00FA41FC">
            <w:pPr>
              <w:pStyle w:val="Corpo"/>
              <w:tabs>
                <w:tab w:val="center" w:pos="486"/>
                <w:tab w:val="right" w:pos="972"/>
              </w:tabs>
              <w:jc w:val="center"/>
              <w:rPr>
                <w:rFonts w:hint="eastAsia"/>
                <w:b/>
                <w:color w:val="404040" w:themeColor="text1" w:themeTint="BF"/>
                <w:szCs w:val="23"/>
              </w:rPr>
            </w:pPr>
            <w:r>
              <w:rPr>
                <w:b/>
                <w:color w:val="404040" w:themeColor="text1" w:themeTint="BF"/>
                <w:szCs w:val="23"/>
              </w:rPr>
              <w:t>Dose</w:t>
            </w:r>
          </w:p>
        </w:tc>
        <w:tc>
          <w:tcPr>
            <w:tcW w:w="3206" w:type="dxa"/>
          </w:tcPr>
          <w:p w14:paraId="6627439B" w14:textId="77777777" w:rsidR="00CD65C2" w:rsidRDefault="00FA41FC">
            <w:pPr>
              <w:pStyle w:val="Corpo"/>
              <w:jc w:val="center"/>
              <w:rPr>
                <w:rFonts w:hint="eastAsia"/>
                <w:b/>
                <w:color w:val="404040" w:themeColor="text1" w:themeTint="BF"/>
                <w:szCs w:val="23"/>
              </w:rPr>
            </w:pPr>
            <w:r>
              <w:rPr>
                <w:b/>
                <w:color w:val="404040" w:themeColor="text1" w:themeTint="BF"/>
                <w:szCs w:val="23"/>
              </w:rPr>
              <w:t>Resultados</w:t>
            </w:r>
          </w:p>
        </w:tc>
        <w:tc>
          <w:tcPr>
            <w:tcW w:w="2324" w:type="dxa"/>
          </w:tcPr>
          <w:p w14:paraId="0B598C1F" w14:textId="77777777" w:rsidR="00CD65C2" w:rsidRDefault="00FA41FC">
            <w:pPr>
              <w:pStyle w:val="Corpo"/>
              <w:jc w:val="center"/>
              <w:rPr>
                <w:rFonts w:hint="eastAsia"/>
                <w:b/>
                <w:color w:val="404040" w:themeColor="text1" w:themeTint="BF"/>
                <w:szCs w:val="23"/>
              </w:rPr>
            </w:pPr>
            <w:r>
              <w:rPr>
                <w:b/>
                <w:color w:val="404040" w:themeColor="text1" w:themeTint="BF"/>
                <w:szCs w:val="23"/>
              </w:rPr>
              <w:t>Efeitos Adversos</w:t>
            </w:r>
          </w:p>
        </w:tc>
      </w:tr>
      <w:tr w:rsidR="00CD65C2" w14:paraId="1C86315D" w14:textId="77777777">
        <w:trPr>
          <w:trHeight w:val="1211"/>
        </w:trPr>
        <w:tc>
          <w:tcPr>
            <w:tcW w:w="1602" w:type="dxa"/>
            <w:vAlign w:val="center"/>
          </w:tcPr>
          <w:p w14:paraId="7B84BB99" w14:textId="77777777" w:rsidR="00CD65C2" w:rsidRDefault="00CD65C2">
            <w:pPr>
              <w:tabs>
                <w:tab w:val="left" w:pos="3210"/>
              </w:tabs>
              <w:jc w:val="center"/>
              <w:rPr>
                <w:rFonts w:ascii="Swis721 Th BT" w:hAnsi="Swis721 Th BT"/>
                <w:sz w:val="23"/>
                <w:szCs w:val="23"/>
              </w:rPr>
            </w:pPr>
          </w:p>
          <w:p w14:paraId="2E1DDC90" w14:textId="77777777" w:rsidR="00CD65C2" w:rsidRDefault="00CD65C2">
            <w:pPr>
              <w:tabs>
                <w:tab w:val="left" w:pos="3210"/>
              </w:tabs>
              <w:jc w:val="center"/>
              <w:rPr>
                <w:rFonts w:ascii="Swis721 Th BT" w:hAnsi="Swis721 Th BT"/>
                <w:sz w:val="23"/>
                <w:szCs w:val="23"/>
              </w:rPr>
            </w:pPr>
          </w:p>
          <w:p w14:paraId="4AA33D14" w14:textId="77777777" w:rsidR="00CD65C2" w:rsidRDefault="00FA41FC">
            <w:pPr>
              <w:tabs>
                <w:tab w:val="left" w:pos="3210"/>
              </w:tabs>
              <w:jc w:val="center"/>
              <w:rPr>
                <w:rFonts w:ascii="Swis721 Th BT" w:hAnsi="Swis721 Th BT"/>
                <w:color w:val="FF8501"/>
                <w:sz w:val="23"/>
                <w:szCs w:val="23"/>
              </w:rPr>
            </w:pPr>
            <w:r>
              <w:rPr>
                <w:rFonts w:ascii="Swis721 Th BT" w:hAnsi="Swis721 Th BT"/>
                <w:sz w:val="23"/>
                <w:szCs w:val="23"/>
              </w:rPr>
              <w:t xml:space="preserve">Ambrosini </w:t>
            </w:r>
            <w:r>
              <w:rPr>
                <w:rFonts w:ascii="Swis721 Th BT" w:hAnsi="Swis721 Th BT"/>
                <w:i/>
                <w:sz w:val="23"/>
                <w:szCs w:val="23"/>
              </w:rPr>
              <w:t>et al</w:t>
            </w:r>
            <w:r>
              <w:rPr>
                <w:rFonts w:ascii="Swis721 Th BT" w:hAnsi="Swis721 Th BT"/>
                <w:sz w:val="23"/>
                <w:szCs w:val="23"/>
              </w:rPr>
              <w:t>. (2013)</w:t>
            </w:r>
          </w:p>
        </w:tc>
        <w:tc>
          <w:tcPr>
            <w:tcW w:w="774" w:type="dxa"/>
            <w:vAlign w:val="center"/>
          </w:tcPr>
          <w:p w14:paraId="736B0E04" w14:textId="77777777" w:rsidR="00CD65C2" w:rsidRDefault="00CD65C2">
            <w:pPr>
              <w:pStyle w:val="Corpo"/>
              <w:jc w:val="center"/>
              <w:rPr>
                <w:rFonts w:hint="eastAsia"/>
                <w:color w:val="404040" w:themeColor="text1" w:themeTint="BF"/>
                <w:szCs w:val="23"/>
              </w:rPr>
            </w:pPr>
          </w:p>
          <w:p w14:paraId="6D05A2EA" w14:textId="77777777" w:rsidR="00CD65C2" w:rsidRDefault="00CD65C2">
            <w:pPr>
              <w:pStyle w:val="Corpo"/>
              <w:jc w:val="center"/>
              <w:rPr>
                <w:rFonts w:hint="eastAsia"/>
                <w:color w:val="404040" w:themeColor="text1" w:themeTint="BF"/>
                <w:szCs w:val="23"/>
              </w:rPr>
            </w:pPr>
          </w:p>
          <w:p w14:paraId="0C47E7C4" w14:textId="77777777" w:rsidR="00CD65C2" w:rsidRDefault="00CD65C2">
            <w:pPr>
              <w:pStyle w:val="Corpo"/>
              <w:jc w:val="center"/>
              <w:rPr>
                <w:rFonts w:hint="eastAsia"/>
                <w:color w:val="404040" w:themeColor="text1" w:themeTint="BF"/>
                <w:szCs w:val="23"/>
              </w:rPr>
            </w:pPr>
          </w:p>
          <w:p w14:paraId="3D930E50" w14:textId="77777777" w:rsidR="00CD65C2" w:rsidRDefault="00FA41FC">
            <w:pPr>
              <w:pStyle w:val="Corpo"/>
              <w:jc w:val="center"/>
              <w:rPr>
                <w:rFonts w:hint="eastAsia"/>
                <w:color w:val="404040" w:themeColor="text1" w:themeTint="BF"/>
                <w:szCs w:val="23"/>
              </w:rPr>
            </w:pPr>
            <w:r>
              <w:rPr>
                <w:color w:val="404040" w:themeColor="text1" w:themeTint="BF"/>
                <w:szCs w:val="23"/>
              </w:rPr>
              <w:t>107</w:t>
            </w:r>
          </w:p>
        </w:tc>
        <w:tc>
          <w:tcPr>
            <w:tcW w:w="1472" w:type="dxa"/>
            <w:vAlign w:val="center"/>
          </w:tcPr>
          <w:p w14:paraId="4D98F12C" w14:textId="77777777" w:rsidR="00CD65C2" w:rsidRDefault="00CD65C2">
            <w:pPr>
              <w:pStyle w:val="Corpo"/>
              <w:jc w:val="center"/>
              <w:rPr>
                <w:rFonts w:hint="eastAsia"/>
                <w:color w:val="404040" w:themeColor="text1" w:themeTint="BF"/>
                <w:szCs w:val="23"/>
              </w:rPr>
            </w:pPr>
          </w:p>
          <w:p w14:paraId="7F690437" w14:textId="77777777" w:rsidR="00CD65C2" w:rsidRDefault="00CD65C2">
            <w:pPr>
              <w:pStyle w:val="Corpo"/>
              <w:jc w:val="center"/>
              <w:rPr>
                <w:rFonts w:hint="eastAsia"/>
                <w:color w:val="404040" w:themeColor="text1" w:themeTint="BF"/>
                <w:szCs w:val="23"/>
              </w:rPr>
            </w:pPr>
          </w:p>
          <w:p w14:paraId="7AD3AD02" w14:textId="77777777" w:rsidR="00CD65C2" w:rsidRDefault="00CD65C2">
            <w:pPr>
              <w:pStyle w:val="Corpo"/>
              <w:jc w:val="center"/>
              <w:rPr>
                <w:rFonts w:hint="eastAsia"/>
                <w:color w:val="404040" w:themeColor="text1" w:themeTint="BF"/>
                <w:szCs w:val="23"/>
              </w:rPr>
            </w:pPr>
          </w:p>
          <w:p w14:paraId="25A12FD2" w14:textId="77777777" w:rsidR="00CD65C2" w:rsidRDefault="00FA41FC">
            <w:pPr>
              <w:pStyle w:val="Corpo"/>
              <w:jc w:val="center"/>
              <w:rPr>
                <w:rFonts w:hint="eastAsia"/>
                <w:color w:val="404040" w:themeColor="text1" w:themeTint="BF"/>
                <w:szCs w:val="23"/>
              </w:rPr>
            </w:pPr>
            <w:r>
              <w:rPr>
                <w:color w:val="404040" w:themeColor="text1" w:themeTint="BF"/>
                <w:szCs w:val="23"/>
              </w:rPr>
              <w:t>40 mg/dia</w:t>
            </w:r>
          </w:p>
        </w:tc>
        <w:tc>
          <w:tcPr>
            <w:tcW w:w="3206" w:type="dxa"/>
            <w:vAlign w:val="center"/>
          </w:tcPr>
          <w:p w14:paraId="33B45C23" w14:textId="77777777" w:rsidR="00CD65C2" w:rsidRDefault="00FA41FC">
            <w:pPr>
              <w:pStyle w:val="Corpo"/>
              <w:jc w:val="center"/>
              <w:rPr>
                <w:rFonts w:hint="eastAsia"/>
                <w:color w:val="404040" w:themeColor="text1" w:themeTint="BF"/>
                <w:szCs w:val="23"/>
              </w:rPr>
            </w:pPr>
            <w:r>
              <w:rPr>
                <w:color w:val="404040" w:themeColor="text1" w:themeTint="BF"/>
                <w:szCs w:val="23"/>
              </w:rPr>
              <w:t xml:space="preserve">O uso de </w:t>
            </w:r>
            <w:r>
              <w:rPr>
                <w:i/>
                <w:color w:val="404040" w:themeColor="text1" w:themeTint="BF"/>
                <w:szCs w:val="23"/>
              </w:rPr>
              <w:t>Vitex agnus castus</w:t>
            </w:r>
            <w:r>
              <w:rPr>
                <w:color w:val="404040" w:themeColor="text1" w:themeTint="BF"/>
                <w:szCs w:val="23"/>
              </w:rPr>
              <w:t xml:space="preserve"> em mulheres com SPM é eficaz e bem tolerado e pode influenciar positivamente a frequência e a duração dos episódios de migrânea.</w:t>
            </w:r>
          </w:p>
        </w:tc>
        <w:tc>
          <w:tcPr>
            <w:tcW w:w="2324" w:type="dxa"/>
            <w:vAlign w:val="center"/>
          </w:tcPr>
          <w:p w14:paraId="293F842E" w14:textId="77777777" w:rsidR="00CD65C2" w:rsidRDefault="00CD65C2">
            <w:pPr>
              <w:pStyle w:val="Corpo"/>
              <w:jc w:val="center"/>
              <w:rPr>
                <w:rFonts w:hint="eastAsia"/>
                <w:color w:val="404040" w:themeColor="text1" w:themeTint="BF"/>
                <w:szCs w:val="23"/>
              </w:rPr>
            </w:pPr>
          </w:p>
          <w:p w14:paraId="04BEADE9" w14:textId="77777777" w:rsidR="00CD65C2" w:rsidRDefault="00CD65C2">
            <w:pPr>
              <w:pStyle w:val="Corpo"/>
              <w:jc w:val="center"/>
              <w:rPr>
                <w:rFonts w:hint="eastAsia"/>
                <w:color w:val="404040" w:themeColor="text1" w:themeTint="BF"/>
                <w:szCs w:val="23"/>
              </w:rPr>
            </w:pPr>
          </w:p>
          <w:p w14:paraId="222264EA" w14:textId="77777777" w:rsidR="00CD65C2" w:rsidRDefault="00FA41FC">
            <w:pPr>
              <w:pStyle w:val="Corpo"/>
              <w:jc w:val="center"/>
              <w:rPr>
                <w:rFonts w:hint="eastAsia"/>
                <w:color w:val="404040" w:themeColor="text1" w:themeTint="BF"/>
                <w:szCs w:val="23"/>
              </w:rPr>
            </w:pPr>
            <w:r>
              <w:rPr>
                <w:color w:val="404040" w:themeColor="text1" w:themeTint="BF"/>
                <w:szCs w:val="23"/>
              </w:rPr>
              <w:t>Não avaliados pelo estudo</w:t>
            </w:r>
          </w:p>
        </w:tc>
      </w:tr>
      <w:tr w:rsidR="00CD65C2" w14:paraId="4823EE6E" w14:textId="77777777">
        <w:trPr>
          <w:trHeight w:val="977"/>
        </w:trPr>
        <w:tc>
          <w:tcPr>
            <w:tcW w:w="1602" w:type="dxa"/>
            <w:vAlign w:val="center"/>
          </w:tcPr>
          <w:p w14:paraId="632073C8" w14:textId="77777777" w:rsidR="00CD65C2" w:rsidRDefault="00CD65C2">
            <w:pPr>
              <w:tabs>
                <w:tab w:val="left" w:pos="3210"/>
              </w:tabs>
              <w:jc w:val="center"/>
              <w:rPr>
                <w:rFonts w:ascii="Swis721 Th BT" w:hAnsi="Swis721 Th BT" w:cstheme="minorHAnsi"/>
                <w:sz w:val="23"/>
                <w:szCs w:val="23"/>
              </w:rPr>
            </w:pPr>
          </w:p>
          <w:p w14:paraId="6F06A5EE" w14:textId="77777777" w:rsidR="00CD65C2" w:rsidRDefault="00FA41FC">
            <w:pPr>
              <w:tabs>
                <w:tab w:val="left" w:pos="3210"/>
              </w:tabs>
              <w:jc w:val="center"/>
              <w:rPr>
                <w:rFonts w:ascii="Swis721 Th BT" w:hAnsi="Swis721 Th BT" w:cstheme="minorHAnsi"/>
                <w:sz w:val="23"/>
                <w:szCs w:val="23"/>
              </w:rPr>
            </w:pPr>
            <w:r>
              <w:rPr>
                <w:rFonts w:ascii="Swis721 Th BT" w:hAnsi="Swis721 Th BT" w:cstheme="minorHAnsi"/>
                <w:sz w:val="23"/>
                <w:szCs w:val="23"/>
              </w:rPr>
              <w:t xml:space="preserve">Schellemberg </w:t>
            </w:r>
            <w:r>
              <w:rPr>
                <w:rFonts w:ascii="Swis721 Th BT" w:hAnsi="Swis721 Th BT" w:cstheme="minorHAnsi"/>
                <w:i/>
                <w:sz w:val="23"/>
                <w:szCs w:val="23"/>
              </w:rPr>
              <w:t>et al</w:t>
            </w:r>
            <w:r>
              <w:rPr>
                <w:rFonts w:ascii="Swis721 Th BT" w:hAnsi="Swis721 Th BT" w:cstheme="minorHAnsi"/>
                <w:sz w:val="23"/>
                <w:szCs w:val="23"/>
              </w:rPr>
              <w:t>. (2012)</w:t>
            </w:r>
          </w:p>
        </w:tc>
        <w:tc>
          <w:tcPr>
            <w:tcW w:w="774" w:type="dxa"/>
            <w:vAlign w:val="center"/>
          </w:tcPr>
          <w:p w14:paraId="6D189957" w14:textId="77777777" w:rsidR="00CD65C2" w:rsidRDefault="00CD65C2">
            <w:pPr>
              <w:pStyle w:val="Corpo"/>
              <w:jc w:val="center"/>
              <w:rPr>
                <w:rFonts w:hint="eastAsia"/>
                <w:color w:val="404040" w:themeColor="text1" w:themeTint="BF"/>
                <w:szCs w:val="23"/>
              </w:rPr>
            </w:pPr>
          </w:p>
          <w:p w14:paraId="63BF7E70" w14:textId="77777777" w:rsidR="00CD65C2" w:rsidRDefault="00FA41FC">
            <w:pPr>
              <w:pStyle w:val="Corpo"/>
              <w:jc w:val="center"/>
              <w:rPr>
                <w:rFonts w:hint="eastAsia"/>
                <w:color w:val="404040" w:themeColor="text1" w:themeTint="BF"/>
                <w:szCs w:val="23"/>
              </w:rPr>
            </w:pPr>
            <w:r>
              <w:rPr>
                <w:color w:val="404040" w:themeColor="text1" w:themeTint="BF"/>
                <w:szCs w:val="23"/>
              </w:rPr>
              <w:t>162</w:t>
            </w:r>
          </w:p>
        </w:tc>
        <w:tc>
          <w:tcPr>
            <w:tcW w:w="1472" w:type="dxa"/>
            <w:vAlign w:val="center"/>
          </w:tcPr>
          <w:p w14:paraId="446274D1" w14:textId="77777777" w:rsidR="00CD65C2" w:rsidRDefault="00CD65C2">
            <w:pPr>
              <w:pStyle w:val="Corpo"/>
              <w:jc w:val="center"/>
              <w:rPr>
                <w:rFonts w:hint="eastAsia"/>
                <w:color w:val="404040" w:themeColor="text1" w:themeTint="BF"/>
                <w:szCs w:val="23"/>
              </w:rPr>
            </w:pPr>
          </w:p>
          <w:p w14:paraId="10283F82" w14:textId="77777777" w:rsidR="00CD65C2" w:rsidRDefault="00FA41FC">
            <w:pPr>
              <w:pStyle w:val="Corpo"/>
              <w:jc w:val="center"/>
              <w:rPr>
                <w:rFonts w:hint="eastAsia"/>
                <w:color w:val="404040" w:themeColor="text1" w:themeTint="BF"/>
                <w:szCs w:val="23"/>
              </w:rPr>
            </w:pPr>
            <w:r>
              <w:rPr>
                <w:color w:val="404040" w:themeColor="text1" w:themeTint="BF"/>
                <w:szCs w:val="23"/>
              </w:rPr>
              <w:t>20 ou 40 mg/dia</w:t>
            </w:r>
          </w:p>
        </w:tc>
        <w:tc>
          <w:tcPr>
            <w:tcW w:w="3206" w:type="dxa"/>
            <w:vAlign w:val="center"/>
          </w:tcPr>
          <w:p w14:paraId="73191FF0" w14:textId="77777777" w:rsidR="00CD65C2" w:rsidRDefault="00FA41FC">
            <w:pPr>
              <w:pStyle w:val="Corpo"/>
              <w:jc w:val="center"/>
              <w:rPr>
                <w:rFonts w:hint="eastAsia"/>
                <w:color w:val="404040" w:themeColor="text1" w:themeTint="BF"/>
                <w:szCs w:val="23"/>
              </w:rPr>
            </w:pPr>
            <w:r>
              <w:rPr>
                <w:color w:val="404040" w:themeColor="text1" w:themeTint="BF"/>
                <w:szCs w:val="23"/>
              </w:rPr>
              <w:t>Houve redução dos sintomas da SPM avaliado por uma escala analógica visual (VAS).</w:t>
            </w:r>
          </w:p>
        </w:tc>
        <w:tc>
          <w:tcPr>
            <w:tcW w:w="2324" w:type="dxa"/>
            <w:vAlign w:val="center"/>
          </w:tcPr>
          <w:p w14:paraId="25EB1F7E" w14:textId="77777777" w:rsidR="00CD65C2" w:rsidRDefault="00FA41FC">
            <w:pPr>
              <w:pStyle w:val="Corpo"/>
              <w:jc w:val="center"/>
              <w:rPr>
                <w:rFonts w:hint="eastAsia"/>
                <w:color w:val="404040" w:themeColor="text1" w:themeTint="BF"/>
                <w:szCs w:val="23"/>
              </w:rPr>
            </w:pPr>
            <w:r>
              <w:rPr>
                <w:color w:val="404040" w:themeColor="text1" w:themeTint="BF"/>
                <w:szCs w:val="23"/>
              </w:rPr>
              <w:t>Coceira, leve prurido e moderada hipertensão.</w:t>
            </w:r>
          </w:p>
        </w:tc>
      </w:tr>
      <w:tr w:rsidR="00CD65C2" w14:paraId="50521CE3" w14:textId="77777777">
        <w:trPr>
          <w:trHeight w:val="991"/>
        </w:trPr>
        <w:tc>
          <w:tcPr>
            <w:tcW w:w="1602" w:type="dxa"/>
            <w:vAlign w:val="center"/>
          </w:tcPr>
          <w:p w14:paraId="257EBAA5" w14:textId="77777777" w:rsidR="00CD65C2" w:rsidRDefault="00CD65C2">
            <w:pPr>
              <w:tabs>
                <w:tab w:val="left" w:pos="3210"/>
              </w:tabs>
              <w:jc w:val="center"/>
              <w:rPr>
                <w:rFonts w:ascii="Swis721 Th BT" w:hAnsi="Swis721 Th BT" w:cstheme="minorHAnsi"/>
                <w:sz w:val="23"/>
                <w:szCs w:val="23"/>
              </w:rPr>
            </w:pPr>
          </w:p>
          <w:p w14:paraId="09CB06C4" w14:textId="77777777" w:rsidR="00CD65C2" w:rsidRDefault="00FA41FC">
            <w:pPr>
              <w:tabs>
                <w:tab w:val="left" w:pos="3210"/>
              </w:tabs>
              <w:jc w:val="center"/>
              <w:rPr>
                <w:rFonts w:ascii="Swis721 Th BT" w:hAnsi="Swis721 Th BT" w:cstheme="minorHAnsi"/>
                <w:sz w:val="23"/>
                <w:szCs w:val="23"/>
              </w:rPr>
            </w:pPr>
            <w:r>
              <w:rPr>
                <w:rFonts w:ascii="Swis721 Th BT" w:hAnsi="Swis721 Th BT" w:cstheme="minorHAnsi"/>
                <w:sz w:val="23"/>
                <w:szCs w:val="23"/>
              </w:rPr>
              <w:t xml:space="preserve">Atmaca </w:t>
            </w:r>
            <w:r>
              <w:rPr>
                <w:rFonts w:ascii="Swis721 Th BT" w:hAnsi="Swis721 Th BT" w:cstheme="minorHAnsi"/>
                <w:i/>
                <w:sz w:val="23"/>
                <w:szCs w:val="23"/>
              </w:rPr>
              <w:t xml:space="preserve">et al. </w:t>
            </w:r>
            <w:r>
              <w:rPr>
                <w:rFonts w:ascii="Swis721 Th BT" w:hAnsi="Swis721 Th BT" w:cstheme="minorHAnsi"/>
                <w:sz w:val="23"/>
                <w:szCs w:val="23"/>
              </w:rPr>
              <w:t>(2003)</w:t>
            </w:r>
          </w:p>
        </w:tc>
        <w:tc>
          <w:tcPr>
            <w:tcW w:w="774" w:type="dxa"/>
            <w:vAlign w:val="center"/>
          </w:tcPr>
          <w:p w14:paraId="4CCF30DE" w14:textId="77777777" w:rsidR="00CD65C2" w:rsidRDefault="00CD65C2">
            <w:pPr>
              <w:pStyle w:val="Corpo"/>
              <w:jc w:val="center"/>
              <w:rPr>
                <w:rFonts w:hint="eastAsia"/>
                <w:color w:val="404040" w:themeColor="text1" w:themeTint="BF"/>
                <w:szCs w:val="23"/>
              </w:rPr>
            </w:pPr>
          </w:p>
          <w:p w14:paraId="4392A02C" w14:textId="77777777" w:rsidR="00CD65C2" w:rsidRDefault="00FA41FC">
            <w:pPr>
              <w:pStyle w:val="Corpo"/>
              <w:jc w:val="center"/>
              <w:rPr>
                <w:rFonts w:hint="eastAsia"/>
                <w:color w:val="404040" w:themeColor="text1" w:themeTint="BF"/>
                <w:szCs w:val="23"/>
              </w:rPr>
            </w:pPr>
            <w:r>
              <w:rPr>
                <w:color w:val="404040" w:themeColor="text1" w:themeTint="BF"/>
                <w:szCs w:val="23"/>
              </w:rPr>
              <w:t>42</w:t>
            </w:r>
          </w:p>
        </w:tc>
        <w:tc>
          <w:tcPr>
            <w:tcW w:w="1472" w:type="dxa"/>
            <w:vAlign w:val="center"/>
          </w:tcPr>
          <w:p w14:paraId="6B17848F" w14:textId="77777777" w:rsidR="00CD65C2" w:rsidRDefault="00CD65C2">
            <w:pPr>
              <w:pStyle w:val="Corpo"/>
              <w:jc w:val="center"/>
              <w:rPr>
                <w:rFonts w:hint="eastAsia"/>
                <w:color w:val="404040" w:themeColor="text1" w:themeTint="BF"/>
                <w:szCs w:val="23"/>
              </w:rPr>
            </w:pPr>
          </w:p>
          <w:p w14:paraId="00455438" w14:textId="77777777" w:rsidR="00CD65C2" w:rsidRDefault="00FA41FC">
            <w:pPr>
              <w:pStyle w:val="Corpo"/>
              <w:jc w:val="center"/>
              <w:rPr>
                <w:rFonts w:hint="eastAsia"/>
                <w:color w:val="404040" w:themeColor="text1" w:themeTint="BF"/>
                <w:szCs w:val="23"/>
              </w:rPr>
            </w:pPr>
            <w:r>
              <w:rPr>
                <w:color w:val="404040" w:themeColor="text1" w:themeTint="BF"/>
                <w:szCs w:val="23"/>
              </w:rPr>
              <w:t>20 a 40 mg/dia</w:t>
            </w:r>
          </w:p>
        </w:tc>
        <w:tc>
          <w:tcPr>
            <w:tcW w:w="3206" w:type="dxa"/>
            <w:vAlign w:val="center"/>
          </w:tcPr>
          <w:p w14:paraId="7EBC9BF7" w14:textId="77777777" w:rsidR="00CD65C2" w:rsidRDefault="00CD65C2">
            <w:pPr>
              <w:pStyle w:val="Corpo"/>
              <w:jc w:val="center"/>
              <w:rPr>
                <w:rFonts w:hint="eastAsia"/>
                <w:color w:val="404040" w:themeColor="text1" w:themeTint="BF"/>
                <w:szCs w:val="23"/>
              </w:rPr>
            </w:pPr>
          </w:p>
          <w:p w14:paraId="24B858B5" w14:textId="56C56AA2" w:rsidR="00CD65C2" w:rsidRDefault="00FA41FC">
            <w:pPr>
              <w:pStyle w:val="Corpo"/>
              <w:jc w:val="center"/>
              <w:rPr>
                <w:rFonts w:hint="eastAsia"/>
                <w:color w:val="404040" w:themeColor="text1" w:themeTint="BF"/>
                <w:szCs w:val="23"/>
              </w:rPr>
            </w:pPr>
            <w:r>
              <w:rPr>
                <w:color w:val="404040" w:themeColor="text1" w:themeTint="BF"/>
                <w:szCs w:val="23"/>
              </w:rPr>
              <w:t xml:space="preserve">A suplementação de </w:t>
            </w:r>
            <w:r w:rsidRPr="00D1428E">
              <w:rPr>
                <w:rFonts w:hint="eastAsia"/>
                <w:i/>
                <w:iCs/>
                <w:color w:val="404040" w:themeColor="text1" w:themeTint="BF"/>
                <w:szCs w:val="23"/>
              </w:rPr>
              <w:t xml:space="preserve">Vitex </w:t>
            </w:r>
            <w:r>
              <w:rPr>
                <w:color w:val="404040" w:themeColor="text1" w:themeTint="BF"/>
                <w:szCs w:val="23"/>
              </w:rPr>
              <w:t>apresentou resultados significativos na redução dos sintomas</w:t>
            </w:r>
          </w:p>
        </w:tc>
        <w:tc>
          <w:tcPr>
            <w:tcW w:w="2324" w:type="dxa"/>
            <w:vAlign w:val="center"/>
          </w:tcPr>
          <w:p w14:paraId="4F2FD0EC" w14:textId="77777777" w:rsidR="00CD65C2" w:rsidRDefault="00CD65C2">
            <w:pPr>
              <w:pStyle w:val="Corpo"/>
              <w:jc w:val="center"/>
              <w:rPr>
                <w:rFonts w:hint="eastAsia"/>
                <w:color w:val="404040" w:themeColor="text1" w:themeTint="BF"/>
                <w:szCs w:val="23"/>
              </w:rPr>
            </w:pPr>
          </w:p>
          <w:p w14:paraId="786EDE46" w14:textId="77777777" w:rsidR="00CD65C2" w:rsidRDefault="00FA41FC">
            <w:pPr>
              <w:pStyle w:val="Corpo"/>
              <w:jc w:val="center"/>
              <w:rPr>
                <w:rFonts w:hint="eastAsia"/>
                <w:color w:val="404040" w:themeColor="text1" w:themeTint="BF"/>
                <w:szCs w:val="23"/>
              </w:rPr>
            </w:pPr>
            <w:r>
              <w:rPr>
                <w:color w:val="404040" w:themeColor="text1" w:themeTint="BF"/>
                <w:szCs w:val="23"/>
              </w:rPr>
              <w:t>Não foram observados</w:t>
            </w:r>
          </w:p>
        </w:tc>
      </w:tr>
      <w:tr w:rsidR="00CD65C2" w14:paraId="63C54C46" w14:textId="77777777">
        <w:trPr>
          <w:trHeight w:val="991"/>
        </w:trPr>
        <w:tc>
          <w:tcPr>
            <w:tcW w:w="1602" w:type="dxa"/>
            <w:vAlign w:val="center"/>
          </w:tcPr>
          <w:p w14:paraId="792B1B3C" w14:textId="77777777" w:rsidR="00CD65C2" w:rsidRDefault="00CD65C2">
            <w:pPr>
              <w:tabs>
                <w:tab w:val="left" w:pos="3210"/>
              </w:tabs>
              <w:jc w:val="center"/>
              <w:rPr>
                <w:rFonts w:ascii="Swis721 Th BT" w:hAnsi="Swis721 Th BT"/>
                <w:sz w:val="23"/>
                <w:szCs w:val="23"/>
              </w:rPr>
            </w:pPr>
          </w:p>
          <w:p w14:paraId="05C0C6C9" w14:textId="77777777" w:rsidR="00CD65C2" w:rsidRDefault="00CD65C2">
            <w:pPr>
              <w:tabs>
                <w:tab w:val="left" w:pos="3210"/>
              </w:tabs>
              <w:jc w:val="center"/>
              <w:rPr>
                <w:rFonts w:ascii="Swis721 Th BT" w:hAnsi="Swis721 Th BT"/>
                <w:sz w:val="23"/>
                <w:szCs w:val="23"/>
              </w:rPr>
            </w:pPr>
          </w:p>
          <w:p w14:paraId="4F96B568" w14:textId="77777777" w:rsidR="00CD65C2" w:rsidRDefault="00CD65C2">
            <w:pPr>
              <w:tabs>
                <w:tab w:val="left" w:pos="3210"/>
              </w:tabs>
              <w:jc w:val="center"/>
              <w:rPr>
                <w:rFonts w:ascii="Swis721 Th BT" w:hAnsi="Swis721 Th BT"/>
                <w:sz w:val="23"/>
                <w:szCs w:val="23"/>
              </w:rPr>
            </w:pPr>
          </w:p>
          <w:p w14:paraId="63BA2CF2" w14:textId="77777777" w:rsidR="00CD65C2" w:rsidRDefault="00CD65C2">
            <w:pPr>
              <w:tabs>
                <w:tab w:val="left" w:pos="3210"/>
              </w:tabs>
              <w:jc w:val="center"/>
              <w:rPr>
                <w:rFonts w:ascii="Swis721 Th BT" w:hAnsi="Swis721 Th BT"/>
                <w:sz w:val="23"/>
                <w:szCs w:val="23"/>
              </w:rPr>
            </w:pPr>
          </w:p>
          <w:p w14:paraId="785B3BC4" w14:textId="77777777" w:rsidR="00CD65C2" w:rsidRDefault="00FA41FC">
            <w:pPr>
              <w:tabs>
                <w:tab w:val="left" w:pos="3210"/>
              </w:tabs>
              <w:jc w:val="center"/>
              <w:rPr>
                <w:rFonts w:ascii="Swis721 Th BT" w:hAnsi="Swis721 Th BT"/>
                <w:color w:val="FF8501"/>
                <w:sz w:val="23"/>
                <w:szCs w:val="23"/>
              </w:rPr>
            </w:pPr>
            <w:r>
              <w:rPr>
                <w:rFonts w:ascii="Swis721 Th BT" w:hAnsi="Swis721 Th BT"/>
                <w:sz w:val="23"/>
                <w:szCs w:val="23"/>
              </w:rPr>
              <w:t xml:space="preserve">Lauritzen </w:t>
            </w:r>
            <w:r>
              <w:rPr>
                <w:rFonts w:ascii="Swis721 Th BT" w:hAnsi="Swis721 Th BT"/>
                <w:i/>
                <w:sz w:val="23"/>
                <w:szCs w:val="23"/>
              </w:rPr>
              <w:t>et al</w:t>
            </w:r>
            <w:r>
              <w:rPr>
                <w:rFonts w:ascii="Swis721 Th BT" w:hAnsi="Swis721 Th BT"/>
                <w:sz w:val="23"/>
                <w:szCs w:val="23"/>
              </w:rPr>
              <w:t>. (1997)</w:t>
            </w:r>
          </w:p>
        </w:tc>
        <w:tc>
          <w:tcPr>
            <w:tcW w:w="774" w:type="dxa"/>
            <w:vAlign w:val="center"/>
          </w:tcPr>
          <w:p w14:paraId="5F10D812" w14:textId="77777777" w:rsidR="00CD65C2" w:rsidRDefault="00CD65C2">
            <w:pPr>
              <w:pStyle w:val="Corpo"/>
              <w:jc w:val="center"/>
              <w:rPr>
                <w:rFonts w:hint="eastAsia"/>
                <w:color w:val="404040" w:themeColor="text1" w:themeTint="BF"/>
                <w:szCs w:val="23"/>
              </w:rPr>
            </w:pPr>
          </w:p>
          <w:p w14:paraId="243E0CC6" w14:textId="77777777" w:rsidR="00CD65C2" w:rsidRDefault="00CD65C2">
            <w:pPr>
              <w:jc w:val="center"/>
              <w:rPr>
                <w:rFonts w:ascii="Swis721 Th BT" w:hAnsi="Swis721 Th BT"/>
                <w:sz w:val="23"/>
                <w:szCs w:val="23"/>
              </w:rPr>
            </w:pPr>
          </w:p>
          <w:p w14:paraId="7B7CC06C" w14:textId="77777777" w:rsidR="00CD65C2" w:rsidRDefault="00CD65C2">
            <w:pPr>
              <w:jc w:val="center"/>
              <w:rPr>
                <w:rFonts w:ascii="Swis721 Th BT" w:hAnsi="Swis721 Th BT"/>
                <w:sz w:val="23"/>
                <w:szCs w:val="23"/>
              </w:rPr>
            </w:pPr>
          </w:p>
          <w:p w14:paraId="7BEEEDC9" w14:textId="77777777" w:rsidR="00CD65C2" w:rsidRDefault="00CD65C2">
            <w:pPr>
              <w:jc w:val="center"/>
              <w:rPr>
                <w:rFonts w:ascii="Swis721 Th BT" w:hAnsi="Swis721 Th BT"/>
                <w:sz w:val="23"/>
                <w:szCs w:val="23"/>
              </w:rPr>
            </w:pPr>
          </w:p>
          <w:p w14:paraId="18253048" w14:textId="77777777" w:rsidR="00CD65C2" w:rsidRDefault="00FA41FC">
            <w:pPr>
              <w:pStyle w:val="Corpo"/>
              <w:jc w:val="center"/>
              <w:rPr>
                <w:rFonts w:hint="eastAsia"/>
                <w:color w:val="404040" w:themeColor="text1" w:themeTint="BF"/>
                <w:szCs w:val="23"/>
              </w:rPr>
            </w:pPr>
            <w:r>
              <w:rPr>
                <w:color w:val="404040" w:themeColor="text1" w:themeTint="BF"/>
                <w:szCs w:val="23"/>
              </w:rPr>
              <w:t>105</w:t>
            </w:r>
          </w:p>
        </w:tc>
        <w:tc>
          <w:tcPr>
            <w:tcW w:w="1472" w:type="dxa"/>
            <w:vAlign w:val="center"/>
          </w:tcPr>
          <w:p w14:paraId="65BA0229" w14:textId="77777777" w:rsidR="00CD65C2" w:rsidRDefault="00CD65C2">
            <w:pPr>
              <w:pStyle w:val="Corpo"/>
              <w:jc w:val="center"/>
              <w:rPr>
                <w:rFonts w:hint="eastAsia"/>
                <w:color w:val="404040" w:themeColor="text1" w:themeTint="BF"/>
                <w:szCs w:val="23"/>
              </w:rPr>
            </w:pPr>
          </w:p>
          <w:p w14:paraId="2BF1CE17" w14:textId="77777777" w:rsidR="00CD65C2" w:rsidRDefault="00CD65C2">
            <w:pPr>
              <w:pStyle w:val="Corpo"/>
              <w:jc w:val="center"/>
              <w:rPr>
                <w:rFonts w:hint="eastAsia"/>
                <w:color w:val="404040" w:themeColor="text1" w:themeTint="BF"/>
                <w:szCs w:val="23"/>
              </w:rPr>
            </w:pPr>
          </w:p>
          <w:p w14:paraId="767C111C" w14:textId="77777777" w:rsidR="00CD65C2" w:rsidRDefault="00CD65C2">
            <w:pPr>
              <w:pStyle w:val="Corpo"/>
              <w:jc w:val="center"/>
              <w:rPr>
                <w:rFonts w:hint="eastAsia"/>
                <w:color w:val="404040" w:themeColor="text1" w:themeTint="BF"/>
                <w:szCs w:val="23"/>
              </w:rPr>
            </w:pPr>
          </w:p>
          <w:p w14:paraId="10A94753" w14:textId="77777777" w:rsidR="00CD65C2" w:rsidRDefault="00CD65C2">
            <w:pPr>
              <w:pStyle w:val="Corpo"/>
              <w:jc w:val="center"/>
              <w:rPr>
                <w:rFonts w:hint="eastAsia"/>
                <w:color w:val="404040" w:themeColor="text1" w:themeTint="BF"/>
                <w:szCs w:val="23"/>
              </w:rPr>
            </w:pPr>
          </w:p>
          <w:p w14:paraId="49220136" w14:textId="77777777" w:rsidR="00CD65C2" w:rsidRDefault="00FA41FC">
            <w:pPr>
              <w:pStyle w:val="Corpo"/>
              <w:jc w:val="center"/>
              <w:rPr>
                <w:rFonts w:hint="eastAsia"/>
                <w:color w:val="404040" w:themeColor="text1" w:themeTint="BF"/>
                <w:szCs w:val="23"/>
              </w:rPr>
            </w:pPr>
            <w:r>
              <w:rPr>
                <w:color w:val="404040" w:themeColor="text1" w:themeTint="BF"/>
                <w:szCs w:val="23"/>
              </w:rPr>
              <w:t>3,5 a 4,2 mg</w:t>
            </w:r>
          </w:p>
        </w:tc>
        <w:tc>
          <w:tcPr>
            <w:tcW w:w="3206" w:type="dxa"/>
            <w:vAlign w:val="center"/>
          </w:tcPr>
          <w:p w14:paraId="38954817" w14:textId="77777777" w:rsidR="00CD65C2" w:rsidRDefault="00FA41FC">
            <w:pPr>
              <w:pStyle w:val="Corpo"/>
              <w:jc w:val="center"/>
              <w:rPr>
                <w:rFonts w:hint="eastAsia"/>
                <w:color w:val="404040" w:themeColor="text1" w:themeTint="BF"/>
                <w:szCs w:val="23"/>
              </w:rPr>
            </w:pPr>
            <w:r>
              <w:rPr>
                <w:color w:val="404040" w:themeColor="text1" w:themeTint="BF"/>
                <w:szCs w:val="23"/>
              </w:rPr>
              <w:t>Os escores que medem os sintomas da SPM foram reduzidos de maneira significativa no grupo tratado com VAC (77,1%) quando comparado ao grupo controle (60,6%). O grupo tratado com VAC também teve uma redução significativa da tensão pré-menstrual.</w:t>
            </w:r>
          </w:p>
        </w:tc>
        <w:tc>
          <w:tcPr>
            <w:tcW w:w="2324" w:type="dxa"/>
            <w:vAlign w:val="center"/>
          </w:tcPr>
          <w:p w14:paraId="51FB5B2B" w14:textId="77777777" w:rsidR="00CD65C2" w:rsidRDefault="00CD65C2">
            <w:pPr>
              <w:pStyle w:val="Corpo"/>
              <w:jc w:val="center"/>
              <w:rPr>
                <w:rFonts w:hint="eastAsia"/>
                <w:color w:val="404040" w:themeColor="text1" w:themeTint="BF"/>
                <w:szCs w:val="23"/>
              </w:rPr>
            </w:pPr>
          </w:p>
          <w:p w14:paraId="32E55F08" w14:textId="77777777" w:rsidR="00CD65C2" w:rsidRDefault="00CD65C2">
            <w:pPr>
              <w:pStyle w:val="Corpo"/>
              <w:jc w:val="center"/>
              <w:rPr>
                <w:rFonts w:hint="eastAsia"/>
                <w:color w:val="404040" w:themeColor="text1" w:themeTint="BF"/>
                <w:szCs w:val="23"/>
              </w:rPr>
            </w:pPr>
          </w:p>
          <w:p w14:paraId="247B8AA7" w14:textId="77777777" w:rsidR="00CD65C2" w:rsidRDefault="00CD65C2">
            <w:pPr>
              <w:pStyle w:val="Corpo"/>
              <w:jc w:val="center"/>
              <w:rPr>
                <w:rFonts w:hint="eastAsia"/>
                <w:color w:val="404040" w:themeColor="text1" w:themeTint="BF"/>
                <w:szCs w:val="23"/>
              </w:rPr>
            </w:pPr>
          </w:p>
          <w:p w14:paraId="3282ECDB" w14:textId="77777777" w:rsidR="00CD65C2" w:rsidRDefault="00FA41FC">
            <w:pPr>
              <w:pStyle w:val="Corpo"/>
              <w:jc w:val="center"/>
              <w:rPr>
                <w:rFonts w:hint="eastAsia"/>
                <w:color w:val="404040" w:themeColor="text1" w:themeTint="BF"/>
                <w:szCs w:val="23"/>
              </w:rPr>
            </w:pPr>
            <w:r>
              <w:rPr>
                <w:color w:val="404040" w:themeColor="text1" w:themeTint="BF"/>
                <w:szCs w:val="23"/>
              </w:rPr>
              <w:t>Não foram observados</w:t>
            </w:r>
          </w:p>
        </w:tc>
      </w:tr>
      <w:tr w:rsidR="00CD65C2" w14:paraId="7976519C" w14:textId="77777777">
        <w:trPr>
          <w:trHeight w:val="991"/>
        </w:trPr>
        <w:tc>
          <w:tcPr>
            <w:tcW w:w="1602" w:type="dxa"/>
            <w:vAlign w:val="center"/>
          </w:tcPr>
          <w:p w14:paraId="230BF48B" w14:textId="77777777" w:rsidR="00CD65C2" w:rsidRDefault="00CD65C2">
            <w:pPr>
              <w:tabs>
                <w:tab w:val="left" w:pos="3210"/>
              </w:tabs>
              <w:jc w:val="center"/>
              <w:rPr>
                <w:rFonts w:ascii="Swis721 Th BT" w:hAnsi="Swis721 Th BT" w:cstheme="minorHAnsi"/>
                <w:color w:val="FF8501"/>
                <w:sz w:val="23"/>
                <w:szCs w:val="23"/>
              </w:rPr>
            </w:pPr>
          </w:p>
          <w:p w14:paraId="1CB14D8B" w14:textId="77777777" w:rsidR="00CD65C2" w:rsidRDefault="00FA41FC">
            <w:pPr>
              <w:tabs>
                <w:tab w:val="left" w:pos="3210"/>
              </w:tabs>
              <w:jc w:val="center"/>
              <w:rPr>
                <w:rFonts w:ascii="Swis721 Th BT" w:hAnsi="Swis721 Th BT" w:cstheme="minorHAnsi"/>
                <w:sz w:val="23"/>
                <w:szCs w:val="23"/>
              </w:rPr>
            </w:pPr>
            <w:r>
              <w:rPr>
                <w:rFonts w:ascii="Swis721 Th BT" w:hAnsi="Swis721 Th BT" w:cstheme="minorHAnsi"/>
                <w:sz w:val="23"/>
                <w:szCs w:val="23"/>
              </w:rPr>
              <w:t xml:space="preserve">Ciotta </w:t>
            </w:r>
            <w:r>
              <w:rPr>
                <w:rFonts w:ascii="Swis721 Th BT" w:hAnsi="Swis721 Th BT" w:cstheme="minorHAnsi"/>
                <w:i/>
                <w:sz w:val="23"/>
                <w:szCs w:val="23"/>
              </w:rPr>
              <w:t>et al</w:t>
            </w:r>
            <w:r>
              <w:rPr>
                <w:rFonts w:ascii="Swis721 Th BT" w:hAnsi="Swis721 Th BT" w:cstheme="minorHAnsi"/>
                <w:sz w:val="23"/>
                <w:szCs w:val="23"/>
              </w:rPr>
              <w:t>. (2011)</w:t>
            </w:r>
          </w:p>
        </w:tc>
        <w:tc>
          <w:tcPr>
            <w:tcW w:w="774" w:type="dxa"/>
            <w:vAlign w:val="center"/>
          </w:tcPr>
          <w:p w14:paraId="58F88731" w14:textId="77777777" w:rsidR="00CD65C2" w:rsidRDefault="00CD65C2">
            <w:pPr>
              <w:pStyle w:val="Corpo"/>
              <w:jc w:val="center"/>
              <w:rPr>
                <w:rFonts w:hint="eastAsia"/>
                <w:color w:val="404040" w:themeColor="text1" w:themeTint="BF"/>
                <w:szCs w:val="23"/>
              </w:rPr>
            </w:pPr>
          </w:p>
          <w:p w14:paraId="51673765" w14:textId="77777777" w:rsidR="00CD65C2" w:rsidRDefault="00FA41FC">
            <w:pPr>
              <w:pStyle w:val="Corpo"/>
              <w:jc w:val="center"/>
              <w:rPr>
                <w:rFonts w:hint="eastAsia"/>
                <w:color w:val="404040" w:themeColor="text1" w:themeTint="BF"/>
                <w:szCs w:val="23"/>
              </w:rPr>
            </w:pPr>
            <w:r>
              <w:rPr>
                <w:color w:val="404040" w:themeColor="text1" w:themeTint="BF"/>
                <w:szCs w:val="23"/>
              </w:rPr>
              <w:t>57</w:t>
            </w:r>
          </w:p>
        </w:tc>
        <w:tc>
          <w:tcPr>
            <w:tcW w:w="1472" w:type="dxa"/>
            <w:vAlign w:val="center"/>
          </w:tcPr>
          <w:p w14:paraId="7FC4FA4D" w14:textId="77777777" w:rsidR="00CD65C2" w:rsidRDefault="00CD65C2">
            <w:pPr>
              <w:pStyle w:val="Corpo"/>
              <w:jc w:val="center"/>
              <w:rPr>
                <w:rFonts w:hint="eastAsia"/>
                <w:color w:val="404040" w:themeColor="text1" w:themeTint="BF"/>
                <w:szCs w:val="23"/>
              </w:rPr>
            </w:pPr>
          </w:p>
          <w:p w14:paraId="42C3494B" w14:textId="77777777" w:rsidR="00CD65C2" w:rsidRDefault="00FA41FC">
            <w:pPr>
              <w:pStyle w:val="Corpo"/>
              <w:jc w:val="center"/>
              <w:rPr>
                <w:rFonts w:hint="eastAsia"/>
                <w:color w:val="404040" w:themeColor="text1" w:themeTint="BF"/>
                <w:szCs w:val="23"/>
              </w:rPr>
            </w:pPr>
            <w:r>
              <w:rPr>
                <w:color w:val="404040" w:themeColor="text1" w:themeTint="BF"/>
                <w:szCs w:val="23"/>
              </w:rPr>
              <w:t>40 mg/dia</w:t>
            </w:r>
          </w:p>
        </w:tc>
        <w:tc>
          <w:tcPr>
            <w:tcW w:w="3206" w:type="dxa"/>
            <w:vAlign w:val="center"/>
          </w:tcPr>
          <w:p w14:paraId="58DF9CAF" w14:textId="77777777" w:rsidR="00CD65C2" w:rsidRDefault="00CD65C2">
            <w:pPr>
              <w:pStyle w:val="Corpo"/>
              <w:jc w:val="center"/>
              <w:rPr>
                <w:rFonts w:hint="eastAsia"/>
                <w:color w:val="404040" w:themeColor="text1" w:themeTint="BF"/>
                <w:szCs w:val="23"/>
              </w:rPr>
            </w:pPr>
          </w:p>
          <w:p w14:paraId="158AC8A2" w14:textId="77777777" w:rsidR="00CD65C2" w:rsidRDefault="00FA41FC">
            <w:pPr>
              <w:pStyle w:val="Corpo"/>
              <w:jc w:val="center"/>
              <w:rPr>
                <w:rFonts w:hint="eastAsia"/>
                <w:color w:val="404040" w:themeColor="text1" w:themeTint="BF"/>
                <w:szCs w:val="23"/>
              </w:rPr>
            </w:pPr>
            <w:r>
              <w:rPr>
                <w:color w:val="404040" w:themeColor="text1" w:themeTint="BF"/>
                <w:szCs w:val="23"/>
              </w:rPr>
              <w:t xml:space="preserve">Houve significativa melhora dos sintomas no grupo </w:t>
            </w:r>
            <w:r w:rsidRPr="00D1428E">
              <w:rPr>
                <w:rFonts w:hint="eastAsia"/>
                <w:i/>
                <w:iCs/>
                <w:color w:val="404040" w:themeColor="text1" w:themeTint="BF"/>
                <w:szCs w:val="23"/>
              </w:rPr>
              <w:t>Vitex</w:t>
            </w:r>
            <w:r>
              <w:rPr>
                <w:color w:val="404040" w:themeColor="text1" w:themeTint="BF"/>
                <w:szCs w:val="23"/>
              </w:rPr>
              <w:t>.</w:t>
            </w:r>
          </w:p>
        </w:tc>
        <w:tc>
          <w:tcPr>
            <w:tcW w:w="2324" w:type="dxa"/>
            <w:vAlign w:val="center"/>
          </w:tcPr>
          <w:p w14:paraId="083FA747" w14:textId="77777777" w:rsidR="00CD65C2" w:rsidRDefault="00CD65C2">
            <w:pPr>
              <w:pStyle w:val="Corpo"/>
              <w:jc w:val="center"/>
              <w:rPr>
                <w:rFonts w:hint="eastAsia"/>
                <w:color w:val="404040" w:themeColor="text1" w:themeTint="BF"/>
                <w:szCs w:val="23"/>
              </w:rPr>
            </w:pPr>
          </w:p>
          <w:p w14:paraId="0D00F9A8" w14:textId="77777777" w:rsidR="00CD65C2" w:rsidRDefault="00FA41FC">
            <w:pPr>
              <w:pStyle w:val="Corpo"/>
              <w:jc w:val="center"/>
              <w:rPr>
                <w:rFonts w:hint="eastAsia"/>
                <w:color w:val="404040" w:themeColor="text1" w:themeTint="BF"/>
                <w:szCs w:val="23"/>
              </w:rPr>
            </w:pPr>
            <w:r>
              <w:rPr>
                <w:color w:val="404040" w:themeColor="text1" w:themeTint="BF"/>
                <w:szCs w:val="23"/>
              </w:rPr>
              <w:t>Não foram observados</w:t>
            </w:r>
          </w:p>
        </w:tc>
      </w:tr>
      <w:tr w:rsidR="00CD65C2" w14:paraId="26FAD934" w14:textId="77777777">
        <w:trPr>
          <w:trHeight w:val="991"/>
        </w:trPr>
        <w:tc>
          <w:tcPr>
            <w:tcW w:w="1602" w:type="dxa"/>
            <w:vAlign w:val="center"/>
          </w:tcPr>
          <w:p w14:paraId="4B25B49F" w14:textId="77777777" w:rsidR="00CD65C2" w:rsidRDefault="00CD65C2">
            <w:pPr>
              <w:tabs>
                <w:tab w:val="left" w:pos="3210"/>
              </w:tabs>
              <w:jc w:val="center"/>
              <w:rPr>
                <w:rFonts w:ascii="Swis721 Th BT" w:hAnsi="Swis721 Th BT"/>
                <w:sz w:val="23"/>
                <w:szCs w:val="23"/>
              </w:rPr>
            </w:pPr>
          </w:p>
          <w:p w14:paraId="008F27C9" w14:textId="77777777" w:rsidR="00CD65C2" w:rsidRDefault="00FA41FC">
            <w:pPr>
              <w:tabs>
                <w:tab w:val="left" w:pos="3210"/>
              </w:tabs>
              <w:jc w:val="center"/>
              <w:rPr>
                <w:rFonts w:ascii="Swis721 Th BT" w:hAnsi="Swis721 Th BT" w:cstheme="minorHAnsi"/>
                <w:color w:val="FF8501"/>
                <w:sz w:val="23"/>
                <w:szCs w:val="23"/>
              </w:rPr>
            </w:pPr>
            <w:r>
              <w:rPr>
                <w:rFonts w:ascii="Swis721 Th BT" w:hAnsi="Swis721 Th BT"/>
                <w:sz w:val="23"/>
                <w:szCs w:val="23"/>
              </w:rPr>
              <w:t xml:space="preserve">Momoeda </w:t>
            </w:r>
            <w:r>
              <w:rPr>
                <w:rFonts w:ascii="Swis721 Th BT" w:hAnsi="Swis721 Th BT"/>
                <w:i/>
                <w:sz w:val="23"/>
                <w:szCs w:val="23"/>
              </w:rPr>
              <w:t>et al</w:t>
            </w:r>
            <w:r>
              <w:rPr>
                <w:rFonts w:ascii="Swis721 Th BT" w:hAnsi="Swis721 Th BT"/>
                <w:sz w:val="23"/>
                <w:szCs w:val="23"/>
              </w:rPr>
              <w:t>. (2014)</w:t>
            </w:r>
          </w:p>
        </w:tc>
        <w:tc>
          <w:tcPr>
            <w:tcW w:w="774" w:type="dxa"/>
            <w:vAlign w:val="center"/>
          </w:tcPr>
          <w:p w14:paraId="0EF5EC57" w14:textId="77777777" w:rsidR="00CD65C2" w:rsidRDefault="00CD65C2">
            <w:pPr>
              <w:pStyle w:val="Corpo"/>
              <w:jc w:val="center"/>
              <w:rPr>
                <w:rFonts w:hint="eastAsia"/>
                <w:color w:val="404040" w:themeColor="text1" w:themeTint="BF"/>
                <w:szCs w:val="23"/>
              </w:rPr>
            </w:pPr>
          </w:p>
          <w:p w14:paraId="0B78806E" w14:textId="77777777" w:rsidR="00CD65C2" w:rsidRDefault="00FA41FC">
            <w:pPr>
              <w:pStyle w:val="Corpo"/>
              <w:jc w:val="center"/>
              <w:rPr>
                <w:rFonts w:hint="eastAsia"/>
                <w:color w:val="404040" w:themeColor="text1" w:themeTint="BF"/>
                <w:szCs w:val="23"/>
              </w:rPr>
            </w:pPr>
            <w:r>
              <w:rPr>
                <w:color w:val="404040" w:themeColor="text1" w:themeTint="BF"/>
                <w:szCs w:val="23"/>
              </w:rPr>
              <w:t>69</w:t>
            </w:r>
          </w:p>
        </w:tc>
        <w:tc>
          <w:tcPr>
            <w:tcW w:w="1472" w:type="dxa"/>
            <w:vAlign w:val="center"/>
          </w:tcPr>
          <w:p w14:paraId="28E3AB21" w14:textId="77777777" w:rsidR="00CD65C2" w:rsidRDefault="00CD65C2">
            <w:pPr>
              <w:pStyle w:val="Corpo"/>
              <w:jc w:val="center"/>
              <w:rPr>
                <w:rFonts w:hint="eastAsia"/>
                <w:color w:val="404040" w:themeColor="text1" w:themeTint="BF"/>
                <w:szCs w:val="23"/>
              </w:rPr>
            </w:pPr>
          </w:p>
          <w:p w14:paraId="4128E4CC" w14:textId="77777777" w:rsidR="00CD65C2" w:rsidRDefault="00FA41FC">
            <w:pPr>
              <w:pStyle w:val="Corpo"/>
              <w:jc w:val="center"/>
              <w:rPr>
                <w:rFonts w:hint="eastAsia"/>
                <w:color w:val="404040" w:themeColor="text1" w:themeTint="BF"/>
                <w:szCs w:val="23"/>
              </w:rPr>
            </w:pPr>
            <w:r>
              <w:rPr>
                <w:color w:val="404040" w:themeColor="text1" w:themeTint="BF"/>
                <w:szCs w:val="23"/>
              </w:rPr>
              <w:t>20 mg/dia</w:t>
            </w:r>
          </w:p>
        </w:tc>
        <w:tc>
          <w:tcPr>
            <w:tcW w:w="3206" w:type="dxa"/>
            <w:vAlign w:val="center"/>
          </w:tcPr>
          <w:p w14:paraId="58DE3319" w14:textId="77777777" w:rsidR="00CD65C2" w:rsidRDefault="00CD65C2">
            <w:pPr>
              <w:pStyle w:val="Corpo"/>
              <w:jc w:val="center"/>
              <w:rPr>
                <w:rFonts w:hint="eastAsia"/>
                <w:color w:val="404040" w:themeColor="text1" w:themeTint="BF"/>
                <w:szCs w:val="23"/>
              </w:rPr>
            </w:pPr>
          </w:p>
          <w:p w14:paraId="5F5B2517" w14:textId="77777777" w:rsidR="00CD65C2" w:rsidRDefault="00FA41FC">
            <w:pPr>
              <w:pStyle w:val="Corpo"/>
              <w:jc w:val="center"/>
              <w:rPr>
                <w:rFonts w:hint="eastAsia"/>
                <w:color w:val="404040" w:themeColor="text1" w:themeTint="BF"/>
                <w:szCs w:val="23"/>
              </w:rPr>
            </w:pPr>
            <w:r>
              <w:rPr>
                <w:color w:val="404040" w:themeColor="text1" w:themeTint="BF"/>
                <w:szCs w:val="23"/>
              </w:rPr>
              <w:t>Redução dos sintomas da SPM e dos níveis de prolactina.</w:t>
            </w:r>
          </w:p>
        </w:tc>
        <w:tc>
          <w:tcPr>
            <w:tcW w:w="2324" w:type="dxa"/>
            <w:vAlign w:val="center"/>
          </w:tcPr>
          <w:p w14:paraId="46AAC97C" w14:textId="77777777" w:rsidR="00CD65C2" w:rsidRDefault="00CD65C2">
            <w:pPr>
              <w:pStyle w:val="Corpo"/>
              <w:jc w:val="center"/>
              <w:rPr>
                <w:rFonts w:hint="eastAsia"/>
                <w:color w:val="404040" w:themeColor="text1" w:themeTint="BF"/>
                <w:szCs w:val="23"/>
              </w:rPr>
            </w:pPr>
          </w:p>
          <w:p w14:paraId="210063A1" w14:textId="77777777" w:rsidR="00CD65C2" w:rsidRDefault="00FA41FC">
            <w:pPr>
              <w:pStyle w:val="Corpo"/>
              <w:jc w:val="center"/>
              <w:rPr>
                <w:rFonts w:hint="eastAsia"/>
                <w:color w:val="404040" w:themeColor="text1" w:themeTint="BF"/>
                <w:szCs w:val="23"/>
              </w:rPr>
            </w:pPr>
            <w:r>
              <w:rPr>
                <w:color w:val="404040" w:themeColor="text1" w:themeTint="BF"/>
                <w:szCs w:val="23"/>
              </w:rPr>
              <w:t>Não foram observados</w:t>
            </w:r>
          </w:p>
        </w:tc>
      </w:tr>
    </w:tbl>
    <w:p w14:paraId="006B5ED6" w14:textId="77777777" w:rsidR="00CD65C2" w:rsidRDefault="00CD65C2">
      <w:pPr>
        <w:pStyle w:val="Corpo"/>
        <w:rPr>
          <w:rFonts w:hint="eastAsia"/>
          <w:color w:val="404040" w:themeColor="text1" w:themeTint="BF"/>
        </w:rPr>
      </w:pPr>
    </w:p>
    <w:p w14:paraId="3221DB09" w14:textId="77777777" w:rsidR="00CD65C2" w:rsidRDefault="00FA41FC">
      <w:pPr>
        <w:pStyle w:val="Ttulo1"/>
        <w:jc w:val="center"/>
        <w:rPr>
          <w:rFonts w:hint="eastAsia"/>
        </w:rPr>
      </w:pPr>
      <w:bookmarkStart w:id="11" w:name="_Toc165537163"/>
      <w:r>
        <w:t>Formulário</w:t>
      </w:r>
      <w:bookmarkEnd w:id="11"/>
    </w:p>
    <w:p w14:paraId="57DCB0F3" w14:textId="77777777" w:rsidR="00CD65C2" w:rsidRDefault="00CD65C2">
      <w:pPr>
        <w:pStyle w:val="Corpo"/>
        <w:rPr>
          <w:rFonts w:hint="eastAsia"/>
          <w:b/>
          <w:i/>
          <w:color w:val="404040" w:themeColor="text1" w:themeTint="BF"/>
        </w:rPr>
      </w:pPr>
    </w:p>
    <w:p w14:paraId="487D46F6" w14:textId="77777777" w:rsidR="00CD65C2" w:rsidRDefault="00CD65C2">
      <w:pPr>
        <w:pStyle w:val="Corpo"/>
        <w:rPr>
          <w:rFonts w:hint="eastAsia"/>
          <w:b/>
          <w:i/>
          <w:color w:val="404040" w:themeColor="text1" w:themeTint="BF"/>
          <w:sz w:val="24"/>
        </w:rPr>
      </w:pPr>
    </w:p>
    <w:p w14:paraId="09182416" w14:textId="77777777" w:rsidR="00CD65C2" w:rsidRDefault="00FA41FC">
      <w:pPr>
        <w:pStyle w:val="Corpo"/>
        <w:rPr>
          <w:rFonts w:hint="eastAsia"/>
          <w:b/>
          <w:i/>
          <w:color w:val="404040" w:themeColor="text1" w:themeTint="BF"/>
          <w:sz w:val="24"/>
        </w:rPr>
      </w:pPr>
      <w:r>
        <w:rPr>
          <w:b/>
          <w:i/>
          <w:color w:val="404040" w:themeColor="text1" w:themeTint="BF"/>
          <w:sz w:val="24"/>
        </w:rPr>
        <w:t>Uso de</w:t>
      </w:r>
      <w:r w:rsidRPr="00D1428E">
        <w:rPr>
          <w:rFonts w:hint="eastAsia"/>
          <w:b/>
          <w:iCs/>
          <w:color w:val="404040" w:themeColor="text1" w:themeTint="BF"/>
          <w:sz w:val="24"/>
        </w:rPr>
        <w:t xml:space="preserve"> Vitex Agnus Castus</w:t>
      </w:r>
      <w:r>
        <w:rPr>
          <w:b/>
          <w:i/>
          <w:color w:val="404040" w:themeColor="text1" w:themeTint="BF"/>
          <w:sz w:val="24"/>
        </w:rPr>
        <w:t xml:space="preserve"> trata os Sintomas da SPM</w:t>
      </w:r>
    </w:p>
    <w:p w14:paraId="7E2D15DD"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55EDAABE"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22ACB021" w14:textId="77777777" w:rsidR="00CD65C2" w:rsidRDefault="00FA41FC">
            <w:pPr>
              <w:pStyle w:val="Corpo"/>
              <w:jc w:val="center"/>
              <w:rPr>
                <w:rFonts w:hint="eastAsia"/>
                <w:b/>
                <w:color w:val="FFFFFF" w:themeColor="background1"/>
              </w:rPr>
            </w:pPr>
            <w:r>
              <w:rPr>
                <w:b/>
                <w:color w:val="FFFFFF" w:themeColor="background1"/>
                <w:sz w:val="22"/>
              </w:rPr>
              <w:t xml:space="preserve">Cápsulas de </w:t>
            </w:r>
            <w:r>
              <w:rPr>
                <w:b/>
                <w:i/>
                <w:color w:val="FFFFFF" w:themeColor="background1"/>
                <w:sz w:val="22"/>
              </w:rPr>
              <w:t>Vitex Agnus Castus</w:t>
            </w:r>
          </w:p>
        </w:tc>
      </w:tr>
      <w:tr w:rsidR="00CD65C2" w14:paraId="619E3B41"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9BC232D" w14:textId="77777777" w:rsidR="00CD65C2" w:rsidRDefault="00FA41FC">
            <w:pPr>
              <w:pStyle w:val="Corpo"/>
              <w:spacing w:after="0"/>
              <w:rPr>
                <w:rFonts w:hint="eastAsia"/>
                <w:color w:val="404040" w:themeColor="text1" w:themeTint="BF"/>
                <w:lang w:val="en-US"/>
              </w:rPr>
            </w:pPr>
            <w:r>
              <w:rPr>
                <w:i/>
                <w:color w:val="auto"/>
                <w:szCs w:val="23"/>
                <w:lang w:val="en-US"/>
                <w14:textFill>
                  <w14:solidFill>
                    <w14:srgbClr w14:val="000000">
                      <w14:lumMod w14:val="75000"/>
                      <w14:lumOff w14:val="25000"/>
                    </w14:srgbClr>
                  </w14:solidFill>
                </w14:textFill>
              </w:rPr>
              <w:t>Vitex agnus castus</w:t>
            </w:r>
            <w:r>
              <w:rPr>
                <w:color w:val="404040" w:themeColor="text1" w:themeTint="BF"/>
                <w:lang w:val="en-US"/>
              </w:rPr>
              <w:t>............................40 mg</w:t>
            </w:r>
          </w:p>
        </w:tc>
      </w:tr>
      <w:tr w:rsidR="00CD65C2" w14:paraId="4B3D22A5"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E541883" w14:textId="6E98A922" w:rsidR="00CD65C2" w:rsidRDefault="00FA41FC">
            <w:pPr>
              <w:pStyle w:val="Corpo"/>
              <w:rPr>
                <w:rFonts w:hint="eastAsia"/>
                <w:color w:val="404040" w:themeColor="text1" w:themeTint="BF"/>
              </w:rPr>
            </w:pPr>
            <w:r>
              <w:rPr>
                <w:color w:val="404040" w:themeColor="text1" w:themeTint="BF"/>
              </w:rPr>
              <w:t>Excipiente q.s.p. ........................1 Cápsula</w:t>
            </w:r>
          </w:p>
        </w:tc>
      </w:tr>
    </w:tbl>
    <w:p w14:paraId="0366F19B" w14:textId="77777777" w:rsidR="00CD65C2" w:rsidRDefault="00FA41FC">
      <w:pPr>
        <w:pStyle w:val="Corpo"/>
        <w:tabs>
          <w:tab w:val="left" w:pos="7797"/>
        </w:tabs>
        <w:ind w:right="4818"/>
        <w:jc w:val="center"/>
        <w:rPr>
          <w:rFonts w:hint="eastAsia"/>
          <w:b/>
          <w:i/>
          <w:color w:val="404040" w:themeColor="text1" w:themeTint="BF"/>
          <w:sz w:val="22"/>
          <w:szCs w:val="22"/>
        </w:rPr>
      </w:pPr>
      <w:r>
        <w:rPr>
          <w:color w:val="404040" w:themeColor="text1" w:themeTint="BF"/>
          <w:sz w:val="22"/>
          <w:szCs w:val="22"/>
        </w:rPr>
        <w:t>Administrar 1 cápsula ao dia ou conforme a orientação médica.</w:t>
      </w:r>
    </w:p>
    <w:p w14:paraId="1F4F7CBC" w14:textId="77777777" w:rsidR="00CD65C2" w:rsidRDefault="00CD65C2">
      <w:pPr>
        <w:pStyle w:val="SemEspaamento"/>
      </w:pPr>
    </w:p>
    <w:p w14:paraId="4770FF54" w14:textId="77777777" w:rsidR="00CD65C2" w:rsidRDefault="00CD65C2">
      <w:pPr>
        <w:pStyle w:val="SemEspaamento"/>
      </w:pPr>
    </w:p>
    <w:p w14:paraId="55001AD9" w14:textId="77777777" w:rsidR="00CD65C2" w:rsidRDefault="00CD65C2">
      <w:pPr>
        <w:pStyle w:val="SemEspaamento"/>
      </w:pPr>
    </w:p>
    <w:p w14:paraId="0012CECD" w14:textId="77777777" w:rsidR="00CD65C2" w:rsidRDefault="00CD65C2">
      <w:pPr>
        <w:pStyle w:val="SemEspaamento"/>
      </w:pPr>
    </w:p>
    <w:p w14:paraId="6C944B63" w14:textId="77777777" w:rsidR="00CD65C2" w:rsidRDefault="00CD65C2">
      <w:pPr>
        <w:pStyle w:val="SemEspaamento"/>
      </w:pPr>
    </w:p>
    <w:p w14:paraId="101D08A9" w14:textId="77777777" w:rsidR="00CD65C2" w:rsidRDefault="00CD65C2">
      <w:pPr>
        <w:pStyle w:val="SemEspaamento"/>
      </w:pPr>
    </w:p>
    <w:p w14:paraId="44E1E7AD" w14:textId="77777777" w:rsidR="00CD65C2" w:rsidRDefault="00CD65C2">
      <w:pPr>
        <w:pStyle w:val="SemEspaamento"/>
      </w:pPr>
    </w:p>
    <w:p w14:paraId="2981BF1A" w14:textId="77777777" w:rsidR="00CD65C2" w:rsidRDefault="00CD65C2">
      <w:pPr>
        <w:pStyle w:val="SemEspaamento"/>
      </w:pPr>
    </w:p>
    <w:p w14:paraId="718D0775" w14:textId="77777777" w:rsidR="00CD65C2" w:rsidRDefault="00CD65C2">
      <w:pPr>
        <w:pStyle w:val="SemEspaamento"/>
      </w:pPr>
    </w:p>
    <w:p w14:paraId="4A640A7D" w14:textId="77777777" w:rsidR="00CD65C2" w:rsidRDefault="00CD65C2">
      <w:pPr>
        <w:pStyle w:val="SemEspaamento"/>
      </w:pPr>
    </w:p>
    <w:p w14:paraId="7AF34854" w14:textId="77777777" w:rsidR="00CD65C2" w:rsidRDefault="00CD65C2">
      <w:pPr>
        <w:pStyle w:val="SemEspaamento"/>
      </w:pPr>
    </w:p>
    <w:p w14:paraId="622AC66F" w14:textId="77777777" w:rsidR="00CD65C2" w:rsidRDefault="00CD65C2">
      <w:pPr>
        <w:pStyle w:val="SemEspaamento"/>
      </w:pPr>
    </w:p>
    <w:p w14:paraId="1E0B7D59" w14:textId="77777777" w:rsidR="00CD65C2" w:rsidRDefault="00CD65C2">
      <w:pPr>
        <w:pStyle w:val="SemEspaamento"/>
      </w:pPr>
    </w:p>
    <w:p w14:paraId="39D47DD3" w14:textId="77777777" w:rsidR="00CD65C2" w:rsidRDefault="00CD65C2">
      <w:pPr>
        <w:pStyle w:val="SemEspaamento"/>
      </w:pPr>
    </w:p>
    <w:p w14:paraId="27EBCDDD" w14:textId="77777777" w:rsidR="00CD65C2" w:rsidRDefault="00CD65C2">
      <w:pPr>
        <w:pStyle w:val="SemEspaamento"/>
      </w:pPr>
    </w:p>
    <w:p w14:paraId="1C455255" w14:textId="77777777" w:rsidR="00CD65C2" w:rsidRDefault="00CD65C2">
      <w:pPr>
        <w:pStyle w:val="SemEspaamento"/>
      </w:pPr>
    </w:p>
    <w:p w14:paraId="2A743F74" w14:textId="77777777" w:rsidR="00CD65C2" w:rsidRDefault="00CD65C2">
      <w:pPr>
        <w:pStyle w:val="SemEspaamento"/>
      </w:pPr>
    </w:p>
    <w:p w14:paraId="48B2FDF0" w14:textId="77777777" w:rsidR="00CD65C2" w:rsidRDefault="00CD65C2">
      <w:pPr>
        <w:pStyle w:val="SemEspaamento"/>
      </w:pPr>
    </w:p>
    <w:p w14:paraId="15C4ADE4" w14:textId="77777777" w:rsidR="00CD65C2" w:rsidRDefault="00CD65C2">
      <w:pPr>
        <w:pStyle w:val="SemEspaamento"/>
      </w:pPr>
    </w:p>
    <w:p w14:paraId="354FC52B" w14:textId="77777777" w:rsidR="00CD65C2" w:rsidRDefault="00CD65C2">
      <w:pPr>
        <w:pStyle w:val="SemEspaamento"/>
      </w:pPr>
    </w:p>
    <w:p w14:paraId="504BC515" w14:textId="77777777" w:rsidR="00CD65C2" w:rsidRDefault="00CD65C2">
      <w:pPr>
        <w:pStyle w:val="SemEspaamento"/>
      </w:pPr>
    </w:p>
    <w:p w14:paraId="05D494E4" w14:textId="77777777" w:rsidR="00CD65C2" w:rsidRDefault="00CD65C2">
      <w:pPr>
        <w:pStyle w:val="SemEspaamento"/>
      </w:pPr>
    </w:p>
    <w:p w14:paraId="4760B5A3" w14:textId="77777777" w:rsidR="00CD65C2" w:rsidRDefault="00CD65C2">
      <w:pPr>
        <w:pStyle w:val="SemEspaamento"/>
      </w:pPr>
    </w:p>
    <w:p w14:paraId="6424FAA4" w14:textId="77777777" w:rsidR="00CD65C2" w:rsidRDefault="00CD65C2">
      <w:pPr>
        <w:pStyle w:val="SemEspaamento"/>
      </w:pPr>
    </w:p>
    <w:p w14:paraId="79B049E7" w14:textId="77777777" w:rsidR="00CD65C2" w:rsidRDefault="00CD65C2">
      <w:pPr>
        <w:pStyle w:val="SemEspaamento"/>
      </w:pPr>
    </w:p>
    <w:p w14:paraId="7B102B6F" w14:textId="77777777" w:rsidR="00CD65C2" w:rsidRDefault="00CD65C2">
      <w:pPr>
        <w:pStyle w:val="SemEspaamento"/>
      </w:pPr>
    </w:p>
    <w:p w14:paraId="365F3FBB" w14:textId="77777777" w:rsidR="00CD65C2" w:rsidRDefault="00CD65C2">
      <w:pPr>
        <w:pStyle w:val="SemEspaamento"/>
      </w:pPr>
    </w:p>
    <w:p w14:paraId="7F1CACE4" w14:textId="77777777" w:rsidR="00CD65C2" w:rsidRDefault="00CD65C2">
      <w:pPr>
        <w:pStyle w:val="SemEspaamento"/>
      </w:pPr>
    </w:p>
    <w:p w14:paraId="0A219D5E" w14:textId="77777777" w:rsidR="00CD65C2" w:rsidRDefault="00CD65C2">
      <w:pPr>
        <w:pStyle w:val="SemEspaamento"/>
      </w:pPr>
    </w:p>
    <w:p w14:paraId="469EE069" w14:textId="77777777" w:rsidR="00CD65C2" w:rsidRDefault="00CD65C2">
      <w:pPr>
        <w:pStyle w:val="SemEspaamento"/>
      </w:pPr>
    </w:p>
    <w:p w14:paraId="5813FE00" w14:textId="77777777" w:rsidR="00CD65C2" w:rsidRDefault="00CD65C2">
      <w:pPr>
        <w:pStyle w:val="SemEspaamento"/>
      </w:pPr>
    </w:p>
    <w:p w14:paraId="12042862" w14:textId="77777777" w:rsidR="00CD65C2" w:rsidRDefault="00CD65C2">
      <w:pPr>
        <w:pStyle w:val="SemEspaamento"/>
      </w:pPr>
    </w:p>
    <w:p w14:paraId="448DFE09" w14:textId="77777777" w:rsidR="00CD65C2" w:rsidRDefault="00FA41FC">
      <w:pPr>
        <w:pStyle w:val="Ttulo1"/>
        <w:jc w:val="center"/>
        <w:rPr>
          <w:rFonts w:hint="eastAsia"/>
        </w:rPr>
      </w:pPr>
      <w:bookmarkStart w:id="12" w:name="_Toc165537164"/>
      <w:r>
        <w:t>Melatonina</w:t>
      </w:r>
      <w:bookmarkEnd w:id="12"/>
    </w:p>
    <w:p w14:paraId="16576F39" w14:textId="77777777" w:rsidR="00CD65C2" w:rsidRDefault="00FA41FC">
      <w:pPr>
        <w:pStyle w:val="Subtitulocorpo"/>
        <w:rPr>
          <w:rFonts w:hint="eastAsia"/>
        </w:rPr>
      </w:pPr>
      <w:r>
        <w:t>Promove Melhora da Qualidade do Sono em Pacientes com Transtorno Disfórico Pré-menstrual</w:t>
      </w:r>
    </w:p>
    <w:p w14:paraId="335289EA" w14:textId="77777777" w:rsidR="00CD65C2" w:rsidRDefault="00CD65C2">
      <w:pPr>
        <w:pStyle w:val="Corpo"/>
        <w:rPr>
          <w:rFonts w:hint="eastAsia"/>
          <w:b/>
          <w:color w:val="0070C0"/>
          <w14:textFill>
            <w14:solidFill>
              <w14:srgbClr w14:val="0070C0">
                <w14:lumMod w14:val="75000"/>
                <w14:lumOff w14:val="25000"/>
              </w14:srgbClr>
            </w14:solidFill>
          </w14:textFill>
        </w:rPr>
      </w:pPr>
    </w:p>
    <w:p w14:paraId="0081B64B" w14:textId="3DC8A292" w:rsidR="00CD65C2" w:rsidRDefault="00FA41FC">
      <w:pPr>
        <w:pStyle w:val="Subtitulocorpo"/>
        <w:jc w:val="both"/>
        <w:rPr>
          <w:rFonts w:hint="eastAsia"/>
          <w:b w:val="0"/>
          <w:color w:val="404040" w:themeColor="text1" w:themeTint="BF"/>
          <w:sz w:val="24"/>
          <w:szCs w:val="24"/>
        </w:rPr>
      </w:pPr>
      <w:r>
        <w:rPr>
          <w:b w:val="0"/>
          <w:color w:val="404040" w:themeColor="text1" w:themeTint="BF"/>
          <w:sz w:val="24"/>
          <w:szCs w:val="24"/>
        </w:rPr>
        <w:t xml:space="preserve">Este estudo teve como objetivo avaliar os efeitos da suplementação de melatonina em mulheres com transtorno disfórico pré-menstrual, TDPM </w:t>
      </w:r>
      <w:r>
        <w:rPr>
          <w:b w:val="0"/>
          <w:color w:val="404040" w:themeColor="text1" w:themeTint="BF"/>
          <w:sz w:val="24"/>
          <w:szCs w:val="24"/>
        </w:rPr>
        <w:fldChar w:fldCharType="begin">
          <w:fldData xml:space="preserve">PEVuZE5vdGU+PENpdGU+PEF1dGhvcj5Nb2RlcmllPC9BdXRob3I+PFllYXI+MjAyMTwvWWVhcj48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</w:fldData>
        </w:fldChar>
      </w:r>
      <w:r>
        <w:rPr>
          <w:b w:val="0"/>
          <w:color w:val="404040" w:themeColor="text1" w:themeTint="BF"/>
          <w:sz w:val="24"/>
          <w:szCs w:val="24"/>
        </w:rPr>
        <w:instrText xml:space="preserve"> ADDIN EN.CITE </w:instrText>
      </w:r>
      <w:r>
        <w:rPr>
          <w:b w:val="0"/>
          <w:color w:val="404040" w:themeColor="text1" w:themeTint="BF"/>
          <w:sz w:val="24"/>
          <w:szCs w:val="24"/>
        </w:rPr>
        <w:fldChar w:fldCharType="begin">
          <w:fldData xml:space="preserve">PEVuZE5vdGU+PENpdGU+PEF1dGhvcj5Nb2RlcmllPC9BdXRob3I+PFllYXI+MjAyMTwvWWVhcj48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</w:fldData>
        </w:fldChar>
      </w:r>
      <w:r>
        <w:rPr>
          <w:b w:val="0"/>
          <w:color w:val="404040" w:themeColor="text1" w:themeTint="BF"/>
          <w:sz w:val="24"/>
          <w:szCs w:val="24"/>
        </w:rPr>
        <w:instrText xml:space="preserve"> ADDIN EN.CITE.DATA </w:instrText>
      </w:r>
      <w:r>
        <w:rPr>
          <w:b w:val="0"/>
          <w:color w:val="404040" w:themeColor="text1" w:themeTint="BF"/>
          <w:sz w:val="24"/>
          <w:szCs w:val="24"/>
        </w:rPr>
      </w:r>
      <w:r>
        <w:rPr>
          <w:b w:val="0"/>
          <w:color w:val="404040" w:themeColor="text1" w:themeTint="BF"/>
          <w:sz w:val="24"/>
          <w:szCs w:val="24"/>
        </w:rPr>
        <w:fldChar w:fldCharType="end"/>
      </w:r>
      <w:r>
        <w:rPr>
          <w:b w:val="0"/>
          <w:color w:val="404040" w:themeColor="text1" w:themeTint="BF"/>
          <w:sz w:val="24"/>
          <w:szCs w:val="24"/>
        </w:rPr>
      </w:r>
      <w:r>
        <w:rPr>
          <w:b w:val="0"/>
          <w:color w:val="404040" w:themeColor="text1" w:themeTint="BF"/>
          <w:sz w:val="24"/>
          <w:szCs w:val="24"/>
        </w:rPr>
        <w:fldChar w:fldCharType="separate"/>
      </w:r>
      <w:r>
        <w:rPr>
          <w:b w:val="0"/>
          <w:color w:val="404040" w:themeColor="text1" w:themeTint="BF"/>
          <w:sz w:val="24"/>
          <w:szCs w:val="24"/>
        </w:rPr>
        <w:t>(MODERIE; BOUDREAU; SHECHTER; LESPÉRANCE</w:t>
      </w:r>
      <w:r>
        <w:rPr>
          <w:b w:val="0"/>
          <w:i/>
          <w:color w:val="404040" w:themeColor="text1" w:themeTint="BF"/>
          <w:sz w:val="24"/>
          <w:szCs w:val="24"/>
        </w:rPr>
        <w:t xml:space="preserve"> et al.</w:t>
      </w:r>
      <w:r>
        <w:rPr>
          <w:b w:val="0"/>
          <w:color w:val="404040" w:themeColor="text1" w:themeTint="BF"/>
          <w:sz w:val="24"/>
          <w:szCs w:val="24"/>
        </w:rPr>
        <w:t>, 2021)</w:t>
      </w:r>
      <w:r>
        <w:rPr>
          <w:b w:val="0"/>
          <w:color w:val="404040" w:themeColor="text1" w:themeTint="BF"/>
          <w:sz w:val="24"/>
          <w:szCs w:val="24"/>
        </w:rPr>
        <w:fldChar w:fldCharType="end"/>
      </w:r>
      <w:r>
        <w:rPr>
          <w:b w:val="0"/>
          <w:color w:val="404040" w:themeColor="text1" w:themeTint="BF"/>
          <w:sz w:val="24"/>
          <w:szCs w:val="24"/>
        </w:rPr>
        <w:t>.</w:t>
      </w:r>
    </w:p>
    <w:p w14:paraId="0B3B1E63" w14:textId="77777777" w:rsidR="00CD65C2" w:rsidRDefault="00CD65C2">
      <w:pPr>
        <w:pStyle w:val="Subtitulocorpo"/>
        <w:rPr>
          <w:rFonts w:hint="eastAsia"/>
          <w:color w:val="404040" w:themeColor="text1" w:themeTint="BF"/>
          <w:sz w:val="24"/>
          <w:szCs w:val="24"/>
        </w:rPr>
      </w:pPr>
    </w:p>
    <w:p w14:paraId="760965D9"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678720" behindDoc="0" locked="0" layoutInCell="1" allowOverlap="1">
                <wp:simplePos x="0" y="0"/>
                <wp:positionH relativeFrom="margin">
                  <wp:align>right</wp:align>
                </wp:positionH>
                <wp:positionV relativeFrom="paragraph">
                  <wp:posOffset>12700</wp:posOffset>
                </wp:positionV>
                <wp:extent cx="5732145" cy="313690"/>
                <wp:effectExtent l="0" t="0" r="20955" b="10160"/>
                <wp:wrapNone/>
                <wp:docPr id="10"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13690"/>
                        </a:xfrm>
                        <a:prstGeom prst="rect">
                          <a:avLst/>
                        </a:prstGeom>
                        <a:solidFill>
                          <a:schemeClr val="bg1">
                            <a:lumMod val="100000"/>
                            <a:lumOff val="0"/>
                          </a:schemeClr>
                        </a:solidFill>
                        <a:ln w="9525">
                          <a:solidFill>
                            <a:srgbClr val="0070C0"/>
                          </a:solidFill>
                          <a:miter lim="800000"/>
                        </a:ln>
                      </wps:spPr>
                      <wps:txbx>
                        <w:txbxContent>
                          <w:p w14:paraId="22A18502" w14:textId="77777777" w:rsidR="00FA41FC" w:rsidRDefault="00FA41FC">
                            <w:pPr>
                              <w:jc w:val="center"/>
                              <w:rPr>
                                <w:rFonts w:ascii="Swis721 Th BT" w:hAnsi="Swis721 Th BT"/>
                                <w:sz w:val="23"/>
                                <w:szCs w:val="23"/>
                              </w:rPr>
                            </w:pPr>
                            <w:r>
                              <w:rPr>
                                <w:rFonts w:ascii="Swis721 Th BT" w:hAnsi="Swis721 Th BT"/>
                                <w:sz w:val="23"/>
                                <w:szCs w:val="23"/>
                              </w:rPr>
                              <w:t>Assim, 5 mulheres com TDPM foram selecionadas para receberem:</w:t>
                            </w:r>
                          </w:p>
                          <w:p w14:paraId="29785DCB"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10" o:spid="_x0000_s1038" type="#_x0000_t202" style="position:absolute;left:0;text-align:left;margin-left:400.15pt;margin-top:1pt;width:451.35pt;height:24.7pt;z-index:25167872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" fillcolor="white [3212]" strokecolor="#0070c0">
                <v:textbox>
                  <w:txbxContent>
                    <w:p w14:paraId="22A18502" w14:textId="77777777" w:rsidR="00FA41FC" w:rsidRDefault="00FA41FC">
                      <w:pPr>
                        <w:jc w:val="center"/>
                        <w:rPr>
                          <w:rFonts w:ascii="Swis721 Th BT" w:hAnsi="Swis721 Th BT"/>
                          <w:sz w:val="23"/>
                          <w:szCs w:val="23"/>
                        </w:rPr>
                      </w:pPr>
                      <w:r>
                        <w:rPr>
                          <w:rFonts w:ascii="Swis721 Th BT" w:hAnsi="Swis721 Th BT"/>
                          <w:sz w:val="23"/>
                          <w:szCs w:val="23"/>
                        </w:rPr>
                        <w:t>Assim, 5 mulheres com TDPM foram selecionadas para receberem:</w:t>
                      </w:r>
                    </w:p>
                    <w:p w14:paraId="29785DCB" w14:textId="77777777" w:rsidR="00FA41FC" w:rsidRDefault="00FA41FC">
                      <w:pPr>
                        <w:jc w:val="center"/>
                        <w:rPr>
                          <w:rFonts w:ascii="Swis721 Th BT" w:hAnsi="Swis721 Th BT"/>
                          <w:sz w:val="23"/>
                          <w:szCs w:val="23"/>
                        </w:rPr>
                      </w:pPr>
                    </w:p>
                  </w:txbxContent>
                </v:textbox>
                <w10:wrap anchorx="margin"/>
              </v:shape>
            </w:pict>
          </mc:Fallback>
        </mc:AlternateContent>
      </w:r>
      <w:r>
        <w:rPr>
          <w:noProof/>
          <w:color w:val="404040" w:themeColor="text1" w:themeTint="BF"/>
          <w:lang w:eastAsia="pt-BR"/>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380365</wp:posOffset>
                </wp:positionV>
                <wp:extent cx="1913890" cy="1186815"/>
                <wp:effectExtent l="0" t="0" r="10160" b="13335"/>
                <wp:wrapNone/>
                <wp:docPr id="8"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186815"/>
                        </a:xfrm>
                        <a:prstGeom prst="rect">
                          <a:avLst/>
                        </a:prstGeom>
                        <a:solidFill>
                          <a:srgbClr val="0070C0"/>
                        </a:solidFill>
                        <a:ln w="9525">
                          <a:solidFill>
                            <a:srgbClr val="0070C0"/>
                          </a:solidFill>
                          <a:miter lim="800000"/>
                        </a:ln>
                      </wps:spPr>
                      <wps:txbx>
                        <w:txbxContent>
                          <w:p w14:paraId="2CE813AF"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Melatonina 2 mg</w:t>
                            </w:r>
                          </w:p>
                          <w:p w14:paraId="5E47DC24" w14:textId="77777777" w:rsidR="00FA41FC" w:rsidRDefault="00FA41FC">
                            <w:pPr>
                              <w:spacing w:after="0" w:line="240" w:lineRule="auto"/>
                              <w:jc w:val="center"/>
                              <w:rPr>
                                <w:rFonts w:ascii="Swis721 Th BT" w:hAnsi="Swis721 Th BT"/>
                                <w:b/>
                                <w:bCs/>
                                <w:color w:val="FFFFFF" w:themeColor="background1"/>
                                <w:sz w:val="23"/>
                                <w:szCs w:val="23"/>
                              </w:rPr>
                            </w:pPr>
                            <w:r>
                              <w:rPr>
                                <w:rFonts w:ascii="Swis721 Th BT" w:hAnsi="Swis721 Th BT"/>
                                <w:color w:val="FFFFFF" w:themeColor="background1"/>
                                <w:sz w:val="23"/>
                                <w:szCs w:val="23"/>
                              </w:rPr>
                              <w:t>Administrar 1 cápsula 1 hora antes de dormir durante a fase lútea (FL) por três ciclos menstruais</w:t>
                            </w:r>
                          </w:p>
                          <w:p w14:paraId="05D53A6E"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8" o:spid="_x0000_s1039" type="#_x0000_t202" style="position:absolute;left:0;text-align:left;margin-left:0;margin-top:29.95pt;width:150.7pt;height:93.45pt;z-index:25167974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" fillcolor="#0070c0" strokecolor="#0070c0">
                <v:textbox>
                  <w:txbxContent>
                    <w:p w14:paraId="2CE813AF"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Melatonina 2 mg</w:t>
                      </w:r>
                    </w:p>
                    <w:p w14:paraId="5E47DC24" w14:textId="77777777" w:rsidR="00FA41FC" w:rsidRDefault="00FA41FC">
                      <w:pPr>
                        <w:spacing w:after="0" w:line="240" w:lineRule="auto"/>
                        <w:jc w:val="center"/>
                        <w:rPr>
                          <w:rFonts w:ascii="Swis721 Th BT" w:hAnsi="Swis721 Th BT"/>
                          <w:b/>
                          <w:bCs/>
                          <w:color w:val="FFFFFF" w:themeColor="background1"/>
                          <w:sz w:val="23"/>
                          <w:szCs w:val="23"/>
                        </w:rPr>
                      </w:pPr>
                      <w:r>
                        <w:rPr>
                          <w:rFonts w:ascii="Swis721 Th BT" w:hAnsi="Swis721 Th BT"/>
                          <w:color w:val="FFFFFF" w:themeColor="background1"/>
                          <w:sz w:val="23"/>
                          <w:szCs w:val="23"/>
                        </w:rPr>
                        <w:t>Administrar 1 cápsula 1 hora antes de dormir durante a fase lútea (FL) por três ciclos menstruais</w:t>
                      </w:r>
                    </w:p>
                    <w:p w14:paraId="05D53A6E" w14:textId="77777777" w:rsidR="00FA41FC" w:rsidRDefault="00FA41FC">
                      <w:pPr>
                        <w:spacing w:after="0" w:line="240" w:lineRule="auto"/>
                        <w:jc w:val="center"/>
                        <w:rPr>
                          <w:rFonts w:ascii="Swis721 Th BT" w:hAnsi="Swis721 Th BT"/>
                          <w:color w:val="FFFFFF" w:themeColor="background1"/>
                          <w:szCs w:val="23"/>
                        </w:rPr>
                      </w:pPr>
                    </w:p>
                  </w:txbxContent>
                </v:textbox>
                <w10:wrap anchorx="margin"/>
              </v:shape>
            </w:pict>
          </mc:Fallback>
        </mc:AlternateContent>
      </w:r>
    </w:p>
    <w:p w14:paraId="602F5045" w14:textId="77777777" w:rsidR="00CD65C2" w:rsidRDefault="00CD65C2">
      <w:pPr>
        <w:pStyle w:val="Corpo"/>
        <w:rPr>
          <w:rFonts w:hint="eastAsia"/>
          <w:color w:val="404040" w:themeColor="text1" w:themeTint="BF"/>
        </w:rPr>
      </w:pPr>
    </w:p>
    <w:p w14:paraId="12275DC2" w14:textId="77777777" w:rsidR="00CD65C2" w:rsidRDefault="00CD65C2">
      <w:pPr>
        <w:pStyle w:val="Corpo"/>
        <w:rPr>
          <w:rFonts w:hint="eastAsia"/>
          <w:color w:val="404040" w:themeColor="text1" w:themeTint="BF"/>
        </w:rPr>
      </w:pPr>
    </w:p>
    <w:p w14:paraId="0B44842B" w14:textId="77777777" w:rsidR="00CD65C2" w:rsidRDefault="00CD65C2">
      <w:pPr>
        <w:pStyle w:val="Corpo"/>
        <w:rPr>
          <w:rFonts w:hint="eastAsia"/>
          <w:color w:val="404040" w:themeColor="text1" w:themeTint="BF"/>
        </w:rPr>
      </w:pPr>
    </w:p>
    <w:p w14:paraId="5E8F0AEF" w14:textId="77777777" w:rsidR="00CD65C2" w:rsidRDefault="00CD65C2">
      <w:pPr>
        <w:pStyle w:val="Corpo"/>
        <w:rPr>
          <w:rFonts w:hint="eastAsia"/>
          <w:color w:val="404040" w:themeColor="text1" w:themeTint="BF"/>
        </w:rPr>
      </w:pPr>
    </w:p>
    <w:p w14:paraId="30A35E33" w14:textId="77777777" w:rsidR="00CD65C2" w:rsidRDefault="00CD65C2">
      <w:pPr>
        <w:pStyle w:val="Corpo"/>
        <w:rPr>
          <w:rFonts w:hint="eastAsia"/>
          <w:color w:val="404040" w:themeColor="text1" w:themeTint="BF"/>
        </w:rPr>
      </w:pPr>
    </w:p>
    <w:p w14:paraId="0661892C" w14:textId="77777777" w:rsidR="00CD65C2" w:rsidRDefault="00CD65C2">
      <w:pPr>
        <w:pStyle w:val="Corpo"/>
        <w:rPr>
          <w:rFonts w:hint="eastAsia"/>
          <w:color w:val="404040" w:themeColor="text1" w:themeTint="BF"/>
        </w:rPr>
      </w:pPr>
    </w:p>
    <w:p w14:paraId="66D80AC3" w14:textId="77777777" w:rsidR="00CD65C2" w:rsidRDefault="00CD65C2">
      <w:pPr>
        <w:pStyle w:val="Corpo"/>
        <w:spacing w:before="120"/>
        <w:rPr>
          <w:rFonts w:hint="eastAsia"/>
          <w:color w:val="404040" w:themeColor="text1" w:themeTint="BF"/>
          <w:sz w:val="20"/>
        </w:rPr>
      </w:pPr>
    </w:p>
    <w:p w14:paraId="0921DA5F" w14:textId="551191CE" w:rsidR="00CD65C2" w:rsidRDefault="00FA41FC">
      <w:pPr>
        <w:pStyle w:val="Corpo"/>
        <w:numPr>
          <w:ilvl w:val="0"/>
          <w:numId w:val="4"/>
        </w:numPr>
        <w:spacing w:before="120"/>
        <w:ind w:left="360"/>
        <w:rPr>
          <w:rFonts w:hint="eastAsia"/>
          <w:color w:val="404040" w:themeColor="text1" w:themeTint="BF"/>
          <w:sz w:val="20"/>
          <w:szCs w:val="23"/>
        </w:rPr>
      </w:pPr>
      <w:r>
        <w:rPr>
          <w:color w:val="404040" w:themeColor="text1" w:themeTint="BF"/>
          <w:sz w:val="20"/>
          <w:szCs w:val="23"/>
        </w:rPr>
        <w:t>As avaliações incluíram 6-sulfatoximelatonina urinária matinal (aMt6), sono através de polissonografia (PSG), temperatura corporal central noturna (TCC), escala analógica visual para humor (VAS-Mood), Registro Prospectivo do Impacto e Gravidade dos Sintomas Menstruais (PRISM) e hormônios ovarianos plasmáticos. As participantes também foram submetidos a dois monitoramentos fisiológicos intensivos de 24 horas (durante a fase folicular e FL) em condições de tempo-isolamento/constantes para determinar a melatonina plasmática de 24 horas e os ritmos de TCC. As mesmas medidas foram repetidas durante o terceiro ciclo menstrual de administração de melatonina.</w:t>
      </w:r>
    </w:p>
    <w:p w14:paraId="72C327D4" w14:textId="77777777" w:rsidR="00CD65C2" w:rsidRDefault="00CD65C2">
      <w:pPr>
        <w:pStyle w:val="Corpo"/>
        <w:rPr>
          <w:rFonts w:hint="eastAsia"/>
          <w:b/>
          <w:color w:val="339966"/>
          <w:sz w:val="25"/>
          <w:szCs w:val="25"/>
          <w14:textFill>
            <w14:solidFill>
              <w14:srgbClr w14:val="339966">
                <w14:lumMod w14:val="75000"/>
                <w14:lumOff w14:val="25000"/>
              </w14:srgbClr>
            </w14:solidFill>
          </w14:textFill>
        </w:rPr>
      </w:pPr>
    </w:p>
    <w:p w14:paraId="43DBEE7F" w14:textId="77777777" w:rsidR="00CD65C2" w:rsidRDefault="00FA41FC">
      <w:pPr>
        <w:pStyle w:val="Titulo"/>
        <w:rPr>
          <w:rFonts w:hint="eastAsia"/>
          <w:b/>
          <w:bCs/>
          <w:sz w:val="24"/>
          <w:szCs w:val="24"/>
        </w:rPr>
      </w:pPr>
      <w:r>
        <w:rPr>
          <w:b/>
          <w:bCs/>
          <w:sz w:val="24"/>
          <w:szCs w:val="24"/>
        </w:rPr>
        <w:t>Resultados:</w:t>
      </w:r>
    </w:p>
    <w:p w14:paraId="675948FD" w14:textId="1E1372B7" w:rsidR="00CD65C2" w:rsidRDefault="00FA41FC">
      <w:pPr>
        <w:pStyle w:val="Corpo"/>
        <w:numPr>
          <w:ilvl w:val="0"/>
          <w:numId w:val="8"/>
        </w:numPr>
        <w:rPr>
          <w:rFonts w:hint="eastAsia"/>
          <w:color w:val="404040" w:themeColor="text1" w:themeTint="BF"/>
        </w:rPr>
      </w:pPr>
      <w:r>
        <w:rPr>
          <w:color w:val="404040" w:themeColor="text1" w:themeTint="BF"/>
        </w:rPr>
        <w:t>No período de intervenção em comparação com o início do estudo, observou-se um aumento da aMt6 urinária (p &lt; 0,001), redução da latência objetiva do início do sono (p = 0,01), redução do sono de ondas lentas (SWS) (p &lt; 0,001) e aumento do estágio 2 do sono (p &lt; 0,001);</w:t>
      </w:r>
    </w:p>
    <w:p w14:paraId="6751FD5B" w14:textId="77777777" w:rsidR="00CD65C2" w:rsidRDefault="00FA41FC">
      <w:pPr>
        <w:pStyle w:val="Corpo"/>
        <w:numPr>
          <w:ilvl w:val="0"/>
          <w:numId w:val="8"/>
        </w:numPr>
        <w:rPr>
          <w:rFonts w:hint="eastAsia"/>
          <w:color w:val="404040" w:themeColor="text1" w:themeTint="BF"/>
        </w:rPr>
      </w:pPr>
      <w:r>
        <w:rPr>
          <w:color w:val="404040" w:themeColor="text1" w:themeTint="BF"/>
        </w:rPr>
        <w:t>O aumento da aMt6 urinária foi correlacionado com a redução do SWS (r = -0,51, p &lt; 0,001);</w:t>
      </w:r>
    </w:p>
    <w:p w14:paraId="4F717808" w14:textId="77777777" w:rsidR="00CD65C2" w:rsidRDefault="00FA41FC">
      <w:pPr>
        <w:pStyle w:val="Corpo"/>
        <w:numPr>
          <w:ilvl w:val="0"/>
          <w:numId w:val="8"/>
        </w:numPr>
        <w:rPr>
          <w:rFonts w:hint="eastAsia"/>
          <w:color w:val="404040" w:themeColor="text1" w:themeTint="BF"/>
        </w:rPr>
      </w:pPr>
      <w:r>
        <w:rPr>
          <w:color w:val="404040" w:themeColor="text1" w:themeTint="BF"/>
        </w:rPr>
        <w:t>Os parâmetros circadianos derivados da melatonina plasmática de 24 horas e da TCC não diferiram entre as condições, exceto por um aumento de melatonina MESORs (Estimativa de Linha Média Estatística do Ritmo) após a intervenção (p = 0,01);</w:t>
      </w:r>
    </w:p>
    <w:p w14:paraId="4F169AEE" w14:textId="6B249904" w:rsidR="00CD65C2" w:rsidRDefault="00FA41FC">
      <w:pPr>
        <w:pStyle w:val="Corpo"/>
        <w:numPr>
          <w:ilvl w:val="0"/>
          <w:numId w:val="8"/>
        </w:numPr>
        <w:rPr>
          <w:rFonts w:hint="eastAsia"/>
          <w:color w:val="404040" w:themeColor="text1" w:themeTint="BF"/>
        </w:rPr>
      </w:pPr>
      <w:r>
        <w:rPr>
          <w:color w:val="404040" w:themeColor="text1" w:themeTint="BF"/>
        </w:rPr>
        <w:t>Os hormônios ovarianos foram comparáveis entre as condições (p ≥ 0,28);</w:t>
      </w:r>
    </w:p>
    <w:p w14:paraId="31427600" w14:textId="77777777" w:rsidR="00CD65C2" w:rsidRDefault="00FA41FC">
      <w:pPr>
        <w:pStyle w:val="Corpo"/>
        <w:numPr>
          <w:ilvl w:val="0"/>
          <w:numId w:val="8"/>
        </w:numPr>
        <w:rPr>
          <w:rFonts w:hint="eastAsia"/>
          <w:color w:val="404040" w:themeColor="text1" w:themeTint="BF"/>
        </w:rPr>
      </w:pPr>
      <w:r>
        <w:rPr>
          <w:color w:val="404040" w:themeColor="text1" w:themeTint="BF"/>
        </w:rPr>
        <w:t xml:space="preserve">Os sintomas melhoraram na condição de intervenção, medida pela VAS-Mood (p = 0,02) e pelo PRISM (p &lt; 0,001). </w:t>
      </w:r>
    </w:p>
    <w:p w14:paraId="5DB5BA29" w14:textId="77777777" w:rsidR="00CD65C2" w:rsidRDefault="00CD65C2">
      <w:pPr>
        <w:pStyle w:val="Titulo"/>
        <w:rPr>
          <w:rFonts w:hint="eastAsia"/>
          <w:b/>
          <w:bCs/>
          <w:sz w:val="24"/>
          <w:szCs w:val="24"/>
        </w:rPr>
      </w:pPr>
    </w:p>
    <w:p w14:paraId="1FB3A0C5" w14:textId="77777777" w:rsidR="00CD65C2" w:rsidRDefault="00FA41FC">
      <w:pPr>
        <w:pStyle w:val="Titulo"/>
        <w:rPr>
          <w:rFonts w:hint="eastAsia"/>
          <w:b/>
          <w:bCs/>
          <w:sz w:val="24"/>
          <w:szCs w:val="24"/>
        </w:rPr>
      </w:pPr>
      <w:r>
        <w:rPr>
          <w:b/>
          <w:bCs/>
          <w:sz w:val="24"/>
          <w:szCs w:val="24"/>
        </w:rPr>
        <w:t>Conclusão:</w:t>
      </w:r>
    </w:p>
    <w:p w14:paraId="492B724B" w14:textId="77777777" w:rsidR="00CD65C2" w:rsidRDefault="00FA41FC">
      <w:pPr>
        <w:pStyle w:val="Corpo"/>
        <w:jc w:val="center"/>
        <w:rPr>
          <w:rFonts w:hint="eastAsia"/>
          <w:b/>
          <w:i/>
          <w:color w:val="404040" w:themeColor="text1" w:themeTint="BF"/>
        </w:rPr>
      </w:pPr>
      <w:r>
        <w:rPr>
          <w:b/>
          <w:i/>
          <w:color w:val="404040" w:themeColor="text1" w:themeTint="BF"/>
        </w:rPr>
        <w:t xml:space="preserve">De acordo com os resultados, os pesquisadores concluíram que um papel do sistema melatonérgico perturbado no TDPM pode ser parcialmente corrigido pela melatonina exógena. </w:t>
      </w:r>
    </w:p>
    <w:p w14:paraId="22CC8116" w14:textId="77777777" w:rsidR="00CD65C2" w:rsidRDefault="00FA41FC">
      <w:pPr>
        <w:pStyle w:val="Ttulo1"/>
        <w:jc w:val="center"/>
        <w:rPr>
          <w:rFonts w:hint="eastAsia"/>
        </w:rPr>
      </w:pPr>
      <w:bookmarkStart w:id="13" w:name="_Toc165537165"/>
      <w:r>
        <w:t>Formulário</w:t>
      </w:r>
      <w:bookmarkEnd w:id="13"/>
    </w:p>
    <w:p w14:paraId="1A80FAAB" w14:textId="77777777" w:rsidR="00CD65C2" w:rsidRDefault="00CD65C2">
      <w:pPr>
        <w:pStyle w:val="Corpo"/>
        <w:rPr>
          <w:rFonts w:hint="eastAsia"/>
          <w:b/>
          <w:i/>
          <w:color w:val="404040" w:themeColor="text1" w:themeTint="BF"/>
        </w:rPr>
      </w:pPr>
    </w:p>
    <w:p w14:paraId="611D2525" w14:textId="77777777" w:rsidR="00CD65C2" w:rsidRDefault="00CD65C2">
      <w:pPr>
        <w:pStyle w:val="Corpo"/>
        <w:rPr>
          <w:rFonts w:hint="eastAsia"/>
          <w:b/>
          <w:i/>
          <w:color w:val="404040" w:themeColor="text1" w:themeTint="BF"/>
        </w:rPr>
      </w:pPr>
    </w:p>
    <w:p w14:paraId="3626F108" w14:textId="77777777" w:rsidR="00CD65C2" w:rsidRDefault="00FA41FC">
      <w:pPr>
        <w:pStyle w:val="Corpo"/>
        <w:rPr>
          <w:rFonts w:hint="eastAsia"/>
          <w:b/>
          <w:i/>
          <w:color w:val="404040" w:themeColor="text1" w:themeTint="BF"/>
          <w:sz w:val="24"/>
        </w:rPr>
      </w:pPr>
      <w:r>
        <w:rPr>
          <w:b/>
          <w:i/>
          <w:color w:val="404040" w:themeColor="text1" w:themeTint="BF"/>
          <w:sz w:val="24"/>
        </w:rPr>
        <w:t>Melatonina Promove Melhora da Qualidade do Sono em Pacientes com Transtorno Disfórico Pré-menstrual</w:t>
      </w:r>
    </w:p>
    <w:p w14:paraId="0EF98BA9"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531B8365"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166F9E60" w14:textId="77777777" w:rsidR="00CD65C2" w:rsidRDefault="00FA41FC">
            <w:pPr>
              <w:pStyle w:val="Corpo"/>
              <w:jc w:val="center"/>
              <w:rPr>
                <w:rFonts w:hint="eastAsia"/>
                <w:b/>
                <w:color w:val="FFFFFF" w:themeColor="background1"/>
              </w:rPr>
            </w:pPr>
            <w:r>
              <w:rPr>
                <w:b/>
                <w:color w:val="FFFFFF" w:themeColor="background1"/>
                <w:sz w:val="22"/>
              </w:rPr>
              <w:t>Cápsulas de Melatonina</w:t>
            </w:r>
          </w:p>
        </w:tc>
      </w:tr>
      <w:tr w:rsidR="00CD65C2" w14:paraId="68388342"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18C8E35" w14:textId="77777777" w:rsidR="00CD65C2" w:rsidRDefault="00FA41FC">
            <w:pPr>
              <w:pStyle w:val="Corpo"/>
              <w:rPr>
                <w:rFonts w:hint="eastAsia"/>
                <w:color w:val="404040" w:themeColor="text1" w:themeTint="BF"/>
              </w:rPr>
            </w:pPr>
            <w:r>
              <w:rPr>
                <w:color w:val="404040" w:themeColor="text1" w:themeTint="BF"/>
              </w:rPr>
              <w:t>Melatonina..........................................2 mg</w:t>
            </w:r>
          </w:p>
        </w:tc>
      </w:tr>
      <w:tr w:rsidR="00CD65C2" w14:paraId="201C1EDD"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B106C6B" w14:textId="760F13AE" w:rsidR="00CD65C2" w:rsidRDefault="00FA41FC">
            <w:pPr>
              <w:pStyle w:val="Corpo"/>
              <w:rPr>
                <w:rFonts w:hint="eastAsia"/>
                <w:color w:val="404040" w:themeColor="text1" w:themeTint="BF"/>
              </w:rPr>
            </w:pPr>
            <w:r>
              <w:rPr>
                <w:color w:val="404040" w:themeColor="text1" w:themeTint="BF"/>
              </w:rPr>
              <w:t>Excipiente q.s.p. ........................1 Cápsula</w:t>
            </w:r>
          </w:p>
        </w:tc>
      </w:tr>
    </w:tbl>
    <w:p w14:paraId="71D8BD87" w14:textId="77777777" w:rsidR="00CD65C2" w:rsidRDefault="00FA41FC">
      <w:pPr>
        <w:pStyle w:val="Corpo"/>
        <w:ind w:right="4960"/>
        <w:jc w:val="center"/>
        <w:rPr>
          <w:rFonts w:hint="eastAsia"/>
          <w:color w:val="404040" w:themeColor="text1" w:themeTint="BF"/>
          <w:sz w:val="22"/>
          <w:szCs w:val="22"/>
        </w:rPr>
      </w:pPr>
      <w:r>
        <w:rPr>
          <w:color w:val="404040" w:themeColor="text1" w:themeTint="BF"/>
          <w:sz w:val="22"/>
          <w:szCs w:val="22"/>
        </w:rPr>
        <w:t>Administrar 1 cápsula 1 hora antes de dormir durante a fase lútea (FL) por três ciclos menstruais ou conforme orientação médica.</w:t>
      </w:r>
    </w:p>
    <w:p w14:paraId="22EBDB8E" w14:textId="77777777" w:rsidR="00CD65C2" w:rsidRDefault="00CD65C2">
      <w:pPr>
        <w:pStyle w:val="SemEspaamento"/>
      </w:pPr>
    </w:p>
    <w:p w14:paraId="4D52A5A3" w14:textId="77777777" w:rsidR="00CD65C2" w:rsidRDefault="00CD65C2">
      <w:pPr>
        <w:pStyle w:val="SemEspaamento"/>
      </w:pPr>
    </w:p>
    <w:p w14:paraId="76A929E4" w14:textId="77777777" w:rsidR="00CD65C2" w:rsidRDefault="00CD65C2">
      <w:pPr>
        <w:pStyle w:val="SemEspaamento"/>
      </w:pPr>
    </w:p>
    <w:p w14:paraId="52B8FB33" w14:textId="77777777" w:rsidR="00CD65C2" w:rsidRDefault="00CD65C2">
      <w:pPr>
        <w:pStyle w:val="SemEspaamento"/>
      </w:pPr>
    </w:p>
    <w:p w14:paraId="1D89B89C" w14:textId="77777777" w:rsidR="00CD65C2" w:rsidRDefault="00CD65C2">
      <w:pPr>
        <w:pStyle w:val="SemEspaamento"/>
      </w:pPr>
    </w:p>
    <w:p w14:paraId="477BED6C" w14:textId="77777777" w:rsidR="00CD65C2" w:rsidRDefault="00CD65C2">
      <w:pPr>
        <w:pStyle w:val="SemEspaamento"/>
      </w:pPr>
    </w:p>
    <w:p w14:paraId="78501D46" w14:textId="77777777" w:rsidR="00CD65C2" w:rsidRDefault="00CD65C2">
      <w:pPr>
        <w:pStyle w:val="SemEspaamento"/>
      </w:pPr>
    </w:p>
    <w:p w14:paraId="34800CDA" w14:textId="77777777" w:rsidR="00CD65C2" w:rsidRDefault="00CD65C2">
      <w:pPr>
        <w:pStyle w:val="SemEspaamento"/>
      </w:pPr>
    </w:p>
    <w:p w14:paraId="2F79DBF1" w14:textId="77777777" w:rsidR="00CD65C2" w:rsidRDefault="00CD65C2">
      <w:pPr>
        <w:pStyle w:val="SemEspaamento"/>
      </w:pPr>
    </w:p>
    <w:p w14:paraId="70F770BC" w14:textId="77777777" w:rsidR="00CD65C2" w:rsidRDefault="00CD65C2">
      <w:pPr>
        <w:pStyle w:val="SemEspaamento"/>
      </w:pPr>
    </w:p>
    <w:p w14:paraId="5FACC160" w14:textId="77777777" w:rsidR="00CD65C2" w:rsidRDefault="00CD65C2">
      <w:pPr>
        <w:pStyle w:val="SemEspaamento"/>
      </w:pPr>
    </w:p>
    <w:p w14:paraId="01835B11" w14:textId="77777777" w:rsidR="00CD65C2" w:rsidRDefault="00CD65C2">
      <w:pPr>
        <w:pStyle w:val="SemEspaamento"/>
      </w:pPr>
    </w:p>
    <w:p w14:paraId="274950D4" w14:textId="77777777" w:rsidR="00CD65C2" w:rsidRDefault="00CD65C2">
      <w:pPr>
        <w:pStyle w:val="SemEspaamento"/>
      </w:pPr>
    </w:p>
    <w:p w14:paraId="42AE8A97" w14:textId="77777777" w:rsidR="00CD65C2" w:rsidRDefault="00CD65C2">
      <w:pPr>
        <w:pStyle w:val="SemEspaamento"/>
      </w:pPr>
    </w:p>
    <w:p w14:paraId="3D07A353" w14:textId="77777777" w:rsidR="00CD65C2" w:rsidRDefault="00CD65C2">
      <w:pPr>
        <w:pStyle w:val="SemEspaamento"/>
      </w:pPr>
    </w:p>
    <w:p w14:paraId="69118EDA" w14:textId="77777777" w:rsidR="00CD65C2" w:rsidRDefault="00CD65C2">
      <w:pPr>
        <w:pStyle w:val="SemEspaamento"/>
      </w:pPr>
    </w:p>
    <w:p w14:paraId="61A22A05" w14:textId="77777777" w:rsidR="00CD65C2" w:rsidRDefault="00CD65C2">
      <w:pPr>
        <w:pStyle w:val="SemEspaamento"/>
      </w:pPr>
    </w:p>
    <w:p w14:paraId="2532E014" w14:textId="77777777" w:rsidR="00CD65C2" w:rsidRDefault="00CD65C2">
      <w:pPr>
        <w:pStyle w:val="SemEspaamento"/>
      </w:pPr>
    </w:p>
    <w:p w14:paraId="2BCB2613" w14:textId="77777777" w:rsidR="00CD65C2" w:rsidRDefault="00CD65C2">
      <w:pPr>
        <w:pStyle w:val="SemEspaamento"/>
      </w:pPr>
    </w:p>
    <w:p w14:paraId="2B807355" w14:textId="77777777" w:rsidR="00CD65C2" w:rsidRDefault="00CD65C2">
      <w:pPr>
        <w:pStyle w:val="SemEspaamento"/>
      </w:pPr>
    </w:p>
    <w:p w14:paraId="79D541D7" w14:textId="77777777" w:rsidR="00CD65C2" w:rsidRDefault="00CD65C2">
      <w:pPr>
        <w:pStyle w:val="SemEspaamento"/>
      </w:pPr>
    </w:p>
    <w:p w14:paraId="054BDDA1" w14:textId="77777777" w:rsidR="00CD65C2" w:rsidRDefault="00CD65C2">
      <w:pPr>
        <w:pStyle w:val="SemEspaamento"/>
      </w:pPr>
    </w:p>
    <w:p w14:paraId="4A821B2A" w14:textId="77777777" w:rsidR="00CD65C2" w:rsidRDefault="00CD65C2">
      <w:pPr>
        <w:pStyle w:val="SemEspaamento"/>
      </w:pPr>
    </w:p>
    <w:p w14:paraId="7C590481" w14:textId="77777777" w:rsidR="00CD65C2" w:rsidRDefault="00CD65C2">
      <w:pPr>
        <w:pStyle w:val="SemEspaamento"/>
      </w:pPr>
    </w:p>
    <w:p w14:paraId="7E0EB86E" w14:textId="77777777" w:rsidR="00CD65C2" w:rsidRDefault="00CD65C2">
      <w:pPr>
        <w:pStyle w:val="SemEspaamento"/>
      </w:pPr>
    </w:p>
    <w:p w14:paraId="15C63FA3" w14:textId="77777777" w:rsidR="00CD65C2" w:rsidRDefault="00CD65C2">
      <w:pPr>
        <w:pStyle w:val="SemEspaamento"/>
      </w:pPr>
    </w:p>
    <w:p w14:paraId="71840470" w14:textId="77777777" w:rsidR="00CD65C2" w:rsidRDefault="00CD65C2">
      <w:pPr>
        <w:pStyle w:val="SemEspaamento"/>
      </w:pPr>
    </w:p>
    <w:p w14:paraId="70AB2DAD" w14:textId="77777777" w:rsidR="00CD65C2" w:rsidRDefault="00CD65C2">
      <w:pPr>
        <w:pStyle w:val="SemEspaamento"/>
      </w:pPr>
    </w:p>
    <w:p w14:paraId="720442C0" w14:textId="77777777" w:rsidR="00CD65C2" w:rsidRDefault="00CD65C2">
      <w:pPr>
        <w:pStyle w:val="SemEspaamento"/>
      </w:pPr>
    </w:p>
    <w:p w14:paraId="2881B829" w14:textId="77777777" w:rsidR="00CD65C2" w:rsidRDefault="00CD65C2">
      <w:pPr>
        <w:pStyle w:val="SemEspaamento"/>
      </w:pPr>
    </w:p>
    <w:p w14:paraId="1382D2D7" w14:textId="77777777" w:rsidR="00CD65C2" w:rsidRDefault="00FA41FC">
      <w:pPr>
        <w:pStyle w:val="Ttulo1"/>
        <w:jc w:val="center"/>
        <w:rPr>
          <w:rFonts w:hint="eastAsia"/>
        </w:rPr>
      </w:pPr>
      <w:bookmarkStart w:id="14" w:name="_Toc165537166"/>
      <w:r>
        <w:t>Aromaterapia com Óleo de Lavanda</w:t>
      </w:r>
      <w:bookmarkEnd w:id="14"/>
    </w:p>
    <w:p w14:paraId="1CDF42B2" w14:textId="77777777" w:rsidR="00CD65C2" w:rsidRPr="00D1428E" w:rsidRDefault="00FA41FC">
      <w:pPr>
        <w:pStyle w:val="Corpo"/>
        <w:jc w:val="center"/>
        <w:rPr>
          <w:rFonts w:hint="eastAsia"/>
          <w:b/>
          <w:color w:val="0070C0"/>
          <w:sz w:val="40"/>
        </w:rPr>
      </w:pPr>
      <w:r w:rsidRPr="00D1428E">
        <w:rPr>
          <w:b/>
          <w:color w:val="0070C0"/>
          <w:sz w:val="40"/>
        </w:rPr>
        <w:t>Eficaz na Melhora dos Sintomas da SPM</w:t>
      </w:r>
    </w:p>
    <w:p w14:paraId="3C0E702B" w14:textId="77777777" w:rsidR="00CD65C2" w:rsidRDefault="00CD65C2">
      <w:pPr>
        <w:pStyle w:val="Corpo"/>
        <w:rPr>
          <w:rFonts w:hint="eastAsia"/>
          <w:b/>
          <w:color w:val="0070C0"/>
          <w14:textFill>
            <w14:solidFill>
              <w14:srgbClr w14:val="0070C0">
                <w14:lumMod w14:val="75000"/>
                <w14:lumOff w14:val="25000"/>
              </w14:srgbClr>
            </w14:solidFill>
          </w14:textFill>
        </w:rPr>
      </w:pPr>
    </w:p>
    <w:p w14:paraId="10F202BB" w14:textId="77777777" w:rsidR="00CD65C2" w:rsidRDefault="00CD65C2">
      <w:pPr>
        <w:pStyle w:val="Corpo"/>
        <w:rPr>
          <w:rFonts w:hint="eastAsia"/>
          <w:color w:val="404040" w:themeColor="text1" w:themeTint="BF"/>
          <w:sz w:val="24"/>
        </w:rPr>
      </w:pPr>
    </w:p>
    <w:p w14:paraId="2F5F82FF" w14:textId="3B72E356" w:rsidR="00CD65C2" w:rsidRDefault="00FA41FC">
      <w:pPr>
        <w:pStyle w:val="Corpo"/>
        <w:rPr>
          <w:rFonts w:hint="eastAsia"/>
          <w:color w:val="404040" w:themeColor="text1" w:themeTint="BF"/>
          <w:sz w:val="24"/>
        </w:rPr>
      </w:pPr>
      <w:r>
        <w:rPr>
          <w:color w:val="404040" w:themeColor="text1" w:themeTint="BF"/>
          <w:sz w:val="24"/>
        </w:rPr>
        <w:t xml:space="preserve">Este estudo teve como objetivo determinar os efeitos da aromaterapia na síndrome pré-menstrual em estudantes universitárias </w:t>
      </w:r>
      <w:r>
        <w:rPr>
          <w:color w:val="404040" w:themeColor="text1" w:themeTint="BF"/>
          <w:sz w:val="24"/>
        </w:rPr>
        <w:fldChar w:fldCharType="begin"/>
      </w:r>
      <w:r>
        <w:rPr>
          <w:color w:val="404040" w:themeColor="text1" w:themeTint="BF"/>
          <w:sz w:val="24"/>
        </w:rPr>
        <w:instrText xml:space="preserve"> ADDIN EN.CITE &lt;EndNote&gt;&lt;Cite&gt;&lt;Author&gt;Uzuncakmak&lt;/Author&gt;&lt;Year&gt;2018&lt;/Year&gt;&lt;IDText&gt;Effect of aromatherapy on coping with premenstrual syndrome: A randomized controlled trial&lt;/IDText&gt;&lt;DisplayText&gt;(Uzuncakmak e Ayaz Alkaya, 2018)&lt;/DisplayText&gt;&lt;record&gt;&lt;dates&gt;&lt;pub-dates&gt;&lt;date&gt;Feb&lt;/date&gt;&lt;/pub-dates&gt;&lt;year&gt;2018&lt;/year&gt;&lt;/dates&gt;&lt;keywords&gt;&lt;keyword&gt;Administration, Inhalation&lt;/keyword&gt;&lt;keyword&gt;Adult&lt;/keyword&gt;&lt;keyword&gt;*Aromatherapy&lt;/keyword&gt;&lt;keyword&gt;Female&lt;/keyword&gt;&lt;keyword&gt;Humans&lt;/keyword&gt;&lt;keyword&gt;Oils, Volatile/administration &amp;amp; dosage/therapeutic use&lt;/keyword&gt;&lt;keyword&gt;Plant Oils/administration &amp;amp; dosage/therapeutic use&lt;/keyword&gt;&lt;keyword&gt;Premenstrual Syndrome/*physiopathology/*therapy&lt;/keyword&gt;&lt;keyword&gt;Surveys and Questionnaires&lt;/keyword&gt;&lt;keyword&gt;Young Adult&lt;/keyword&gt;&lt;keyword&gt;Aromatherapy&lt;/keyword&gt;&lt;keyword&gt;Inhalation&lt;/keyword&gt;&lt;keyword&gt;Premenstrual syndrome&lt;/keyword&gt;&lt;/keywords&gt;&lt;isbn&gt;0965-2299&lt;/isbn&gt;&lt;titles&gt;&lt;title&gt;Effect of aromatherapy on coping with premenstrual syndrome: A randomized controlled trial&lt;/title&gt;&lt;secondary-title&gt;Complement Ther Med&lt;/secondary-title&gt;&lt;alt-title&gt;Complementary therapies in medicine&lt;/alt-title&gt;&lt;/titles&gt;&lt;pages&gt;63-67&lt;/pages&gt;&lt;contributors&gt;&lt;authors&gt;&lt;author&gt;Uzuncakmak, T.&lt;/author&gt;&lt;author&gt;Ayaz Alkaya, S.&lt;/author&gt;&lt;/authors&gt;&lt;/contributors&gt;&lt;edition&gt;2018/02/21&lt;/edition&gt;&lt;language&gt;eng&lt;/language&gt;&lt;added-date format="utc"&gt;1544630946&lt;/added-date&gt;&lt;ref-type name="Journal Article"&gt;17&lt;/ref-type&gt;&lt;auth-address&gt;Bozok University, School of Health, Yozgat, Turkey. Electronic address: u.cakmak@windowslive.com.&amp;#xD;Gazi University, Faculty of Health Sciences, Nursing Department, Ankara, Turkey. Electronic address: ayaz_sultan@hotmail.com.&lt;/auth-address&gt;&lt;remote-database-provider&gt;NLM&lt;/remote-database-provider&gt;&lt;rec-number&gt;173&lt;/rec-number&gt;&lt;last-updated-date format="utc"&gt;1544630946&lt;/last-updated-date&gt;&lt;accession-num&gt;29458934&lt;/accession-num&gt;&lt;electronic-resource-num&gt;10.1016/j.ctim.2017.11.022&lt;/electronic-resource-num&gt;&lt;volume&gt;36&lt;/volume&gt;&lt;/record&gt;&lt;/Cite&gt;&lt;/EndNote&gt;</w:instrText>
      </w:r>
      <w:r>
        <w:rPr>
          <w:color w:val="404040" w:themeColor="text1" w:themeTint="BF"/>
          <w:sz w:val="24"/>
        </w:rPr>
        <w:fldChar w:fldCharType="separate"/>
      </w:r>
      <w:r>
        <w:rPr>
          <w:color w:val="404040" w:themeColor="text1" w:themeTint="BF"/>
          <w:sz w:val="24"/>
        </w:rPr>
        <w:t>(Uzuncakmak e Ayaz Alkaya, 2018)</w:t>
      </w:r>
      <w:r>
        <w:rPr>
          <w:color w:val="404040" w:themeColor="text1" w:themeTint="BF"/>
          <w:sz w:val="24"/>
        </w:rPr>
        <w:fldChar w:fldCharType="end"/>
      </w:r>
      <w:r>
        <w:rPr>
          <w:color w:val="404040" w:themeColor="text1" w:themeTint="BF"/>
          <w:sz w:val="24"/>
        </w:rPr>
        <w:t>.</w:t>
      </w:r>
    </w:p>
    <w:p w14:paraId="7E3139EA"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684864" behindDoc="0" locked="0" layoutInCell="1" allowOverlap="1">
                <wp:simplePos x="0" y="0"/>
                <wp:positionH relativeFrom="margin">
                  <wp:posOffset>5715</wp:posOffset>
                </wp:positionH>
                <wp:positionV relativeFrom="paragraph">
                  <wp:posOffset>90805</wp:posOffset>
                </wp:positionV>
                <wp:extent cx="5724525" cy="504825"/>
                <wp:effectExtent l="0" t="0" r="28575" b="28575"/>
                <wp:wrapNone/>
                <wp:docPr id="35" name="Caixa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04825"/>
                        </a:xfrm>
                        <a:prstGeom prst="rect">
                          <a:avLst/>
                        </a:prstGeom>
                        <a:solidFill>
                          <a:schemeClr val="bg1">
                            <a:lumMod val="100000"/>
                            <a:lumOff val="0"/>
                          </a:schemeClr>
                        </a:solidFill>
                        <a:ln w="9525">
                          <a:solidFill>
                            <a:srgbClr val="0070C0"/>
                          </a:solidFill>
                          <a:miter lim="800000"/>
                        </a:ln>
                      </wps:spPr>
                      <wps:txbx>
                        <w:txbxContent>
                          <w:p w14:paraId="1102A30C" w14:textId="6FD62E8D" w:rsidR="00FA41FC" w:rsidRDefault="00FA41FC">
                            <w:pPr>
                              <w:jc w:val="center"/>
                              <w:rPr>
                                <w:rFonts w:ascii="Swis721 Th BT" w:hAnsi="Swis721 Th BT"/>
                                <w:sz w:val="23"/>
                                <w:szCs w:val="23"/>
                              </w:rPr>
                            </w:pPr>
                            <w:r>
                              <w:rPr>
                                <w:rFonts w:ascii="Swis721 Th BT" w:hAnsi="Swis721 Th BT"/>
                                <w:sz w:val="23"/>
                                <w:szCs w:val="23"/>
                              </w:rPr>
                              <w:t xml:space="preserve">Assim, 77 estudantes foram incluídas e acompanhadas por três ciclos, e receberam 10 dias antes até o início do ciclo: </w:t>
                            </w:r>
                          </w:p>
                          <w:p w14:paraId="2D35AFA5"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35" o:spid="_x0000_s1040" type="#_x0000_t202" style="position:absolute;left:0;text-align:left;margin-left:.45pt;margin-top:7.15pt;width:450.75pt;height:39.75pt;z-index:2516848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" fillcolor="white [3212]" strokecolor="#0070c0">
                <v:textbox>
                  <w:txbxContent>
                    <w:p w14:paraId="1102A30C" w14:textId="6FD62E8D" w:rsidR="00FA41FC" w:rsidRDefault="00FA41FC">
                      <w:pPr>
                        <w:jc w:val="center"/>
                        <w:rPr>
                          <w:rFonts w:ascii="Swis721 Th BT" w:hAnsi="Swis721 Th BT"/>
                          <w:sz w:val="23"/>
                          <w:szCs w:val="23"/>
                        </w:rPr>
                      </w:pPr>
                      <w:r>
                        <w:rPr>
                          <w:rFonts w:ascii="Swis721 Th BT" w:hAnsi="Swis721 Th BT"/>
                          <w:sz w:val="23"/>
                          <w:szCs w:val="23"/>
                        </w:rPr>
                        <w:t xml:space="preserve">Assim, 77 estudantes foram incluídas e acompanhadas por três ciclos, e receberam 10 dias antes até o início do ciclo: </w:t>
                      </w:r>
                    </w:p>
                    <w:p w14:paraId="2D35AFA5"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7FA00DD3" w14:textId="77777777" w:rsidR="00CD65C2" w:rsidRDefault="00CD65C2">
      <w:pPr>
        <w:pStyle w:val="Corpo"/>
        <w:rPr>
          <w:rFonts w:hint="eastAsia"/>
          <w:color w:val="404040" w:themeColor="text1" w:themeTint="BF"/>
        </w:rPr>
      </w:pPr>
    </w:p>
    <w:p w14:paraId="3A3F6365" w14:textId="77777777" w:rsidR="00CD65C2" w:rsidRDefault="00CD65C2">
      <w:pPr>
        <w:pStyle w:val="Corpo"/>
        <w:rPr>
          <w:rFonts w:hint="eastAsia"/>
          <w:color w:val="404040" w:themeColor="text1" w:themeTint="BF"/>
        </w:rPr>
      </w:pPr>
    </w:p>
    <w:p w14:paraId="2CD4EA64"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682816"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36" name="Triângulo isósceles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36" o:spid="_x0000_s1026" o:spt="5" type="#_x0000_t5" style="position:absolute;left:0pt;flip:y;margin-left:65.25pt;margin-top:0.85pt;height:10.9pt;width:17.85pt;z-index:251682816;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n+uDbdYA&#10;AAAIAQAADwAAAAAAAAABACAAAAAiAAAAZHJzL2Rvd25yZXYueG1sUEsBAhQAFAAAAAgAh07iQPR1&#10;RXJaAgAApQQAAA4AAAAAAAAAAQAgAAAAJQEAAGRycy9lMm9Eb2MueG1sUEsFBgAAAAAGAAYAWQEA&#10;APEFA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681792" behindDoc="0" locked="0" layoutInCell="1" allowOverlap="1">
                <wp:simplePos x="0" y="0"/>
                <wp:positionH relativeFrom="column">
                  <wp:posOffset>4664710</wp:posOffset>
                </wp:positionH>
                <wp:positionV relativeFrom="paragraph">
                  <wp:posOffset>10795</wp:posOffset>
                </wp:positionV>
                <wp:extent cx="226695" cy="138430"/>
                <wp:effectExtent l="0" t="0" r="1905" b="0"/>
                <wp:wrapNone/>
                <wp:docPr id="37" name="Triângulo isósceles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37" o:spid="_x0000_s1026" o:spt="5" type="#_x0000_t5" style="position:absolute;left:0pt;flip:y;margin-left:367.3pt;margin-top:0.85pt;height:10.9pt;width:17.85pt;z-index:251681792;mso-width-relative:page;mso-height-relative:page;" fillcolor="#D9D9D9 [3212]" filled="t" stroked="f" coordsize="21600,21600" o:gfxdata="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KsimVtYA&#10;AAAIAQAADwAAAAAAAAABACAAAAAiAAAAZHJzL2Rvd25yZXYueG1sUEsBAhQAFAAAAAgAh07iQKPA&#10;7PNaAgAApQQAAA4AAAAAAAAAAQAgAAAAJQEAAGRycy9lMm9Eb2MueG1sUEsFBgAAAAAGAAYAWQEA&#10;APEFAAAAAA==&#10;" adj="10800">
                <v:fill on="t" focussize="0,0"/>
                <v:stroke on="f"/>
                <v:imagedata o:title=""/>
                <o:lock v:ext="edit" aspectratio="f"/>
              </v:shape>
            </w:pict>
          </mc:Fallback>
        </mc:AlternateContent>
      </w:r>
    </w:p>
    <w:p w14:paraId="7F30C9DA"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680768" behindDoc="0" locked="0" layoutInCell="1" allowOverlap="1">
                <wp:simplePos x="0" y="0"/>
                <wp:positionH relativeFrom="column">
                  <wp:posOffset>-5715</wp:posOffset>
                </wp:positionH>
                <wp:positionV relativeFrom="paragraph">
                  <wp:posOffset>88900</wp:posOffset>
                </wp:positionV>
                <wp:extent cx="1913890" cy="781685"/>
                <wp:effectExtent l="0" t="0" r="10160" b="18415"/>
                <wp:wrapNone/>
                <wp:docPr id="38" name="Caixa de texto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34871595"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Aromaterapia com </w:t>
                            </w:r>
                            <w:r>
                              <w:rPr>
                                <w:rFonts w:ascii="Swis721 Th BT" w:hAnsi="Swis721 Th BT"/>
                                <w:color w:val="FFFFFF" w:themeColor="background1"/>
                                <w:szCs w:val="23"/>
                              </w:rPr>
                              <w:t>Óleo de Lavanda</w:t>
                            </w:r>
                          </w:p>
                          <w:p w14:paraId="3D53D137"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Diariamente</w:t>
                            </w:r>
                          </w:p>
                          <w:p w14:paraId="538E0DE3"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38" o:spid="_x0000_s1041" type="#_x0000_t202" style="position:absolute;left:0;text-align:left;margin-left:-.45pt;margin-top:7pt;width:150.7pt;height:61.5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" fillcolor="#0070c0" strokecolor="#0070c0">
                <v:textbox>
                  <w:txbxContent>
                    <w:p w14:paraId="34871595"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Aromaterapia com </w:t>
                      </w:r>
                      <w:r>
                        <w:rPr>
                          <w:rFonts w:ascii="Swis721 Th BT" w:hAnsi="Swis721 Th BT"/>
                          <w:color w:val="FFFFFF" w:themeColor="background1"/>
                          <w:szCs w:val="23"/>
                        </w:rPr>
                        <w:t>Óleo de Lavanda</w:t>
                      </w:r>
                    </w:p>
                    <w:p w14:paraId="3D53D137"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Diariamente</w:t>
                      </w:r>
                    </w:p>
                    <w:p w14:paraId="538E0DE3"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683840" behindDoc="0" locked="0" layoutInCell="1" allowOverlap="1">
                <wp:simplePos x="0" y="0"/>
                <wp:positionH relativeFrom="column">
                  <wp:posOffset>3839210</wp:posOffset>
                </wp:positionH>
                <wp:positionV relativeFrom="paragraph">
                  <wp:posOffset>88900</wp:posOffset>
                </wp:positionV>
                <wp:extent cx="1905000" cy="781685"/>
                <wp:effectExtent l="0" t="0" r="19050" b="18415"/>
                <wp:wrapNone/>
                <wp:docPr id="39" name="Caixa de texto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4BDF4C3C"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507C87CA" w14:textId="77777777" w:rsidR="00FA41FC" w:rsidRDefault="00FA41FC">
                            <w:pPr>
                              <w:spacing w:after="0" w:line="240" w:lineRule="auto"/>
                              <w:jc w:val="center"/>
                              <w:rPr>
                                <w:rFonts w:ascii="Swis721 Th BT" w:hAnsi="Swis721 Th BT"/>
                                <w:b/>
                                <w:color w:val="FFFFFF" w:themeColor="background1"/>
                                <w:sz w:val="23"/>
                                <w:szCs w:val="23"/>
                              </w:rPr>
                            </w:pPr>
                          </w:p>
                          <w:p w14:paraId="54724319" w14:textId="77777777" w:rsidR="00FA41FC" w:rsidRDefault="00FA41FC">
                            <w:pPr>
                              <w:spacing w:after="0" w:line="240" w:lineRule="auto"/>
                              <w:jc w:val="center"/>
                            </w:pPr>
                            <w:r>
                              <w:rPr>
                                <w:rFonts w:ascii="Swis721 Th BT" w:hAnsi="Swis721 Th BT"/>
                                <w:color w:val="FFFFFF" w:themeColor="background1"/>
                                <w:sz w:val="23"/>
                                <w:szCs w:val="23"/>
                              </w:rPr>
                              <w:t>Controle</w:t>
                            </w:r>
                          </w:p>
                        </w:txbxContent>
                      </wps:txbx>
                      <wps:bodyPr rot="0" vert="horz" wrap="square" lIns="91440" tIns="45720" rIns="91440" bIns="45720" anchor="ctr" anchorCtr="0" upright="1">
                        <a:noAutofit/>
                      </wps:bodyPr>
                    </wps:wsp>
                  </a:graphicData>
                </a:graphic>
              </wp:anchor>
            </w:drawing>
          </mc:Choice>
          <mc:Fallback>
            <w:pict>
              <v:shape id="Caixa de texto 39" o:spid="_x0000_s1042" type="#_x0000_t202" style="position:absolute;left:0;text-align:left;margin-left:302.3pt;margin-top:7pt;width:150pt;height:61.5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" fillcolor="#0070c0" strokecolor="#0070c0">
                <v:textbox>
                  <w:txbxContent>
                    <w:p w14:paraId="4BDF4C3C"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507C87CA" w14:textId="77777777" w:rsidR="00FA41FC" w:rsidRDefault="00FA41FC">
                      <w:pPr>
                        <w:spacing w:after="0" w:line="240" w:lineRule="auto"/>
                        <w:jc w:val="center"/>
                        <w:rPr>
                          <w:rFonts w:ascii="Swis721 Th BT" w:hAnsi="Swis721 Th BT"/>
                          <w:b/>
                          <w:color w:val="FFFFFF" w:themeColor="background1"/>
                          <w:sz w:val="23"/>
                          <w:szCs w:val="23"/>
                        </w:rPr>
                      </w:pPr>
                    </w:p>
                    <w:p w14:paraId="54724319" w14:textId="77777777" w:rsidR="00FA41FC" w:rsidRDefault="00FA41FC">
                      <w:pPr>
                        <w:spacing w:after="0" w:line="240" w:lineRule="auto"/>
                        <w:jc w:val="center"/>
                      </w:pPr>
                      <w:r>
                        <w:rPr>
                          <w:rFonts w:ascii="Swis721 Th BT" w:hAnsi="Swis721 Th BT"/>
                          <w:color w:val="FFFFFF" w:themeColor="background1"/>
                          <w:sz w:val="23"/>
                          <w:szCs w:val="23"/>
                        </w:rPr>
                        <w:t>Controle</w:t>
                      </w:r>
                    </w:p>
                  </w:txbxContent>
                </v:textbox>
              </v:shape>
            </w:pict>
          </mc:Fallback>
        </mc:AlternateContent>
      </w:r>
    </w:p>
    <w:p w14:paraId="3E84F371" w14:textId="77777777" w:rsidR="00CD65C2" w:rsidRDefault="00CD65C2">
      <w:pPr>
        <w:pStyle w:val="Corpo"/>
        <w:rPr>
          <w:rFonts w:hint="eastAsia"/>
          <w:color w:val="404040" w:themeColor="text1" w:themeTint="BF"/>
        </w:rPr>
      </w:pPr>
    </w:p>
    <w:p w14:paraId="0D7C1C55" w14:textId="77777777" w:rsidR="00CD65C2" w:rsidRDefault="00CD65C2">
      <w:pPr>
        <w:pStyle w:val="Corpo"/>
        <w:rPr>
          <w:rFonts w:hint="eastAsia"/>
          <w:color w:val="404040" w:themeColor="text1" w:themeTint="BF"/>
        </w:rPr>
      </w:pPr>
    </w:p>
    <w:p w14:paraId="6D579A08" w14:textId="77777777" w:rsidR="00CD65C2" w:rsidRDefault="00CD65C2">
      <w:pPr>
        <w:pStyle w:val="Corpo"/>
        <w:rPr>
          <w:rFonts w:hint="eastAsia"/>
          <w:color w:val="404040" w:themeColor="text1" w:themeTint="BF"/>
        </w:rPr>
      </w:pPr>
    </w:p>
    <w:p w14:paraId="54BD04BD" w14:textId="77777777" w:rsidR="00CD65C2" w:rsidRDefault="00CD65C2">
      <w:pPr>
        <w:pStyle w:val="Corpo"/>
        <w:spacing w:before="120"/>
        <w:rPr>
          <w:rFonts w:hint="eastAsia"/>
          <w:color w:val="404040" w:themeColor="text1" w:themeTint="BF"/>
          <w:sz w:val="20"/>
        </w:rPr>
      </w:pPr>
    </w:p>
    <w:p w14:paraId="726BACC9" w14:textId="77777777" w:rsidR="00CD65C2" w:rsidRDefault="00CD65C2">
      <w:pPr>
        <w:pStyle w:val="Corpo"/>
        <w:rPr>
          <w:rFonts w:hint="eastAsia"/>
          <w:b/>
          <w:color w:val="339966"/>
          <w:sz w:val="25"/>
          <w:szCs w:val="25"/>
          <w14:textFill>
            <w14:solidFill>
              <w14:srgbClr w14:val="339966">
                <w14:lumMod w14:val="75000"/>
                <w14:lumOff w14:val="25000"/>
              </w14:srgbClr>
            </w14:solidFill>
          </w14:textFill>
        </w:rPr>
      </w:pPr>
    </w:p>
    <w:p w14:paraId="27D08AF7"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066FE799" w14:textId="77777777" w:rsidR="00CD65C2" w:rsidRDefault="00CD65C2">
      <w:pPr>
        <w:pStyle w:val="Corpo"/>
        <w:rPr>
          <w:rFonts w:hint="eastAsia"/>
          <w:color w:val="404040" w:themeColor="text1" w:themeTint="BF"/>
          <w:sz w:val="16"/>
          <w:szCs w:val="16"/>
        </w:rPr>
      </w:pPr>
    </w:p>
    <w:p w14:paraId="0E147F19" w14:textId="77777777"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Houve diferença estatisticamente significativa nos escores médios de SPM entre os grupos;</w:t>
      </w:r>
    </w:p>
    <w:p w14:paraId="435CA37F" w14:textId="77777777"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Foi observada diferença significativa entre os grupos em termos da escala de SPM e sub-dimensões de ansiedade, afeto depressivo, dor, inchaço e pensamentos depressivos no início e no ciclo 3.</w:t>
      </w:r>
    </w:p>
    <w:p w14:paraId="53F90891" w14:textId="77777777" w:rsidR="00CD65C2" w:rsidRDefault="00CD65C2">
      <w:pPr>
        <w:pStyle w:val="Corpo"/>
        <w:spacing w:after="120"/>
        <w:ind w:left="360"/>
        <w:rPr>
          <w:rFonts w:hint="eastAsia"/>
          <w:color w:val="404040" w:themeColor="text1" w:themeTint="BF"/>
          <w:sz w:val="24"/>
        </w:rPr>
      </w:pPr>
    </w:p>
    <w:p w14:paraId="13CA7CD1" w14:textId="77777777" w:rsidR="00CD65C2" w:rsidRDefault="00FA41FC">
      <w:pPr>
        <w:pStyle w:val="Corpo"/>
        <w:spacing w:after="120"/>
        <w:jc w:val="center"/>
        <w:rPr>
          <w:rFonts w:hint="eastAsia"/>
          <w:b/>
          <w:color w:val="404040" w:themeColor="text1" w:themeTint="BF"/>
          <w:sz w:val="24"/>
        </w:rPr>
      </w:pPr>
      <w:r>
        <w:rPr>
          <w:b/>
          <w:color w:val="404040" w:themeColor="text1" w:themeTint="BF"/>
          <w:sz w:val="24"/>
        </w:rPr>
        <w:t>Média dos Escores de SPM</w:t>
      </w:r>
    </w:p>
    <w:tbl>
      <w:tblPr>
        <w:tblStyle w:val="TabelaSimples22"/>
        <w:tblW w:w="0" w:type="auto"/>
        <w:jc w:val="center"/>
        <w:tblLook w:val="04A0" w:firstRow="1" w:lastRow="0" w:firstColumn="1" w:lastColumn="0" w:noHBand="0" w:noVBand="1"/>
      </w:tblPr>
      <w:tblGrid>
        <w:gridCol w:w="1632"/>
        <w:gridCol w:w="1615"/>
        <w:gridCol w:w="1615"/>
      </w:tblGrid>
      <w:tr w:rsidR="00CD65C2" w14:paraId="0DC06FF1" w14:textId="77777777" w:rsidTr="00CD65C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2" w:type="dxa"/>
          </w:tcPr>
          <w:p w14:paraId="5A23251B" w14:textId="77777777" w:rsidR="00CD65C2" w:rsidRDefault="00FA41FC">
            <w:pPr>
              <w:pStyle w:val="Corpo"/>
              <w:spacing w:before="80" w:after="80"/>
              <w:jc w:val="center"/>
              <w:rPr>
                <w:rFonts w:hint="eastAsia"/>
                <w:b w:val="0"/>
                <w:bCs w:val="0"/>
                <w:color w:val="404040" w:themeColor="text1" w:themeTint="BF"/>
                <w:sz w:val="22"/>
                <w:szCs w:val="22"/>
              </w:rPr>
            </w:pPr>
            <w:r>
              <w:rPr>
                <w:color w:val="404040" w:themeColor="text1" w:themeTint="BF"/>
                <w:sz w:val="22"/>
                <w:szCs w:val="22"/>
              </w:rPr>
              <w:t>Período</w:t>
            </w:r>
          </w:p>
        </w:tc>
        <w:tc>
          <w:tcPr>
            <w:tcW w:w="1615" w:type="dxa"/>
          </w:tcPr>
          <w:p w14:paraId="11536C15" w14:textId="77777777" w:rsidR="00CD65C2" w:rsidRDefault="00FA41FC">
            <w:pPr>
              <w:pStyle w:val="Corpo"/>
              <w:spacing w:before="80" w:after="80"/>
              <w:jc w:val="center"/>
              <w:cnfStyle w:val="100000000000" w:firstRow="1" w:lastRow="0" w:firstColumn="0" w:lastColumn="0" w:oddVBand="0" w:evenVBand="0" w:oddHBand="0" w:evenHBand="0" w:firstRowFirstColumn="0" w:firstRowLastColumn="0" w:lastRowFirstColumn="0" w:lastRowLastColumn="0"/>
              <w:rPr>
                <w:rFonts w:hint="eastAsia"/>
                <w:b w:val="0"/>
                <w:bCs w:val="0"/>
                <w:color w:val="404040" w:themeColor="text1" w:themeTint="BF"/>
                <w:sz w:val="22"/>
                <w:szCs w:val="22"/>
              </w:rPr>
            </w:pPr>
            <w:r>
              <w:rPr>
                <w:color w:val="404040" w:themeColor="text1" w:themeTint="BF"/>
                <w:sz w:val="22"/>
                <w:szCs w:val="22"/>
              </w:rPr>
              <w:t>Grupo 1</w:t>
            </w:r>
          </w:p>
        </w:tc>
        <w:tc>
          <w:tcPr>
            <w:tcW w:w="1615" w:type="dxa"/>
          </w:tcPr>
          <w:p w14:paraId="48660AFD" w14:textId="77777777" w:rsidR="00CD65C2" w:rsidRDefault="00FA41FC">
            <w:pPr>
              <w:pStyle w:val="Corpo"/>
              <w:spacing w:before="80" w:after="80"/>
              <w:jc w:val="center"/>
              <w:cnfStyle w:val="100000000000" w:firstRow="1" w:lastRow="0" w:firstColumn="0" w:lastColumn="0" w:oddVBand="0" w:evenVBand="0" w:oddHBand="0" w:evenHBand="0" w:firstRowFirstColumn="0" w:firstRowLastColumn="0" w:lastRowFirstColumn="0" w:lastRowLastColumn="0"/>
              <w:rPr>
                <w:rFonts w:hint="eastAsia"/>
                <w:b w:val="0"/>
                <w:bCs w:val="0"/>
                <w:color w:val="404040" w:themeColor="text1" w:themeTint="BF"/>
                <w:sz w:val="22"/>
                <w:szCs w:val="22"/>
              </w:rPr>
            </w:pPr>
            <w:r>
              <w:rPr>
                <w:color w:val="404040" w:themeColor="text1" w:themeTint="BF"/>
                <w:sz w:val="22"/>
                <w:szCs w:val="22"/>
              </w:rPr>
              <w:t>Grupo 2</w:t>
            </w:r>
          </w:p>
        </w:tc>
      </w:tr>
      <w:tr w:rsidR="00CD65C2" w14:paraId="60CA0AA1" w14:textId="77777777" w:rsidTr="00CD65C2">
        <w:trPr>
          <w:jc w:val="center"/>
        </w:trPr>
        <w:tc>
          <w:tcPr>
            <w:cnfStyle w:val="001000000000" w:firstRow="0" w:lastRow="0" w:firstColumn="1" w:lastColumn="0" w:oddVBand="0" w:evenVBand="0" w:oddHBand="0" w:evenHBand="0" w:firstRowFirstColumn="0" w:firstRowLastColumn="0" w:lastRowFirstColumn="0" w:lastRowLastColumn="0"/>
            <w:tcW w:w="1632" w:type="dxa"/>
            <w:tcBorders>
              <w:top w:val="single" w:sz="4" w:space="0" w:color="7F7F7F" w:themeColor="text1" w:themeTint="80"/>
              <w:bottom w:val="single" w:sz="4" w:space="0" w:color="7F7F7F" w:themeColor="text1" w:themeTint="80"/>
            </w:tcBorders>
          </w:tcPr>
          <w:p w14:paraId="2A9336D6" w14:textId="77777777" w:rsidR="00CD65C2" w:rsidRDefault="00FA41FC">
            <w:pPr>
              <w:pStyle w:val="Corpo"/>
              <w:spacing w:before="80" w:after="80"/>
              <w:jc w:val="center"/>
              <w:rPr>
                <w:rFonts w:hint="eastAsia"/>
                <w:b w:val="0"/>
                <w:bCs w:val="0"/>
                <w:color w:val="404040" w:themeColor="text1" w:themeTint="BF"/>
                <w:sz w:val="22"/>
                <w:szCs w:val="22"/>
              </w:rPr>
            </w:pPr>
            <w:r>
              <w:rPr>
                <w:color w:val="404040" w:themeColor="text1" w:themeTint="BF"/>
                <w:sz w:val="22"/>
                <w:szCs w:val="22"/>
              </w:rPr>
              <w:t>Início</w:t>
            </w:r>
          </w:p>
        </w:tc>
        <w:tc>
          <w:tcPr>
            <w:tcW w:w="1615" w:type="dxa"/>
            <w:tcBorders>
              <w:top w:val="single" w:sz="4" w:space="0" w:color="7F7F7F" w:themeColor="text1" w:themeTint="80"/>
              <w:bottom w:val="single" w:sz="4" w:space="0" w:color="7F7F7F" w:themeColor="text1" w:themeTint="80"/>
            </w:tcBorders>
          </w:tcPr>
          <w:p w14:paraId="6CAB71C0" w14:textId="77777777" w:rsidR="00CD65C2" w:rsidRDefault="00FA41FC">
            <w:pPr>
              <w:pStyle w:val="Corpo"/>
              <w:spacing w:before="80" w:after="8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157,4 ± 19,6</w:t>
            </w:r>
          </w:p>
        </w:tc>
        <w:tc>
          <w:tcPr>
            <w:tcW w:w="1615" w:type="dxa"/>
            <w:tcBorders>
              <w:top w:val="single" w:sz="4" w:space="0" w:color="7F7F7F" w:themeColor="text1" w:themeTint="80"/>
              <w:bottom w:val="single" w:sz="4" w:space="0" w:color="7F7F7F" w:themeColor="text1" w:themeTint="80"/>
            </w:tcBorders>
          </w:tcPr>
          <w:p w14:paraId="0837D3EE" w14:textId="77777777" w:rsidR="00CD65C2" w:rsidRDefault="00FA41FC">
            <w:pPr>
              <w:pStyle w:val="Corpo"/>
              <w:spacing w:before="80" w:after="8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153,7 ± 20,5</w:t>
            </w:r>
          </w:p>
        </w:tc>
      </w:tr>
      <w:tr w:rsidR="00CD65C2" w14:paraId="7AFED6AD" w14:textId="77777777" w:rsidTr="00CD65C2">
        <w:trPr>
          <w:jc w:val="center"/>
        </w:trPr>
        <w:tc>
          <w:tcPr>
            <w:cnfStyle w:val="001000000000" w:firstRow="0" w:lastRow="0" w:firstColumn="1" w:lastColumn="0" w:oddVBand="0" w:evenVBand="0" w:oddHBand="0" w:evenHBand="0" w:firstRowFirstColumn="0" w:firstRowLastColumn="0" w:lastRowFirstColumn="0" w:lastRowLastColumn="0"/>
            <w:tcW w:w="1632" w:type="dxa"/>
          </w:tcPr>
          <w:p w14:paraId="4206B308" w14:textId="77777777" w:rsidR="00CD65C2" w:rsidRDefault="00FA41FC">
            <w:pPr>
              <w:pStyle w:val="Corpo"/>
              <w:spacing w:before="80" w:after="80"/>
              <w:jc w:val="center"/>
              <w:rPr>
                <w:rFonts w:hint="eastAsia"/>
                <w:b w:val="0"/>
                <w:bCs w:val="0"/>
                <w:color w:val="404040" w:themeColor="text1" w:themeTint="BF"/>
                <w:sz w:val="22"/>
                <w:szCs w:val="22"/>
              </w:rPr>
            </w:pPr>
            <w:r>
              <w:rPr>
                <w:color w:val="404040" w:themeColor="text1" w:themeTint="BF"/>
                <w:sz w:val="22"/>
                <w:szCs w:val="22"/>
              </w:rPr>
              <w:t>Ciclo 1</w:t>
            </w:r>
          </w:p>
        </w:tc>
        <w:tc>
          <w:tcPr>
            <w:tcW w:w="1615" w:type="dxa"/>
          </w:tcPr>
          <w:p w14:paraId="160F0D01" w14:textId="77777777" w:rsidR="00CD65C2" w:rsidRDefault="00FA41FC">
            <w:pPr>
              <w:pStyle w:val="Corpo"/>
              <w:spacing w:before="80" w:after="8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103,9 ± 36,4</w:t>
            </w:r>
          </w:p>
        </w:tc>
        <w:tc>
          <w:tcPr>
            <w:tcW w:w="1615" w:type="dxa"/>
          </w:tcPr>
          <w:p w14:paraId="5A72A3B2" w14:textId="77777777" w:rsidR="00CD65C2" w:rsidRDefault="00FA41FC">
            <w:pPr>
              <w:pStyle w:val="Corpo"/>
              <w:spacing w:before="80" w:after="8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136,7 ± 28,2</w:t>
            </w:r>
          </w:p>
        </w:tc>
      </w:tr>
      <w:tr w:rsidR="00CD65C2" w14:paraId="20D36BC8" w14:textId="77777777" w:rsidTr="00CD65C2">
        <w:trPr>
          <w:jc w:val="center"/>
        </w:trPr>
        <w:tc>
          <w:tcPr>
            <w:cnfStyle w:val="001000000000" w:firstRow="0" w:lastRow="0" w:firstColumn="1" w:lastColumn="0" w:oddVBand="0" w:evenVBand="0" w:oddHBand="0" w:evenHBand="0" w:firstRowFirstColumn="0" w:firstRowLastColumn="0" w:lastRowFirstColumn="0" w:lastRowLastColumn="0"/>
            <w:tcW w:w="1632" w:type="dxa"/>
            <w:tcBorders>
              <w:top w:val="single" w:sz="4" w:space="0" w:color="7F7F7F" w:themeColor="text1" w:themeTint="80"/>
              <w:bottom w:val="single" w:sz="4" w:space="0" w:color="7F7F7F" w:themeColor="text1" w:themeTint="80"/>
            </w:tcBorders>
          </w:tcPr>
          <w:p w14:paraId="1D7EA416" w14:textId="77777777" w:rsidR="00CD65C2" w:rsidRDefault="00FA41FC">
            <w:pPr>
              <w:pStyle w:val="Corpo"/>
              <w:spacing w:before="80" w:after="80"/>
              <w:jc w:val="center"/>
              <w:rPr>
                <w:rFonts w:hint="eastAsia"/>
                <w:b w:val="0"/>
                <w:bCs w:val="0"/>
                <w:color w:val="404040" w:themeColor="text1" w:themeTint="BF"/>
                <w:sz w:val="22"/>
                <w:szCs w:val="22"/>
              </w:rPr>
            </w:pPr>
            <w:r>
              <w:rPr>
                <w:color w:val="404040" w:themeColor="text1" w:themeTint="BF"/>
                <w:sz w:val="22"/>
                <w:szCs w:val="22"/>
              </w:rPr>
              <w:t>Ciclo 2</w:t>
            </w:r>
          </w:p>
        </w:tc>
        <w:tc>
          <w:tcPr>
            <w:tcW w:w="1615" w:type="dxa"/>
            <w:tcBorders>
              <w:top w:val="single" w:sz="4" w:space="0" w:color="7F7F7F" w:themeColor="text1" w:themeTint="80"/>
              <w:bottom w:val="single" w:sz="4" w:space="0" w:color="7F7F7F" w:themeColor="text1" w:themeTint="80"/>
            </w:tcBorders>
          </w:tcPr>
          <w:p w14:paraId="1E698F93" w14:textId="77777777" w:rsidR="00CD65C2" w:rsidRDefault="00FA41FC">
            <w:pPr>
              <w:pStyle w:val="Corpo"/>
              <w:spacing w:before="80" w:after="8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94,9 ± 32,7</w:t>
            </w:r>
          </w:p>
        </w:tc>
        <w:tc>
          <w:tcPr>
            <w:tcW w:w="1615" w:type="dxa"/>
            <w:tcBorders>
              <w:top w:val="single" w:sz="4" w:space="0" w:color="7F7F7F" w:themeColor="text1" w:themeTint="80"/>
              <w:bottom w:val="single" w:sz="4" w:space="0" w:color="7F7F7F" w:themeColor="text1" w:themeTint="80"/>
            </w:tcBorders>
          </w:tcPr>
          <w:p w14:paraId="52B5BAFD" w14:textId="77777777" w:rsidR="00CD65C2" w:rsidRDefault="00FA41FC">
            <w:pPr>
              <w:pStyle w:val="Corpo"/>
              <w:spacing w:before="80" w:after="8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131,6 ± 37,1</w:t>
            </w:r>
          </w:p>
        </w:tc>
      </w:tr>
      <w:tr w:rsidR="00CD65C2" w14:paraId="2914E6EF" w14:textId="77777777" w:rsidTr="00CD65C2">
        <w:trPr>
          <w:jc w:val="center"/>
        </w:trPr>
        <w:tc>
          <w:tcPr>
            <w:cnfStyle w:val="001000000000" w:firstRow="0" w:lastRow="0" w:firstColumn="1" w:lastColumn="0" w:oddVBand="0" w:evenVBand="0" w:oddHBand="0" w:evenHBand="0" w:firstRowFirstColumn="0" w:firstRowLastColumn="0" w:lastRowFirstColumn="0" w:lastRowLastColumn="0"/>
            <w:tcW w:w="1632" w:type="dxa"/>
          </w:tcPr>
          <w:p w14:paraId="69DA9266" w14:textId="77777777" w:rsidR="00CD65C2" w:rsidRDefault="00FA41FC">
            <w:pPr>
              <w:pStyle w:val="Corpo"/>
              <w:spacing w:before="80" w:after="80"/>
              <w:jc w:val="center"/>
              <w:rPr>
                <w:rFonts w:hint="eastAsia"/>
                <w:b w:val="0"/>
                <w:bCs w:val="0"/>
                <w:color w:val="404040" w:themeColor="text1" w:themeTint="BF"/>
                <w:sz w:val="22"/>
                <w:szCs w:val="22"/>
              </w:rPr>
            </w:pPr>
            <w:r>
              <w:rPr>
                <w:color w:val="404040" w:themeColor="text1" w:themeTint="BF"/>
                <w:sz w:val="22"/>
                <w:szCs w:val="22"/>
              </w:rPr>
              <w:t>Ciclo 3</w:t>
            </w:r>
          </w:p>
        </w:tc>
        <w:tc>
          <w:tcPr>
            <w:tcW w:w="1615" w:type="dxa"/>
          </w:tcPr>
          <w:p w14:paraId="012F3C7C" w14:textId="77777777" w:rsidR="00CD65C2" w:rsidRDefault="00FA41FC">
            <w:pPr>
              <w:pStyle w:val="Corpo"/>
              <w:spacing w:before="80" w:after="8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85,7 ± 32,7</w:t>
            </w:r>
          </w:p>
        </w:tc>
        <w:tc>
          <w:tcPr>
            <w:tcW w:w="1615" w:type="dxa"/>
          </w:tcPr>
          <w:p w14:paraId="0C3003F8" w14:textId="77777777" w:rsidR="00CD65C2" w:rsidRDefault="00FA41FC">
            <w:pPr>
              <w:pStyle w:val="Corpo"/>
              <w:spacing w:before="80" w:after="8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115,9 ± 42,6</w:t>
            </w:r>
          </w:p>
        </w:tc>
      </w:tr>
    </w:tbl>
    <w:p w14:paraId="21EC39C0" w14:textId="77777777" w:rsidR="00CD65C2" w:rsidRDefault="00CD65C2">
      <w:pPr>
        <w:pStyle w:val="Corpo"/>
        <w:ind w:left="786"/>
        <w:rPr>
          <w:rFonts w:hint="eastAsia"/>
          <w:color w:val="404040" w:themeColor="text1" w:themeTint="BF"/>
          <w:sz w:val="24"/>
        </w:rPr>
      </w:pPr>
    </w:p>
    <w:p w14:paraId="7E70518D"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35F58BC4" w14:textId="77777777" w:rsidR="00CD65C2" w:rsidRDefault="00CD65C2">
      <w:pPr>
        <w:pStyle w:val="Corpo"/>
        <w:rPr>
          <w:rFonts w:hint="eastAsia"/>
          <w:b/>
          <w:color w:val="339966"/>
          <w:sz w:val="16"/>
          <w:szCs w:val="16"/>
          <w14:textFill>
            <w14:solidFill>
              <w14:srgbClr w14:val="339966">
                <w14:lumMod w14:val="75000"/>
                <w14:lumOff w14:val="25000"/>
              </w14:srgbClr>
            </w14:solidFill>
          </w14:textFill>
        </w:rPr>
      </w:pPr>
    </w:p>
    <w:p w14:paraId="27FFB1E6" w14:textId="77777777" w:rsidR="00CD65C2" w:rsidRDefault="00FA41FC">
      <w:pPr>
        <w:pStyle w:val="Corpo"/>
        <w:jc w:val="center"/>
        <w:rPr>
          <w:rFonts w:hint="eastAsia"/>
          <w:b/>
          <w:i/>
          <w:color w:val="404040" w:themeColor="text1" w:themeTint="BF"/>
        </w:rPr>
      </w:pPr>
      <w:r>
        <w:rPr>
          <w:b/>
          <w:i/>
          <w:color w:val="404040" w:themeColor="text1" w:themeTint="BF"/>
        </w:rPr>
        <w:t>Os pesquisadores concluíram que a aromaterapia pela inalação de lavanda é eficaz na síndrome pré-menstrual e reduz os sintomas, como ansiedade, afeto depressivo, nervosismo, dor, inchaço e pensamentos depressivos.</w:t>
      </w:r>
    </w:p>
    <w:p w14:paraId="17589A47" w14:textId="77777777" w:rsidR="00CD65C2" w:rsidRDefault="00FA41FC">
      <w:pPr>
        <w:pStyle w:val="Ttulo1"/>
        <w:jc w:val="center"/>
        <w:rPr>
          <w:rFonts w:hint="eastAsia"/>
        </w:rPr>
      </w:pPr>
      <w:bookmarkStart w:id="15" w:name="_Toc165537167"/>
      <w:r>
        <w:t>Formulário</w:t>
      </w:r>
      <w:bookmarkEnd w:id="15"/>
    </w:p>
    <w:p w14:paraId="3D23417A" w14:textId="77777777" w:rsidR="00CD65C2" w:rsidRDefault="00CD65C2">
      <w:pPr>
        <w:pStyle w:val="Corpo"/>
        <w:rPr>
          <w:rFonts w:hint="eastAsia"/>
          <w:b/>
          <w:i/>
          <w:color w:val="404040" w:themeColor="text1" w:themeTint="BF"/>
        </w:rPr>
      </w:pPr>
    </w:p>
    <w:p w14:paraId="0C93BB31" w14:textId="77777777" w:rsidR="00CD65C2" w:rsidRDefault="00CD65C2">
      <w:pPr>
        <w:pStyle w:val="Corpo"/>
        <w:rPr>
          <w:rFonts w:hint="eastAsia"/>
          <w:b/>
          <w:i/>
          <w:color w:val="404040" w:themeColor="text1" w:themeTint="BF"/>
        </w:rPr>
      </w:pPr>
    </w:p>
    <w:p w14:paraId="1A81006C" w14:textId="77777777" w:rsidR="00CD65C2" w:rsidRDefault="00FA41FC">
      <w:pPr>
        <w:pStyle w:val="Corpo"/>
        <w:rPr>
          <w:rFonts w:hint="eastAsia"/>
          <w:b/>
          <w:i/>
          <w:color w:val="404040" w:themeColor="text1" w:themeTint="BF"/>
          <w:sz w:val="24"/>
        </w:rPr>
      </w:pPr>
      <w:r>
        <w:rPr>
          <w:b/>
          <w:i/>
          <w:color w:val="404040" w:themeColor="text1" w:themeTint="BF"/>
          <w:sz w:val="24"/>
        </w:rPr>
        <w:t>Aromaterapia Melhora os Sintomas da Síndrome Pré-Menstrual</w:t>
      </w:r>
    </w:p>
    <w:p w14:paraId="61F9FCDC"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4930479D"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4E6664A7" w14:textId="77777777" w:rsidR="00CD65C2" w:rsidRDefault="00FA41FC">
            <w:pPr>
              <w:pStyle w:val="Corpo"/>
              <w:jc w:val="center"/>
              <w:rPr>
                <w:rFonts w:hint="eastAsia"/>
                <w:b/>
                <w:color w:val="FFFFFF" w:themeColor="background1"/>
              </w:rPr>
            </w:pPr>
            <w:r>
              <w:rPr>
                <w:b/>
                <w:color w:val="FFFFFF" w:themeColor="background1"/>
                <w:sz w:val="22"/>
              </w:rPr>
              <w:t>Aromaterapia</w:t>
            </w:r>
          </w:p>
        </w:tc>
      </w:tr>
      <w:tr w:rsidR="00CD65C2" w14:paraId="72933B0F"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C382FEB" w14:textId="77777777" w:rsidR="00CD65C2" w:rsidRDefault="00FA41FC">
            <w:pPr>
              <w:pStyle w:val="Corpo"/>
              <w:rPr>
                <w:rFonts w:hint="eastAsia"/>
                <w:color w:val="404040" w:themeColor="text1" w:themeTint="BF"/>
              </w:rPr>
            </w:pPr>
            <w:r>
              <w:rPr>
                <w:color w:val="404040" w:themeColor="text1" w:themeTint="BF"/>
              </w:rPr>
              <w:t>Óleo de Lavanda..............................10 mL</w:t>
            </w:r>
          </w:p>
        </w:tc>
      </w:tr>
    </w:tbl>
    <w:p w14:paraId="154DB5D9" w14:textId="77777777" w:rsidR="00CD65C2" w:rsidRDefault="00FA41FC">
      <w:pPr>
        <w:pStyle w:val="Corpo"/>
        <w:ind w:right="4818"/>
        <w:jc w:val="center"/>
        <w:rPr>
          <w:rFonts w:hint="eastAsia"/>
          <w:color w:val="404040" w:themeColor="text1" w:themeTint="BF"/>
          <w:sz w:val="22"/>
          <w:szCs w:val="22"/>
        </w:rPr>
      </w:pPr>
      <w:r>
        <w:rPr>
          <w:color w:val="404040" w:themeColor="text1" w:themeTint="BF"/>
          <w:sz w:val="22"/>
          <w:szCs w:val="22"/>
        </w:rPr>
        <w:t>Adicionar 3 gotas de óleo de lavanda em 200 mL de água quente e fazer inalação do vapor diariamente. Iniciar 10 dias antes até o início do ciclo menstrual, ou conforme orientação médica.</w:t>
      </w:r>
    </w:p>
    <w:p w14:paraId="614601FF" w14:textId="77777777" w:rsidR="00CD65C2" w:rsidRDefault="00CD65C2">
      <w:pPr>
        <w:pStyle w:val="SemEspaamento"/>
      </w:pPr>
    </w:p>
    <w:p w14:paraId="55C78E5E" w14:textId="77777777" w:rsidR="00CD65C2" w:rsidRDefault="00CD65C2">
      <w:pPr>
        <w:pStyle w:val="SemEspaamento"/>
      </w:pPr>
    </w:p>
    <w:p w14:paraId="63AD9A37" w14:textId="77777777" w:rsidR="00CD65C2" w:rsidRDefault="00CD65C2">
      <w:pPr>
        <w:pStyle w:val="SemEspaamento"/>
      </w:pPr>
    </w:p>
    <w:p w14:paraId="160229AB" w14:textId="77777777" w:rsidR="00CD65C2" w:rsidRDefault="00CD65C2">
      <w:pPr>
        <w:pStyle w:val="SemEspaamento"/>
      </w:pPr>
    </w:p>
    <w:p w14:paraId="6C0537FF" w14:textId="77777777" w:rsidR="00CD65C2" w:rsidRDefault="00CD65C2">
      <w:pPr>
        <w:pStyle w:val="SemEspaamento"/>
      </w:pPr>
    </w:p>
    <w:p w14:paraId="1F42184A" w14:textId="77777777" w:rsidR="00CD65C2" w:rsidRDefault="00CD65C2">
      <w:pPr>
        <w:pStyle w:val="SemEspaamento"/>
      </w:pPr>
    </w:p>
    <w:p w14:paraId="45AAA307" w14:textId="77777777" w:rsidR="00CD65C2" w:rsidRDefault="00CD65C2">
      <w:pPr>
        <w:pStyle w:val="SemEspaamento"/>
      </w:pPr>
    </w:p>
    <w:p w14:paraId="3E3D1CB5" w14:textId="77777777" w:rsidR="00CD65C2" w:rsidRDefault="00CD65C2">
      <w:pPr>
        <w:pStyle w:val="SemEspaamento"/>
      </w:pPr>
    </w:p>
    <w:p w14:paraId="49832B70" w14:textId="77777777" w:rsidR="00CD65C2" w:rsidRDefault="00CD65C2">
      <w:pPr>
        <w:pStyle w:val="SemEspaamento"/>
      </w:pPr>
    </w:p>
    <w:p w14:paraId="48263FCE" w14:textId="77777777" w:rsidR="00CD65C2" w:rsidRDefault="00CD65C2">
      <w:pPr>
        <w:pStyle w:val="SemEspaamento"/>
      </w:pPr>
    </w:p>
    <w:p w14:paraId="7E6A8CB0" w14:textId="77777777" w:rsidR="00CD65C2" w:rsidRDefault="00CD65C2">
      <w:pPr>
        <w:pStyle w:val="SemEspaamento"/>
      </w:pPr>
    </w:p>
    <w:p w14:paraId="58A42762" w14:textId="77777777" w:rsidR="00CD65C2" w:rsidRDefault="00CD65C2">
      <w:pPr>
        <w:pStyle w:val="SemEspaamento"/>
      </w:pPr>
    </w:p>
    <w:p w14:paraId="2C87C6B9" w14:textId="77777777" w:rsidR="00CD65C2" w:rsidRDefault="00CD65C2">
      <w:pPr>
        <w:pStyle w:val="SemEspaamento"/>
      </w:pPr>
    </w:p>
    <w:p w14:paraId="6FDF852A" w14:textId="77777777" w:rsidR="00CD65C2" w:rsidRDefault="00CD65C2">
      <w:pPr>
        <w:pStyle w:val="SemEspaamento"/>
      </w:pPr>
    </w:p>
    <w:p w14:paraId="6D0493EA" w14:textId="77777777" w:rsidR="00CD65C2" w:rsidRDefault="00CD65C2">
      <w:pPr>
        <w:pStyle w:val="SemEspaamento"/>
      </w:pPr>
    </w:p>
    <w:p w14:paraId="63AB7B5B" w14:textId="77777777" w:rsidR="00CD65C2" w:rsidRDefault="00CD65C2">
      <w:pPr>
        <w:pStyle w:val="SemEspaamento"/>
      </w:pPr>
    </w:p>
    <w:p w14:paraId="44A83BEF" w14:textId="77777777" w:rsidR="00CD65C2" w:rsidRDefault="00CD65C2">
      <w:pPr>
        <w:pStyle w:val="SemEspaamento"/>
      </w:pPr>
    </w:p>
    <w:p w14:paraId="05100C8E" w14:textId="77777777" w:rsidR="00CD65C2" w:rsidRDefault="00CD65C2">
      <w:pPr>
        <w:pStyle w:val="SemEspaamento"/>
      </w:pPr>
    </w:p>
    <w:p w14:paraId="53BE5710" w14:textId="77777777" w:rsidR="00CD65C2" w:rsidRDefault="00CD65C2">
      <w:pPr>
        <w:pStyle w:val="SemEspaamento"/>
      </w:pPr>
    </w:p>
    <w:p w14:paraId="481ED27C" w14:textId="77777777" w:rsidR="00CD65C2" w:rsidRDefault="00CD65C2">
      <w:pPr>
        <w:pStyle w:val="SemEspaamento"/>
      </w:pPr>
    </w:p>
    <w:p w14:paraId="617DB86F" w14:textId="77777777" w:rsidR="00CD65C2" w:rsidRDefault="00CD65C2">
      <w:pPr>
        <w:pStyle w:val="SemEspaamento"/>
      </w:pPr>
    </w:p>
    <w:p w14:paraId="2F196EEA" w14:textId="77777777" w:rsidR="00CD65C2" w:rsidRDefault="00CD65C2">
      <w:pPr>
        <w:pStyle w:val="SemEspaamento"/>
      </w:pPr>
    </w:p>
    <w:p w14:paraId="7DC0D2C2" w14:textId="77777777" w:rsidR="00CD65C2" w:rsidRDefault="00CD65C2">
      <w:pPr>
        <w:pStyle w:val="SemEspaamento"/>
      </w:pPr>
    </w:p>
    <w:p w14:paraId="69624ED1" w14:textId="77777777" w:rsidR="00CD65C2" w:rsidRDefault="00CD65C2">
      <w:pPr>
        <w:pStyle w:val="SemEspaamento"/>
      </w:pPr>
    </w:p>
    <w:p w14:paraId="7B7688F4" w14:textId="77777777" w:rsidR="00CD65C2" w:rsidRDefault="00CD65C2">
      <w:pPr>
        <w:pStyle w:val="SemEspaamento"/>
      </w:pPr>
    </w:p>
    <w:p w14:paraId="0D710177" w14:textId="77777777" w:rsidR="00CD65C2" w:rsidRDefault="00CD65C2">
      <w:pPr>
        <w:pStyle w:val="SemEspaamento"/>
      </w:pPr>
    </w:p>
    <w:p w14:paraId="4351D96B" w14:textId="77777777" w:rsidR="00CD65C2" w:rsidRDefault="00CD65C2">
      <w:pPr>
        <w:pStyle w:val="SemEspaamento"/>
      </w:pPr>
    </w:p>
    <w:p w14:paraId="360EB7A3" w14:textId="77777777" w:rsidR="00CD65C2" w:rsidRDefault="00CD65C2">
      <w:pPr>
        <w:pStyle w:val="SemEspaamento"/>
      </w:pPr>
    </w:p>
    <w:p w14:paraId="6DA7B2EA" w14:textId="77777777" w:rsidR="00CD65C2" w:rsidRDefault="00CD65C2">
      <w:pPr>
        <w:pStyle w:val="SemEspaamento"/>
      </w:pPr>
    </w:p>
    <w:p w14:paraId="5587BEE1" w14:textId="77777777" w:rsidR="00CD65C2" w:rsidRDefault="00CD65C2">
      <w:pPr>
        <w:pStyle w:val="SemEspaamento"/>
      </w:pPr>
    </w:p>
    <w:p w14:paraId="53B2B1F4" w14:textId="77777777" w:rsidR="00CD65C2" w:rsidRDefault="00CD65C2">
      <w:pPr>
        <w:pStyle w:val="SemEspaamento"/>
      </w:pPr>
    </w:p>
    <w:p w14:paraId="0961ACEB" w14:textId="77777777" w:rsidR="00CD65C2" w:rsidRDefault="00FA41FC">
      <w:pPr>
        <w:pStyle w:val="Ttulo1"/>
        <w:jc w:val="center"/>
        <w:rPr>
          <w:rFonts w:hint="eastAsia"/>
        </w:rPr>
      </w:pPr>
      <w:bookmarkStart w:id="16" w:name="_Toc165537168"/>
      <w:r>
        <w:t>Fluoxetina</w:t>
      </w:r>
      <w:bookmarkEnd w:id="16"/>
    </w:p>
    <w:p w14:paraId="03336D98" w14:textId="41882E16" w:rsidR="00CD65C2" w:rsidRPr="00D1428E" w:rsidRDefault="00FA41FC">
      <w:pPr>
        <w:pStyle w:val="Corpo"/>
        <w:jc w:val="center"/>
        <w:rPr>
          <w:rFonts w:hint="eastAsia"/>
          <w:b/>
          <w:bCs/>
          <w:color w:val="0070C0"/>
          <w:sz w:val="40"/>
        </w:rPr>
      </w:pPr>
      <w:r w:rsidRPr="00D1428E">
        <w:rPr>
          <w:b/>
          <w:color w:val="0070C0"/>
          <w:sz w:val="40"/>
        </w:rPr>
        <w:t>Promove Diminuição dos Sintomas Emocionais Ligados à SPM</w:t>
      </w:r>
    </w:p>
    <w:p w14:paraId="670018DD" w14:textId="77777777" w:rsidR="00CD65C2" w:rsidRDefault="00CD65C2">
      <w:pPr>
        <w:pStyle w:val="Corpo"/>
        <w:rPr>
          <w:rFonts w:hint="eastAsia"/>
          <w:b/>
          <w:color w:val="0070C0"/>
          <w14:textFill>
            <w14:solidFill>
              <w14:srgbClr w14:val="0070C0">
                <w14:lumMod w14:val="75000"/>
                <w14:lumOff w14:val="25000"/>
              </w14:srgbClr>
            </w14:solidFill>
          </w14:textFill>
        </w:rPr>
      </w:pPr>
    </w:p>
    <w:p w14:paraId="09C6BC6B" w14:textId="77777777" w:rsidR="00CD65C2" w:rsidRDefault="00FA41FC">
      <w:pPr>
        <w:pStyle w:val="Corpo"/>
        <w:rPr>
          <w:rFonts w:hint="eastAsia"/>
          <w:color w:val="404040" w:themeColor="text1" w:themeTint="BF"/>
          <w:sz w:val="24"/>
        </w:rPr>
      </w:pPr>
      <w:r>
        <w:rPr>
          <w:color w:val="404040" w:themeColor="text1" w:themeTint="BF"/>
          <w:sz w:val="24"/>
        </w:rPr>
        <w:t xml:space="preserve">O objetivo de um estudo publicado no periódico internacional </w:t>
      </w:r>
      <w:r>
        <w:rPr>
          <w:i/>
          <w:iCs/>
          <w:color w:val="404040" w:themeColor="text1" w:themeTint="BF"/>
          <w:sz w:val="24"/>
        </w:rPr>
        <w:t xml:space="preserve">Psychoneuroendocrinology </w:t>
      </w:r>
      <w:r>
        <w:rPr>
          <w:color w:val="404040" w:themeColor="text1" w:themeTint="BF"/>
          <w:sz w:val="24"/>
        </w:rPr>
        <w:t xml:space="preserve">foi avaliar se baixas doses de fluoxetina, administradas exclusivamente durante a fase lútea do ciclo menstrual, apresentariam benefícios para prevenir ou diminuir dos sintomas emocionais da SPM (Maranho </w:t>
      </w:r>
      <w:r>
        <w:rPr>
          <w:i/>
          <w:color w:val="404040" w:themeColor="text1" w:themeTint="BF"/>
          <w:sz w:val="24"/>
        </w:rPr>
        <w:t xml:space="preserve">et al., </w:t>
      </w:r>
      <w:r>
        <w:rPr>
          <w:color w:val="404040" w:themeColor="text1" w:themeTint="BF"/>
          <w:sz w:val="24"/>
        </w:rPr>
        <w:t>2023).</w:t>
      </w:r>
    </w:p>
    <w:p w14:paraId="28370F18"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687936" behindDoc="0" locked="0" layoutInCell="1" allowOverlap="1">
                <wp:simplePos x="0" y="0"/>
                <wp:positionH relativeFrom="margin">
                  <wp:posOffset>5715</wp:posOffset>
                </wp:positionH>
                <wp:positionV relativeFrom="paragraph">
                  <wp:posOffset>92075</wp:posOffset>
                </wp:positionV>
                <wp:extent cx="5724525" cy="1228725"/>
                <wp:effectExtent l="0" t="0" r="28575" b="28575"/>
                <wp:wrapNone/>
                <wp:docPr id="40" name="Caixa de texto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228725"/>
                        </a:xfrm>
                        <a:prstGeom prst="rect">
                          <a:avLst/>
                        </a:prstGeom>
                        <a:solidFill>
                          <a:schemeClr val="bg1">
                            <a:lumMod val="100000"/>
                            <a:lumOff val="0"/>
                          </a:schemeClr>
                        </a:solidFill>
                        <a:ln w="9525">
                          <a:solidFill>
                            <a:srgbClr val="0070C0"/>
                          </a:solidFill>
                          <a:miter lim="800000"/>
                        </a:ln>
                      </wps:spPr>
                      <wps:txbx>
                        <w:txbxContent>
                          <w:p w14:paraId="53F51F96" w14:textId="77777777" w:rsidR="00FA41FC" w:rsidRDefault="00FA41FC">
                            <w:pPr>
                              <w:jc w:val="center"/>
                              <w:rPr>
                                <w:rFonts w:ascii="Swis721 Th BT" w:hAnsi="Swis721 Th BT"/>
                                <w:sz w:val="23"/>
                                <w:szCs w:val="23"/>
                              </w:rPr>
                            </w:pPr>
                            <w:r>
                              <w:rPr>
                                <w:rFonts w:ascii="Swis721 Th BT" w:hAnsi="Swis721 Th BT"/>
                                <w:sz w:val="23"/>
                                <w:szCs w:val="23"/>
                              </w:rPr>
                              <w:t>Para isso, 40 mulheres com média de idade de 29,7 anos e SPM emocional participaram deste estudo clínico, piloto, randomizado, duplo-cego e controlado por placebo. Durante dois ciclos menstruais, foram usados os seguintes critérios: ciclo 1, sem intervenção farmacológica; ciclo 2, com intervenção farmacológica. As participantes foram divididas em quatro grupos para receberem por sete dias antes da data provável da menstruação a seguinte posologia:</w:t>
                            </w:r>
                          </w:p>
                          <w:p w14:paraId="7DC9A590"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40" o:spid="_x0000_s1043" type="#_x0000_t202" style="position:absolute;left:0;text-align:left;margin-left:.45pt;margin-top:7.25pt;width:450.75pt;height:96.75pt;z-index:2516879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" fillcolor="white [3212]" strokecolor="#0070c0">
                <v:textbox>
                  <w:txbxContent>
                    <w:p w14:paraId="53F51F96" w14:textId="77777777" w:rsidR="00FA41FC" w:rsidRDefault="00FA41FC">
                      <w:pPr>
                        <w:jc w:val="center"/>
                        <w:rPr>
                          <w:rFonts w:ascii="Swis721 Th BT" w:hAnsi="Swis721 Th BT"/>
                          <w:sz w:val="23"/>
                          <w:szCs w:val="23"/>
                        </w:rPr>
                      </w:pPr>
                      <w:r>
                        <w:rPr>
                          <w:rFonts w:ascii="Swis721 Th BT" w:hAnsi="Swis721 Th BT"/>
                          <w:sz w:val="23"/>
                          <w:szCs w:val="23"/>
                        </w:rPr>
                        <w:t>Para isso, 40 mulheres com média de idade de 29,7 anos e SPM emocional participaram deste estudo clínico, piloto, randomizado, duplo-cego e controlado por placebo. Durante dois ciclos menstruais, foram usados os seguintes critérios: ciclo 1, sem intervenção farmacológica; ciclo 2, com intervenção farmacológica. As participantes foram divididas em quatro grupos para receberem por sete dias antes da data provável da menstruação a seguinte posologia:</w:t>
                      </w:r>
                    </w:p>
                    <w:p w14:paraId="7DC9A590"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3BE190FB" w14:textId="77777777" w:rsidR="00CD65C2" w:rsidRDefault="00CD65C2">
      <w:pPr>
        <w:pStyle w:val="Corpo"/>
        <w:rPr>
          <w:rFonts w:hint="eastAsia"/>
          <w:color w:val="404040" w:themeColor="text1" w:themeTint="BF"/>
        </w:rPr>
      </w:pPr>
    </w:p>
    <w:p w14:paraId="5783B6D6" w14:textId="77777777" w:rsidR="00CD65C2" w:rsidRDefault="00CD65C2">
      <w:pPr>
        <w:pStyle w:val="Corpo"/>
        <w:rPr>
          <w:rFonts w:hint="eastAsia"/>
          <w:color w:val="404040" w:themeColor="text1" w:themeTint="BF"/>
        </w:rPr>
      </w:pPr>
    </w:p>
    <w:p w14:paraId="730A1EC8" w14:textId="77777777" w:rsidR="00CD65C2" w:rsidRDefault="00CD65C2">
      <w:pPr>
        <w:pStyle w:val="Corpo"/>
        <w:rPr>
          <w:rFonts w:hint="eastAsia"/>
          <w:color w:val="404040" w:themeColor="text1" w:themeTint="BF"/>
        </w:rPr>
      </w:pPr>
    </w:p>
    <w:p w14:paraId="664BE633" w14:textId="77777777" w:rsidR="00CD65C2" w:rsidRDefault="00CD65C2">
      <w:pPr>
        <w:pStyle w:val="Corpo"/>
        <w:rPr>
          <w:rFonts w:hint="eastAsia"/>
          <w:color w:val="404040" w:themeColor="text1" w:themeTint="BF"/>
        </w:rPr>
      </w:pPr>
    </w:p>
    <w:p w14:paraId="08CB2300" w14:textId="77777777" w:rsidR="00CD65C2" w:rsidRDefault="00CD65C2">
      <w:pPr>
        <w:pStyle w:val="Corpo"/>
        <w:rPr>
          <w:rFonts w:hint="eastAsia"/>
          <w:color w:val="404040" w:themeColor="text1" w:themeTint="BF"/>
        </w:rPr>
      </w:pPr>
    </w:p>
    <w:p w14:paraId="740A5CC3"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685888" behindDoc="0" locked="0" layoutInCell="1" allowOverlap="1">
                <wp:simplePos x="0" y="0"/>
                <wp:positionH relativeFrom="column">
                  <wp:posOffset>5715</wp:posOffset>
                </wp:positionH>
                <wp:positionV relativeFrom="paragraph">
                  <wp:posOffset>108585</wp:posOffset>
                </wp:positionV>
                <wp:extent cx="1762125" cy="781685"/>
                <wp:effectExtent l="0" t="0" r="28575" b="18415"/>
                <wp:wrapNone/>
                <wp:docPr id="43" name="Caixa de tex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781685"/>
                        </a:xfrm>
                        <a:prstGeom prst="rect">
                          <a:avLst/>
                        </a:prstGeom>
                        <a:solidFill>
                          <a:srgbClr val="0070C0"/>
                        </a:solidFill>
                        <a:ln w="9525">
                          <a:solidFill>
                            <a:srgbClr val="0070C0"/>
                          </a:solidFill>
                          <a:miter lim="800000"/>
                        </a:ln>
                      </wps:spPr>
                      <wps:txbx>
                        <w:txbxContent>
                          <w:p w14:paraId="5C942ABF"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Fluoxetina </w:t>
                            </w:r>
                            <w:r>
                              <w:rPr>
                                <w:rFonts w:ascii="Swis721 Th BT" w:hAnsi="Swis721 Th BT"/>
                                <w:color w:val="FFFFFF" w:themeColor="background1"/>
                                <w:sz w:val="23"/>
                                <w:szCs w:val="23"/>
                              </w:rPr>
                              <w:br/>
                              <w:t>2 mg ao dia</w:t>
                            </w:r>
                          </w:p>
                          <w:p w14:paraId="3B38C7AA"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43" o:spid="_x0000_s1044" type="#_x0000_t202" style="position:absolute;left:0;text-align:left;margin-left:.45pt;margin-top:8.55pt;width:138.75pt;height:61.5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" fillcolor="#0070c0" strokecolor="#0070c0">
                <v:textbox>
                  <w:txbxContent>
                    <w:p w14:paraId="5C942ABF"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Fluoxetina </w:t>
                      </w:r>
                      <w:r>
                        <w:rPr>
                          <w:rFonts w:ascii="Swis721 Th BT" w:hAnsi="Swis721 Th BT"/>
                          <w:color w:val="FFFFFF" w:themeColor="background1"/>
                          <w:sz w:val="23"/>
                          <w:szCs w:val="23"/>
                        </w:rPr>
                        <w:br/>
                        <w:t>2 mg ao dia</w:t>
                      </w:r>
                    </w:p>
                    <w:p w14:paraId="3B38C7AA"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688960" behindDoc="0" locked="0" layoutInCell="1" allowOverlap="1">
                <wp:simplePos x="0" y="0"/>
                <wp:positionH relativeFrom="column">
                  <wp:posOffset>3958590</wp:posOffset>
                </wp:positionH>
                <wp:positionV relativeFrom="paragraph">
                  <wp:posOffset>89535</wp:posOffset>
                </wp:positionV>
                <wp:extent cx="1753870" cy="781685"/>
                <wp:effectExtent l="0" t="0" r="17780" b="18415"/>
                <wp:wrapNone/>
                <wp:docPr id="45" name="Caixa de texto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940" cy="781685"/>
                        </a:xfrm>
                        <a:prstGeom prst="rect">
                          <a:avLst/>
                        </a:prstGeom>
                        <a:solidFill>
                          <a:srgbClr val="0070C0"/>
                        </a:solidFill>
                        <a:ln w="9525">
                          <a:solidFill>
                            <a:srgbClr val="0070C0"/>
                          </a:solidFill>
                          <a:miter lim="800000"/>
                        </a:ln>
                      </wps:spPr>
                      <wps:txbx>
                        <w:txbxContent>
                          <w:p w14:paraId="7CD83564"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14:paraId="0D85264E"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Fluoxetina </w:t>
                            </w:r>
                            <w:r>
                              <w:rPr>
                                <w:rFonts w:ascii="Swis721 Th BT" w:hAnsi="Swis721 Th BT"/>
                                <w:color w:val="FFFFFF" w:themeColor="background1"/>
                                <w:sz w:val="23"/>
                                <w:szCs w:val="23"/>
                              </w:rPr>
                              <w:br/>
                              <w:t>10 mg ao dia</w:t>
                            </w:r>
                          </w:p>
                          <w:p w14:paraId="481B443E" w14:textId="77777777" w:rsidR="00FA41FC" w:rsidRDefault="00FA41FC">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45" o:spid="_x0000_s1045" type="#_x0000_t202" style="position:absolute;left:0;text-align:left;margin-left:311.7pt;margin-top:7.05pt;width:138.1pt;height:61.5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" fillcolor="#0070c0" strokecolor="#0070c0">
                <v:textbox>
                  <w:txbxContent>
                    <w:p w14:paraId="7CD83564"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14:paraId="0D85264E"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Fluoxetina </w:t>
                      </w:r>
                      <w:r>
                        <w:rPr>
                          <w:rFonts w:ascii="Swis721 Th BT" w:hAnsi="Swis721 Th BT"/>
                          <w:color w:val="FFFFFF" w:themeColor="background1"/>
                          <w:sz w:val="23"/>
                          <w:szCs w:val="23"/>
                        </w:rPr>
                        <w:br/>
                        <w:t>10 mg ao dia</w:t>
                      </w:r>
                    </w:p>
                    <w:p w14:paraId="481B443E" w14:textId="77777777" w:rsidR="00FA41FC" w:rsidRDefault="00FA41FC">
                      <w:pPr>
                        <w:spacing w:after="0" w:line="240" w:lineRule="auto"/>
                        <w:jc w:val="cente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686912" behindDoc="0" locked="0" layoutInCell="1" allowOverlap="1">
                <wp:simplePos x="0" y="0"/>
                <wp:positionH relativeFrom="column">
                  <wp:posOffset>1967865</wp:posOffset>
                </wp:positionH>
                <wp:positionV relativeFrom="paragraph">
                  <wp:posOffset>108585</wp:posOffset>
                </wp:positionV>
                <wp:extent cx="1753870" cy="781685"/>
                <wp:effectExtent l="0" t="0" r="17780" b="18415"/>
                <wp:wrapNone/>
                <wp:docPr id="44" name="Caixa de texto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940" cy="781685"/>
                        </a:xfrm>
                        <a:prstGeom prst="rect">
                          <a:avLst/>
                        </a:prstGeom>
                        <a:solidFill>
                          <a:srgbClr val="0070C0"/>
                        </a:solidFill>
                        <a:ln w="9525">
                          <a:solidFill>
                            <a:srgbClr val="0070C0"/>
                          </a:solidFill>
                          <a:miter lim="800000"/>
                        </a:ln>
                      </wps:spPr>
                      <wps:txbx>
                        <w:txbxContent>
                          <w:p w14:paraId="7764C68A"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70219E48"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Fluoxetina </w:t>
                            </w:r>
                            <w:r>
                              <w:rPr>
                                <w:rFonts w:ascii="Swis721 Th BT" w:hAnsi="Swis721 Th BT"/>
                                <w:color w:val="FFFFFF" w:themeColor="background1"/>
                                <w:sz w:val="23"/>
                                <w:szCs w:val="23"/>
                              </w:rPr>
                              <w:br/>
                              <w:t>5 mg ao dia</w:t>
                            </w:r>
                          </w:p>
                          <w:p w14:paraId="54C21DA0" w14:textId="77777777" w:rsidR="00FA41FC" w:rsidRDefault="00FA41FC">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44" o:spid="_x0000_s1046" type="#_x0000_t202" style="position:absolute;left:0;text-align:left;margin-left:154.95pt;margin-top:8.55pt;width:138.1pt;height:61.5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" fillcolor="#0070c0" strokecolor="#0070c0">
                <v:textbox>
                  <w:txbxContent>
                    <w:p w14:paraId="7764C68A"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70219E48"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Fluoxetina </w:t>
                      </w:r>
                      <w:r>
                        <w:rPr>
                          <w:rFonts w:ascii="Swis721 Th BT" w:hAnsi="Swis721 Th BT"/>
                          <w:color w:val="FFFFFF" w:themeColor="background1"/>
                          <w:sz w:val="23"/>
                          <w:szCs w:val="23"/>
                        </w:rPr>
                        <w:br/>
                        <w:t>5 mg ao dia</w:t>
                      </w:r>
                    </w:p>
                    <w:p w14:paraId="54C21DA0" w14:textId="77777777" w:rsidR="00FA41FC" w:rsidRDefault="00FA41FC">
                      <w:pPr>
                        <w:spacing w:after="0" w:line="240" w:lineRule="auto"/>
                        <w:jc w:val="center"/>
                      </w:pPr>
                    </w:p>
                  </w:txbxContent>
                </v:textbox>
              </v:shape>
            </w:pict>
          </mc:Fallback>
        </mc:AlternateContent>
      </w:r>
    </w:p>
    <w:p w14:paraId="35F76B80" w14:textId="77777777" w:rsidR="00CD65C2" w:rsidRDefault="00CD65C2">
      <w:pPr>
        <w:pStyle w:val="Corpo"/>
        <w:rPr>
          <w:rFonts w:hint="eastAsia"/>
          <w:color w:val="404040" w:themeColor="text1" w:themeTint="BF"/>
        </w:rPr>
      </w:pPr>
    </w:p>
    <w:p w14:paraId="6FE3E84F" w14:textId="77777777" w:rsidR="00CD65C2" w:rsidRDefault="00CD65C2">
      <w:pPr>
        <w:pStyle w:val="Corpo"/>
        <w:rPr>
          <w:rFonts w:hint="eastAsia"/>
          <w:color w:val="404040" w:themeColor="text1" w:themeTint="BF"/>
        </w:rPr>
      </w:pPr>
    </w:p>
    <w:p w14:paraId="15542499" w14:textId="77777777" w:rsidR="00CD65C2" w:rsidRDefault="00CD65C2">
      <w:pPr>
        <w:pStyle w:val="Corpo"/>
        <w:rPr>
          <w:rFonts w:hint="eastAsia"/>
          <w:color w:val="404040" w:themeColor="text1" w:themeTint="BF"/>
        </w:rPr>
      </w:pPr>
    </w:p>
    <w:p w14:paraId="580CCBD6" w14:textId="77777777" w:rsidR="00CD65C2" w:rsidRDefault="00CD65C2">
      <w:pPr>
        <w:pStyle w:val="Corpo"/>
        <w:rPr>
          <w:rFonts w:hint="eastAsia"/>
          <w:color w:val="404040" w:themeColor="text1" w:themeTint="BF"/>
        </w:rPr>
      </w:pPr>
    </w:p>
    <w:p w14:paraId="7DF4AACD"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689984" behindDoc="0" locked="0" layoutInCell="1" allowOverlap="1">
                <wp:simplePos x="0" y="0"/>
                <wp:positionH relativeFrom="column">
                  <wp:posOffset>1971675</wp:posOffset>
                </wp:positionH>
                <wp:positionV relativeFrom="paragraph">
                  <wp:posOffset>53975</wp:posOffset>
                </wp:positionV>
                <wp:extent cx="1753870" cy="781685"/>
                <wp:effectExtent l="0" t="0" r="17780" b="18415"/>
                <wp:wrapNone/>
                <wp:docPr id="46" name="Caixa de texto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940" cy="781685"/>
                        </a:xfrm>
                        <a:prstGeom prst="rect">
                          <a:avLst/>
                        </a:prstGeom>
                        <a:solidFill>
                          <a:srgbClr val="0070C0"/>
                        </a:solidFill>
                        <a:ln w="9525">
                          <a:solidFill>
                            <a:srgbClr val="0070C0"/>
                          </a:solidFill>
                          <a:miter lim="800000"/>
                        </a:ln>
                      </wps:spPr>
                      <wps:txbx>
                        <w:txbxContent>
                          <w:p w14:paraId="0FEFC8FE"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4</w:t>
                            </w:r>
                          </w:p>
                          <w:p w14:paraId="7CFE7556" w14:textId="77777777" w:rsidR="00FA41FC" w:rsidRDefault="00FA41FC">
                            <w:pPr>
                              <w:spacing w:after="0" w:line="240" w:lineRule="auto"/>
                              <w:jc w:val="center"/>
                              <w:rPr>
                                <w:rFonts w:ascii="Swis721 Th BT" w:hAnsi="Swis721 Th BT"/>
                                <w:b/>
                                <w:color w:val="FFFFFF" w:themeColor="background1"/>
                                <w:sz w:val="23"/>
                                <w:szCs w:val="23"/>
                              </w:rPr>
                            </w:pPr>
                          </w:p>
                          <w:p w14:paraId="48E865DE" w14:textId="77777777" w:rsidR="00FA41FC" w:rsidRDefault="00FA41FC">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46" o:spid="_x0000_s1047" type="#_x0000_t202" style="position:absolute;left:0;text-align:left;margin-left:155.25pt;margin-top:4.25pt;width:138.1pt;height:61.5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" fillcolor="#0070c0" strokecolor="#0070c0">
                <v:textbox>
                  <w:txbxContent>
                    <w:p w14:paraId="0FEFC8FE"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4</w:t>
                      </w:r>
                    </w:p>
                    <w:p w14:paraId="7CFE7556" w14:textId="77777777" w:rsidR="00FA41FC" w:rsidRDefault="00FA41FC">
                      <w:pPr>
                        <w:spacing w:after="0" w:line="240" w:lineRule="auto"/>
                        <w:jc w:val="center"/>
                        <w:rPr>
                          <w:rFonts w:ascii="Swis721 Th BT" w:hAnsi="Swis721 Th BT"/>
                          <w:b/>
                          <w:color w:val="FFFFFF" w:themeColor="background1"/>
                          <w:sz w:val="23"/>
                          <w:szCs w:val="23"/>
                        </w:rPr>
                      </w:pPr>
                    </w:p>
                    <w:p w14:paraId="48E865DE" w14:textId="77777777" w:rsidR="00FA41FC" w:rsidRDefault="00FA41FC">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14:paraId="1698D8C8" w14:textId="77777777" w:rsidR="00CD65C2" w:rsidRDefault="00CD65C2">
      <w:pPr>
        <w:pStyle w:val="Corpo"/>
        <w:spacing w:before="120"/>
        <w:rPr>
          <w:rFonts w:hint="eastAsia"/>
          <w:color w:val="404040" w:themeColor="text1" w:themeTint="BF"/>
          <w:sz w:val="20"/>
        </w:rPr>
      </w:pPr>
    </w:p>
    <w:p w14:paraId="00C1300D" w14:textId="77777777" w:rsidR="00CD65C2" w:rsidRDefault="00CD65C2">
      <w:pPr>
        <w:pStyle w:val="Corpo"/>
        <w:spacing w:before="120"/>
        <w:rPr>
          <w:rFonts w:hint="eastAsia"/>
          <w:color w:val="404040" w:themeColor="text1" w:themeTint="BF"/>
          <w:sz w:val="20"/>
        </w:rPr>
      </w:pPr>
    </w:p>
    <w:p w14:paraId="0E5D0977" w14:textId="77777777" w:rsidR="00CD65C2" w:rsidRDefault="00CD65C2">
      <w:pPr>
        <w:pStyle w:val="Corpo"/>
        <w:spacing w:before="120"/>
        <w:rPr>
          <w:rFonts w:hint="eastAsia"/>
          <w:color w:val="404040" w:themeColor="text1" w:themeTint="BF"/>
          <w:sz w:val="20"/>
        </w:rPr>
      </w:pPr>
    </w:p>
    <w:p w14:paraId="2240CA30" w14:textId="77777777" w:rsidR="00CD65C2" w:rsidRDefault="00FA41FC">
      <w:pPr>
        <w:pStyle w:val="Corpo"/>
        <w:numPr>
          <w:ilvl w:val="1"/>
          <w:numId w:val="4"/>
        </w:numPr>
        <w:rPr>
          <w:rFonts w:hint="eastAsia"/>
          <w:color w:val="404040" w:themeColor="text1" w:themeTint="BF"/>
          <w:sz w:val="20"/>
          <w:szCs w:val="20"/>
        </w:rPr>
      </w:pPr>
      <w:r>
        <w:rPr>
          <w:color w:val="404040" w:themeColor="text1" w:themeTint="BF"/>
          <w:sz w:val="20"/>
          <w:szCs w:val="20"/>
        </w:rPr>
        <w:t xml:space="preserve">A gravidade dos sintomas da SPM foi avaliada em ambos os ciclos com a escala </w:t>
      </w:r>
      <w:r>
        <w:rPr>
          <w:i/>
          <w:iCs/>
          <w:color w:val="404040" w:themeColor="text1" w:themeTint="BF"/>
          <w:sz w:val="20"/>
          <w:szCs w:val="20"/>
        </w:rPr>
        <w:t>Daily Record of Severity of Problems</w:t>
      </w:r>
      <w:r>
        <w:rPr>
          <w:color w:val="404040" w:themeColor="text1" w:themeTint="BF"/>
          <w:sz w:val="20"/>
          <w:szCs w:val="20"/>
        </w:rPr>
        <w:t xml:space="preserve"> (DRSP).</w:t>
      </w:r>
    </w:p>
    <w:p w14:paraId="2A995C02" w14:textId="77777777" w:rsidR="00CD65C2" w:rsidRDefault="00CD65C2">
      <w:pPr>
        <w:pStyle w:val="Corpo"/>
        <w:rPr>
          <w:rFonts w:hint="eastAsia"/>
          <w:b/>
          <w:color w:val="339966"/>
          <w:sz w:val="25"/>
          <w:szCs w:val="25"/>
          <w14:textFill>
            <w14:solidFill>
              <w14:srgbClr w14:val="339966">
                <w14:lumMod w14:val="75000"/>
                <w14:lumOff w14:val="25000"/>
              </w14:srgbClr>
            </w14:solidFill>
          </w14:textFill>
        </w:rPr>
      </w:pPr>
    </w:p>
    <w:p w14:paraId="586B7C46"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2E8B6CD3" w14:textId="77777777" w:rsidR="00CD65C2" w:rsidRDefault="00CD65C2">
      <w:pPr>
        <w:pStyle w:val="Corpo"/>
        <w:rPr>
          <w:rFonts w:hint="eastAsia"/>
          <w:color w:val="404040" w:themeColor="text1" w:themeTint="BF"/>
          <w:sz w:val="16"/>
          <w:szCs w:val="16"/>
        </w:rPr>
      </w:pPr>
    </w:p>
    <w:p w14:paraId="35DA9F4A" w14:textId="77777777" w:rsidR="00CD65C2" w:rsidRDefault="00FA41FC">
      <w:pPr>
        <w:pStyle w:val="Corpo"/>
        <w:numPr>
          <w:ilvl w:val="0"/>
          <w:numId w:val="9"/>
        </w:numPr>
        <w:spacing w:after="120"/>
        <w:rPr>
          <w:rFonts w:hint="eastAsia"/>
          <w:color w:val="404040" w:themeColor="text1" w:themeTint="BF"/>
          <w:sz w:val="24"/>
        </w:rPr>
      </w:pPr>
      <w:r>
        <w:rPr>
          <w:color w:val="404040" w:themeColor="text1" w:themeTint="BF"/>
          <w:sz w:val="24"/>
        </w:rPr>
        <w:t>Houve um aumento nos escores do DRSP durante a fase lútea tardia do ciclo 1, confirmando o diagnóstico de SPM emocional;</w:t>
      </w:r>
    </w:p>
    <w:p w14:paraId="1F1D9C0C" w14:textId="77777777" w:rsidR="00CD65C2" w:rsidRDefault="00FA41FC">
      <w:pPr>
        <w:pStyle w:val="Corpo"/>
        <w:numPr>
          <w:ilvl w:val="0"/>
          <w:numId w:val="9"/>
        </w:numPr>
        <w:spacing w:after="120"/>
        <w:rPr>
          <w:rFonts w:hint="eastAsia"/>
          <w:color w:val="404040" w:themeColor="text1" w:themeTint="BF"/>
          <w:sz w:val="24"/>
        </w:rPr>
      </w:pPr>
      <w:r>
        <w:rPr>
          <w:color w:val="404040" w:themeColor="text1" w:themeTint="BF"/>
          <w:sz w:val="24"/>
        </w:rPr>
        <w:t>Doses baixas de fluoxetina (5 mg/dia: 33,5%; 10 mg/dia: 48,4%) reduziram a pontuação total do DRSP no dia anterior à menstruação (dia 1) no ciclo 2 em comparação com o dia 1 no ciclo 1;</w:t>
      </w:r>
    </w:p>
    <w:p w14:paraId="4DF83ABF" w14:textId="77777777" w:rsidR="00CD65C2" w:rsidRDefault="00FA41FC">
      <w:pPr>
        <w:pStyle w:val="Corpo"/>
        <w:numPr>
          <w:ilvl w:val="0"/>
          <w:numId w:val="9"/>
        </w:numPr>
        <w:spacing w:after="120"/>
        <w:rPr>
          <w:rFonts w:hint="eastAsia"/>
          <w:color w:val="404040" w:themeColor="text1" w:themeTint="BF"/>
          <w:sz w:val="24"/>
        </w:rPr>
      </w:pPr>
      <w:r>
        <w:rPr>
          <w:color w:val="404040" w:themeColor="text1" w:themeTint="BF"/>
          <w:sz w:val="24"/>
        </w:rPr>
        <w:t>A fluoxetina 10 mg/dia teve o declínio mais consistente nos sintomas emocionais da SPM; 70% das participantes relataram uma redução superior a 40% na pontuação do DRSP.</w:t>
      </w:r>
    </w:p>
    <w:p w14:paraId="46F288AE" w14:textId="77777777" w:rsidR="00CD65C2" w:rsidRDefault="00CD65C2">
      <w:pPr>
        <w:pStyle w:val="Corpo"/>
        <w:spacing w:after="120"/>
        <w:ind w:left="786"/>
        <w:rPr>
          <w:rFonts w:hint="eastAsia"/>
          <w:color w:val="404040" w:themeColor="text1" w:themeTint="BF"/>
          <w:sz w:val="24"/>
        </w:rPr>
      </w:pPr>
    </w:p>
    <w:p w14:paraId="61724623" w14:textId="77777777" w:rsidR="00CD65C2" w:rsidRDefault="00FA41FC">
      <w:pPr>
        <w:pStyle w:val="Ttulo1"/>
        <w:jc w:val="center"/>
        <w:rPr>
          <w:rFonts w:hint="eastAsia"/>
        </w:rPr>
      </w:pPr>
      <w:bookmarkStart w:id="17" w:name="_Toc165537169"/>
      <w:r>
        <w:t>Formulário</w:t>
      </w:r>
      <w:bookmarkEnd w:id="17"/>
    </w:p>
    <w:p w14:paraId="77F99F21" w14:textId="77777777" w:rsidR="00CD65C2" w:rsidRDefault="00CD65C2">
      <w:pPr>
        <w:pStyle w:val="Corpo"/>
        <w:rPr>
          <w:rFonts w:hint="eastAsia"/>
          <w:b/>
          <w:i/>
          <w:color w:val="404040" w:themeColor="text1" w:themeTint="BF"/>
        </w:rPr>
      </w:pPr>
    </w:p>
    <w:p w14:paraId="3E5A9CD7" w14:textId="77777777" w:rsidR="00CD65C2" w:rsidRDefault="00CD65C2">
      <w:pPr>
        <w:pStyle w:val="Corpo"/>
        <w:rPr>
          <w:rFonts w:hint="eastAsia"/>
          <w:b/>
          <w:i/>
          <w:color w:val="404040" w:themeColor="text1" w:themeTint="BF"/>
        </w:rPr>
      </w:pPr>
    </w:p>
    <w:p w14:paraId="353FB4A8" w14:textId="77777777" w:rsidR="00CD65C2" w:rsidRDefault="00FA41FC">
      <w:pPr>
        <w:pStyle w:val="Corpo"/>
        <w:rPr>
          <w:rFonts w:hint="eastAsia"/>
          <w:b/>
          <w:bCs/>
          <w:i/>
          <w:color w:val="404040" w:themeColor="text1" w:themeTint="BF"/>
          <w:sz w:val="24"/>
        </w:rPr>
      </w:pPr>
      <w:r>
        <w:rPr>
          <w:b/>
          <w:bCs/>
          <w:i/>
          <w:color w:val="404040" w:themeColor="text1" w:themeTint="BF"/>
          <w:sz w:val="24"/>
        </w:rPr>
        <w:t>Baixas Doses de Fluoxetina Amenizam os Sintomas Emocionais da SPM</w:t>
      </w:r>
    </w:p>
    <w:p w14:paraId="68024E9F" w14:textId="77777777" w:rsidR="00CD65C2" w:rsidRDefault="00CD65C2">
      <w:pPr>
        <w:pStyle w:val="Corpo"/>
        <w:rPr>
          <w:rFonts w:hint="eastAsia"/>
          <w:b/>
          <w:i/>
          <w:color w:val="404040" w:themeColor="text1" w:themeTint="BF"/>
          <w:sz w:val="24"/>
          <w:u w:val="single"/>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7A50282E"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3B8F0F71" w14:textId="77777777" w:rsidR="00CD65C2" w:rsidRDefault="00FA41FC">
            <w:pPr>
              <w:pStyle w:val="Corpo"/>
              <w:jc w:val="center"/>
              <w:rPr>
                <w:rFonts w:hint="eastAsia"/>
                <w:b/>
                <w:color w:val="FFFFFF" w:themeColor="background1"/>
              </w:rPr>
            </w:pPr>
            <w:r>
              <w:rPr>
                <w:b/>
                <w:color w:val="FFFFFF" w:themeColor="background1"/>
                <w:sz w:val="22"/>
              </w:rPr>
              <w:t>Cápsulas de Fluoxetina</w:t>
            </w:r>
          </w:p>
        </w:tc>
      </w:tr>
      <w:tr w:rsidR="00CD65C2" w14:paraId="73D01DB8" w14:textId="77777777">
        <w:trPr>
          <w:trHeight w:val="391"/>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0226D83" w14:textId="77777777" w:rsidR="00CD65C2" w:rsidRDefault="00FA41FC">
            <w:pPr>
              <w:pStyle w:val="Corpo"/>
              <w:rPr>
                <w:rFonts w:hint="eastAsia"/>
                <w:color w:val="404040" w:themeColor="text1" w:themeTint="BF"/>
              </w:rPr>
            </w:pPr>
            <w:r>
              <w:rPr>
                <w:color w:val="404040" w:themeColor="text1" w:themeTint="BF"/>
              </w:rPr>
              <w:t>Fluoxetina.........................................10 mg</w:t>
            </w:r>
          </w:p>
        </w:tc>
      </w:tr>
      <w:tr w:rsidR="00CD65C2" w14:paraId="3179F7A1" w14:textId="77777777">
        <w:trPr>
          <w:trHeight w:val="391"/>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21101AD" w14:textId="205CE5A6" w:rsidR="00CD65C2" w:rsidRDefault="00FA41FC">
            <w:pPr>
              <w:pStyle w:val="Corpo"/>
              <w:rPr>
                <w:rFonts w:hint="eastAsia"/>
                <w:color w:val="404040" w:themeColor="text1" w:themeTint="BF"/>
              </w:rPr>
            </w:pPr>
            <w:r>
              <w:rPr>
                <w:color w:val="404040" w:themeColor="text1" w:themeTint="BF"/>
              </w:rPr>
              <w:t>Excipiente q.s.p. ........................1 Cápsula</w:t>
            </w:r>
          </w:p>
        </w:tc>
      </w:tr>
    </w:tbl>
    <w:p w14:paraId="2F1DB4A8" w14:textId="77777777" w:rsidR="00CD65C2" w:rsidRDefault="00FA41FC">
      <w:pPr>
        <w:pStyle w:val="SemEspaamento"/>
        <w:ind w:right="4960"/>
        <w:jc w:val="center"/>
        <w:rPr>
          <w:rFonts w:ascii="Swis721 Th BT" w:eastAsia="MS Mincho" w:hAnsi="Swis721 Th BT" w:hint="eastAsia"/>
          <w:color w:val="404040" w:themeColor="text1" w:themeTint="BF"/>
        </w:rPr>
      </w:pPr>
      <w:r>
        <w:rPr>
          <w:rFonts w:ascii="Swis721 Th BT" w:eastAsia="MS Mincho" w:hAnsi="Swis721 Th BT"/>
          <w:color w:val="404040" w:themeColor="text1" w:themeTint="BF"/>
        </w:rPr>
        <w:t>Administrar 1 cápsula ao dia por sete dias antes da provável data da menstruação ou conforme orientação médica.</w:t>
      </w:r>
    </w:p>
    <w:p w14:paraId="21A84A5B" w14:textId="77777777" w:rsidR="00CD65C2" w:rsidRDefault="00CD65C2">
      <w:pPr>
        <w:pStyle w:val="SemEspaamento"/>
      </w:pPr>
    </w:p>
    <w:p w14:paraId="503936CF" w14:textId="77777777" w:rsidR="00CD65C2" w:rsidRDefault="00CD65C2">
      <w:pPr>
        <w:pStyle w:val="SemEspaamento"/>
      </w:pPr>
    </w:p>
    <w:p w14:paraId="3DF8946B" w14:textId="77777777" w:rsidR="00CD65C2" w:rsidRDefault="00CD65C2">
      <w:pPr>
        <w:pStyle w:val="SemEspaamento"/>
      </w:pPr>
    </w:p>
    <w:p w14:paraId="046291F5" w14:textId="77777777" w:rsidR="00CD65C2" w:rsidRDefault="00CD65C2">
      <w:pPr>
        <w:pStyle w:val="SemEspaamento"/>
      </w:pPr>
    </w:p>
    <w:p w14:paraId="5486299D" w14:textId="77777777" w:rsidR="00CD65C2" w:rsidRDefault="00CD65C2">
      <w:pPr>
        <w:pStyle w:val="SemEspaamento"/>
      </w:pPr>
    </w:p>
    <w:p w14:paraId="39F73C0F" w14:textId="77777777" w:rsidR="00CD65C2" w:rsidRDefault="00CD65C2">
      <w:pPr>
        <w:pStyle w:val="SemEspaamento"/>
      </w:pPr>
    </w:p>
    <w:p w14:paraId="5CC7E4FD" w14:textId="77777777" w:rsidR="00CD65C2" w:rsidRDefault="00CD65C2">
      <w:pPr>
        <w:pStyle w:val="SemEspaamento"/>
      </w:pPr>
    </w:p>
    <w:p w14:paraId="7BA89A12" w14:textId="77777777" w:rsidR="00CD65C2" w:rsidRDefault="00CD65C2">
      <w:pPr>
        <w:pStyle w:val="SemEspaamento"/>
      </w:pPr>
    </w:p>
    <w:p w14:paraId="0E2B8E6B" w14:textId="77777777" w:rsidR="00CD65C2" w:rsidRDefault="00CD65C2">
      <w:pPr>
        <w:pStyle w:val="SemEspaamento"/>
      </w:pPr>
    </w:p>
    <w:p w14:paraId="3803454F" w14:textId="77777777" w:rsidR="00CD65C2" w:rsidRDefault="00CD65C2">
      <w:pPr>
        <w:pStyle w:val="SemEspaamento"/>
      </w:pPr>
    </w:p>
    <w:p w14:paraId="7086C881" w14:textId="77777777" w:rsidR="00CD65C2" w:rsidRDefault="00CD65C2">
      <w:pPr>
        <w:pStyle w:val="SemEspaamento"/>
      </w:pPr>
    </w:p>
    <w:p w14:paraId="7DC6F0C6" w14:textId="77777777" w:rsidR="00CD65C2" w:rsidRDefault="00CD65C2">
      <w:pPr>
        <w:pStyle w:val="SemEspaamento"/>
      </w:pPr>
    </w:p>
    <w:p w14:paraId="540FDC22" w14:textId="77777777" w:rsidR="00CD65C2" w:rsidRDefault="00CD65C2">
      <w:pPr>
        <w:pStyle w:val="SemEspaamento"/>
      </w:pPr>
    </w:p>
    <w:p w14:paraId="7F7CD618" w14:textId="77777777" w:rsidR="00CD65C2" w:rsidRDefault="00CD65C2">
      <w:pPr>
        <w:pStyle w:val="SemEspaamento"/>
      </w:pPr>
    </w:p>
    <w:p w14:paraId="732E5D70" w14:textId="77777777" w:rsidR="00CD65C2" w:rsidRDefault="00CD65C2">
      <w:pPr>
        <w:pStyle w:val="SemEspaamento"/>
      </w:pPr>
    </w:p>
    <w:p w14:paraId="54C3824E" w14:textId="77777777" w:rsidR="00CD65C2" w:rsidRDefault="00CD65C2">
      <w:pPr>
        <w:pStyle w:val="SemEspaamento"/>
      </w:pPr>
    </w:p>
    <w:p w14:paraId="6B6AC479" w14:textId="77777777" w:rsidR="00CD65C2" w:rsidRDefault="00CD65C2">
      <w:pPr>
        <w:pStyle w:val="SemEspaamento"/>
      </w:pPr>
    </w:p>
    <w:p w14:paraId="7A004380" w14:textId="77777777" w:rsidR="00CD65C2" w:rsidRDefault="00CD65C2">
      <w:pPr>
        <w:pStyle w:val="SemEspaamento"/>
      </w:pPr>
    </w:p>
    <w:p w14:paraId="772A74EA" w14:textId="77777777" w:rsidR="00CD65C2" w:rsidRDefault="00CD65C2">
      <w:pPr>
        <w:pStyle w:val="SemEspaamento"/>
      </w:pPr>
    </w:p>
    <w:p w14:paraId="32D4391C" w14:textId="77777777" w:rsidR="00CD65C2" w:rsidRDefault="00CD65C2">
      <w:pPr>
        <w:pStyle w:val="SemEspaamento"/>
      </w:pPr>
    </w:p>
    <w:p w14:paraId="129FA3A4" w14:textId="77777777" w:rsidR="00CD65C2" w:rsidRDefault="00CD65C2">
      <w:pPr>
        <w:pStyle w:val="SemEspaamento"/>
      </w:pPr>
    </w:p>
    <w:p w14:paraId="11559476" w14:textId="77777777" w:rsidR="00CD65C2" w:rsidRDefault="00CD65C2">
      <w:pPr>
        <w:pStyle w:val="SemEspaamento"/>
      </w:pPr>
    </w:p>
    <w:p w14:paraId="1B2D2A18" w14:textId="77777777" w:rsidR="00CD65C2" w:rsidRDefault="00CD65C2">
      <w:pPr>
        <w:pStyle w:val="SemEspaamento"/>
      </w:pPr>
    </w:p>
    <w:p w14:paraId="2EB4892D" w14:textId="77777777" w:rsidR="00CD65C2" w:rsidRDefault="00CD65C2">
      <w:pPr>
        <w:pStyle w:val="SemEspaamento"/>
      </w:pPr>
    </w:p>
    <w:p w14:paraId="5EFF4E80" w14:textId="77777777" w:rsidR="00CD65C2" w:rsidRDefault="00CD65C2">
      <w:pPr>
        <w:pStyle w:val="SemEspaamento"/>
      </w:pPr>
    </w:p>
    <w:p w14:paraId="03736576" w14:textId="77777777" w:rsidR="00CD65C2" w:rsidRDefault="00CD65C2">
      <w:pPr>
        <w:pStyle w:val="SemEspaamento"/>
      </w:pPr>
    </w:p>
    <w:p w14:paraId="7D0814FD" w14:textId="77777777" w:rsidR="00CD65C2" w:rsidRDefault="00CD65C2">
      <w:pPr>
        <w:pStyle w:val="SemEspaamento"/>
      </w:pPr>
    </w:p>
    <w:p w14:paraId="3A1A25CC" w14:textId="77777777" w:rsidR="00CD65C2" w:rsidRDefault="00CD65C2">
      <w:pPr>
        <w:pStyle w:val="SemEspaamento"/>
      </w:pPr>
    </w:p>
    <w:p w14:paraId="1828CE91" w14:textId="77777777" w:rsidR="00CD65C2" w:rsidRDefault="00CD65C2">
      <w:pPr>
        <w:pStyle w:val="SemEspaamento"/>
      </w:pPr>
    </w:p>
    <w:p w14:paraId="708940C7" w14:textId="77777777" w:rsidR="00CD65C2" w:rsidRDefault="00CD65C2">
      <w:pPr>
        <w:pStyle w:val="SemEspaamento"/>
      </w:pPr>
    </w:p>
    <w:p w14:paraId="5C8703A8" w14:textId="77777777" w:rsidR="00CD65C2" w:rsidRDefault="00CD65C2">
      <w:pPr>
        <w:pStyle w:val="SemEspaamento"/>
      </w:pPr>
    </w:p>
    <w:p w14:paraId="42A43D7D" w14:textId="77777777" w:rsidR="00CD65C2" w:rsidRDefault="00CD65C2">
      <w:pPr>
        <w:pStyle w:val="SemEspaamento"/>
      </w:pPr>
    </w:p>
    <w:p w14:paraId="31D7CF1C" w14:textId="77777777" w:rsidR="00CD65C2" w:rsidRDefault="00FA41FC">
      <w:pPr>
        <w:rPr>
          <w:lang w:eastAsia="pt-BR"/>
        </w:rPr>
      </w:pPr>
      <w:r>
        <w:rPr>
          <w:noProof/>
          <w:lang w:eastAsia="pt-BR"/>
        </w:rPr>
        <w:drawing>
          <wp:anchor distT="0" distB="0" distL="114300" distR="114300" simplePos="0" relativeHeight="251697152" behindDoc="1" locked="0" layoutInCell="1" allowOverlap="1">
            <wp:simplePos x="0" y="0"/>
            <wp:positionH relativeFrom="column">
              <wp:posOffset>-3956685</wp:posOffset>
            </wp:positionH>
            <wp:positionV relativeFrom="paragraph">
              <wp:posOffset>-948055</wp:posOffset>
            </wp:positionV>
            <wp:extent cx="12886055" cy="7467600"/>
            <wp:effectExtent l="0" t="0" r="0" b="0"/>
            <wp:wrapNone/>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m 3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86270" cy="7467725"/>
                    </a:xfrm>
                    <a:prstGeom prst="rect">
                      <a:avLst/>
                    </a:prstGeom>
                    <a:noFill/>
                    <a:ln>
                      <a:noFill/>
                    </a:ln>
                  </pic:spPr>
                </pic:pic>
              </a:graphicData>
            </a:graphic>
          </wp:anchor>
        </w:drawing>
      </w:r>
    </w:p>
    <w:p w14:paraId="3F3131D3" w14:textId="77777777" w:rsidR="00CD65C2" w:rsidRDefault="00CD65C2">
      <w:pPr>
        <w:rPr>
          <w:lang w:eastAsia="pt-BR"/>
        </w:rPr>
      </w:pPr>
    </w:p>
    <w:p w14:paraId="5D513E86" w14:textId="77777777" w:rsidR="00CD65C2" w:rsidRDefault="00CD65C2">
      <w:pPr>
        <w:rPr>
          <w:lang w:eastAsia="pt-BR"/>
        </w:rPr>
      </w:pPr>
    </w:p>
    <w:p w14:paraId="10D8707A" w14:textId="77777777" w:rsidR="00CD65C2" w:rsidRDefault="00CD65C2">
      <w:pPr>
        <w:rPr>
          <w:lang w:eastAsia="pt-BR"/>
        </w:rPr>
      </w:pPr>
    </w:p>
    <w:p w14:paraId="5A5FAAF8" w14:textId="77777777" w:rsidR="00CD65C2" w:rsidRDefault="00CD65C2">
      <w:pPr>
        <w:rPr>
          <w:lang w:eastAsia="pt-BR"/>
        </w:rPr>
      </w:pPr>
    </w:p>
    <w:p w14:paraId="232EE435" w14:textId="77777777" w:rsidR="00CD65C2" w:rsidRDefault="00CD65C2">
      <w:pPr>
        <w:rPr>
          <w:lang w:eastAsia="pt-BR"/>
        </w:rPr>
      </w:pPr>
    </w:p>
    <w:p w14:paraId="58F57F3F" w14:textId="77777777" w:rsidR="00CD65C2" w:rsidRDefault="00CD65C2">
      <w:pPr>
        <w:rPr>
          <w:lang w:eastAsia="pt-BR"/>
        </w:rPr>
      </w:pPr>
    </w:p>
    <w:p w14:paraId="5D1F845A" w14:textId="77777777" w:rsidR="00CD65C2" w:rsidRDefault="00CD65C2">
      <w:pPr>
        <w:rPr>
          <w:lang w:eastAsia="pt-BR"/>
        </w:rPr>
      </w:pPr>
    </w:p>
    <w:p w14:paraId="1D256330" w14:textId="77777777" w:rsidR="00CD65C2" w:rsidRDefault="00CD65C2">
      <w:pPr>
        <w:rPr>
          <w:lang w:eastAsia="pt-BR"/>
        </w:rPr>
      </w:pPr>
    </w:p>
    <w:p w14:paraId="3E5AF0E5" w14:textId="77777777" w:rsidR="00CD65C2" w:rsidRDefault="00CD65C2">
      <w:pPr>
        <w:rPr>
          <w:lang w:eastAsia="pt-BR"/>
        </w:rPr>
      </w:pPr>
    </w:p>
    <w:p w14:paraId="41D84D78" w14:textId="77777777" w:rsidR="00CD65C2" w:rsidRDefault="00CD65C2">
      <w:pPr>
        <w:rPr>
          <w:lang w:eastAsia="pt-BR"/>
        </w:rPr>
      </w:pPr>
    </w:p>
    <w:p w14:paraId="2220CAFD" w14:textId="77777777" w:rsidR="00CD65C2" w:rsidRDefault="00CD65C2">
      <w:pPr>
        <w:rPr>
          <w:lang w:eastAsia="pt-BR"/>
        </w:rPr>
      </w:pPr>
    </w:p>
    <w:p w14:paraId="5F180FF2" w14:textId="77777777" w:rsidR="00CD65C2" w:rsidRDefault="00CD65C2">
      <w:pPr>
        <w:rPr>
          <w:lang w:eastAsia="pt-BR"/>
        </w:rPr>
      </w:pPr>
    </w:p>
    <w:p w14:paraId="39288E0E" w14:textId="77777777" w:rsidR="00CD65C2" w:rsidRDefault="00CD65C2">
      <w:pPr>
        <w:rPr>
          <w:lang w:eastAsia="pt-BR"/>
        </w:rPr>
      </w:pPr>
    </w:p>
    <w:p w14:paraId="63DE9270" w14:textId="77777777" w:rsidR="00CD65C2" w:rsidRDefault="00CD65C2">
      <w:pPr>
        <w:rPr>
          <w:lang w:eastAsia="pt-BR"/>
        </w:rPr>
      </w:pPr>
    </w:p>
    <w:p w14:paraId="6CA4CD58" w14:textId="77777777" w:rsidR="00CD65C2" w:rsidRDefault="00CD65C2">
      <w:pPr>
        <w:rPr>
          <w:lang w:eastAsia="pt-BR"/>
        </w:rPr>
      </w:pPr>
    </w:p>
    <w:p w14:paraId="09669013" w14:textId="77777777" w:rsidR="00CD65C2" w:rsidRDefault="00CD65C2">
      <w:pPr>
        <w:rPr>
          <w:lang w:eastAsia="pt-BR"/>
        </w:rPr>
      </w:pPr>
    </w:p>
    <w:p w14:paraId="3EB1D9FB" w14:textId="77777777" w:rsidR="00CD65C2" w:rsidRDefault="00CD65C2">
      <w:pPr>
        <w:rPr>
          <w:lang w:eastAsia="pt-BR"/>
        </w:rPr>
      </w:pPr>
    </w:p>
    <w:p w14:paraId="48044B0C" w14:textId="77777777" w:rsidR="00CD65C2" w:rsidRDefault="00CD65C2">
      <w:pPr>
        <w:rPr>
          <w:lang w:eastAsia="pt-BR"/>
        </w:rPr>
      </w:pPr>
    </w:p>
    <w:p w14:paraId="67BFF588" w14:textId="77777777" w:rsidR="00CD65C2" w:rsidRDefault="00CD65C2">
      <w:pPr>
        <w:rPr>
          <w:lang w:eastAsia="pt-BR"/>
        </w:rPr>
      </w:pPr>
    </w:p>
    <w:p w14:paraId="4A3B4B01" w14:textId="77777777" w:rsidR="00CD65C2" w:rsidRDefault="00CD65C2">
      <w:pPr>
        <w:rPr>
          <w:lang w:eastAsia="pt-BR"/>
        </w:rPr>
      </w:pPr>
    </w:p>
    <w:p w14:paraId="5FB95514" w14:textId="77777777" w:rsidR="00CD65C2" w:rsidRDefault="00CD65C2">
      <w:pPr>
        <w:rPr>
          <w:lang w:eastAsia="pt-BR"/>
        </w:rPr>
      </w:pPr>
    </w:p>
    <w:p w14:paraId="6401D9CC" w14:textId="77777777" w:rsidR="00CD65C2" w:rsidRDefault="00CD65C2"/>
    <w:p w14:paraId="360D58C7" w14:textId="77777777" w:rsidR="00CD65C2" w:rsidRDefault="00CD65C2">
      <w:pPr>
        <w:pStyle w:val="Corpo"/>
        <w:rPr>
          <w:rFonts w:hint="eastAsia"/>
          <w:color w:val="404040" w:themeColor="text1" w:themeTint="BF"/>
        </w:rPr>
      </w:pPr>
    </w:p>
    <w:p w14:paraId="391392D3" w14:textId="77777777" w:rsidR="00CD65C2" w:rsidRDefault="00CD65C2"/>
    <w:p w14:paraId="3EF47BE6" w14:textId="77777777" w:rsidR="00CD65C2" w:rsidRDefault="00FA41FC">
      <w:pPr>
        <w:pStyle w:val="Ttulo1"/>
        <w:jc w:val="center"/>
        <w:rPr>
          <w:rFonts w:hint="eastAsia"/>
        </w:rPr>
      </w:pPr>
      <w:bookmarkStart w:id="18" w:name="_Toc165537170"/>
      <w:r>
        <w:t>Dismenorreia</w:t>
      </w:r>
      <w:bookmarkEnd w:id="18"/>
    </w:p>
    <w:p w14:paraId="4441F8D3" w14:textId="77777777" w:rsidR="00CD65C2" w:rsidRDefault="00CD65C2">
      <w:pPr>
        <w:pStyle w:val="SemEspaamento"/>
      </w:pPr>
    </w:p>
    <w:p w14:paraId="31F3A16D" w14:textId="77777777" w:rsidR="00CD65C2" w:rsidRDefault="00FA41FC">
      <w:pPr>
        <w:pStyle w:val="Ttulo1"/>
        <w:jc w:val="center"/>
        <w:rPr>
          <w:rFonts w:hint="eastAsia"/>
        </w:rPr>
      </w:pPr>
      <w:bookmarkStart w:id="19" w:name="_Toc165537171"/>
      <w:r>
        <w:rPr>
          <w:i/>
        </w:rPr>
        <w:t>Chlorella</w:t>
      </w:r>
      <w:bookmarkEnd w:id="19"/>
    </w:p>
    <w:p w14:paraId="6A84A637" w14:textId="77777777" w:rsidR="00CD65C2" w:rsidRPr="00D1428E" w:rsidRDefault="00FA41FC">
      <w:pPr>
        <w:pStyle w:val="Corpo"/>
        <w:jc w:val="center"/>
        <w:rPr>
          <w:rFonts w:hint="eastAsia"/>
          <w:b/>
          <w:color w:val="0070C0"/>
        </w:rPr>
      </w:pPr>
      <w:r w:rsidRPr="00D1428E">
        <w:rPr>
          <w:b/>
          <w:color w:val="0070C0"/>
          <w:sz w:val="40"/>
          <w:szCs w:val="22"/>
        </w:rPr>
        <w:t>Melhora os Parêmetros Avaliados em Pacientes com Dismenorreia</w:t>
      </w:r>
    </w:p>
    <w:p w14:paraId="7DE98117" w14:textId="77777777" w:rsidR="00CD65C2" w:rsidRDefault="00CD65C2">
      <w:pPr>
        <w:pStyle w:val="Corpo"/>
        <w:spacing w:after="120"/>
        <w:rPr>
          <w:rFonts w:hint="eastAsia"/>
          <w:color w:val="404040" w:themeColor="text1" w:themeTint="BF"/>
          <w:sz w:val="24"/>
        </w:rPr>
      </w:pPr>
    </w:p>
    <w:p w14:paraId="020A4BE4" w14:textId="26E2DB1C" w:rsidR="00CD65C2" w:rsidRDefault="00FA41FC">
      <w:pPr>
        <w:pStyle w:val="Corpo"/>
        <w:rPr>
          <w:rFonts w:hint="eastAsia"/>
          <w:color w:val="404040" w:themeColor="text1" w:themeTint="BF"/>
          <w:sz w:val="24"/>
        </w:rPr>
      </w:pPr>
      <w:r>
        <w:rPr>
          <w:color w:val="404040" w:themeColor="text1" w:themeTint="BF"/>
          <w:sz w:val="24"/>
        </w:rPr>
        <w:t xml:space="preserve">O objetivo deste estudo clínico foi avaliar os efeitos da suplementação de </w:t>
      </w:r>
      <w:r>
        <w:rPr>
          <w:i/>
          <w:color w:val="404040" w:themeColor="text1" w:themeTint="BF"/>
          <w:sz w:val="24"/>
        </w:rPr>
        <w:t xml:space="preserve">Chlorella </w:t>
      </w:r>
      <w:r>
        <w:rPr>
          <w:color w:val="404040" w:themeColor="text1" w:themeTint="BF"/>
          <w:sz w:val="24"/>
        </w:rPr>
        <w:t xml:space="preserve">na severidade da dor menstrual em mulheres jovens com dismenorreia primária </w:t>
      </w:r>
      <w:r>
        <w:rPr>
          <w:color w:val="404040" w:themeColor="text1" w:themeTint="BF"/>
          <w:sz w:val="24"/>
        </w:rPr>
        <w:fldChar w:fldCharType="begin">
          <w:fldData xml:space="preserve">PEVuZE5vdGU+PENpdGU+PEF1dGhvcj5IYWlkYXJpPC9BdXRob3I+PFllYXI+MjAxODwvWWVhcj48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==
</w:fldData>
        </w:fldChar>
      </w:r>
      <w:r>
        <w:rPr>
          <w:color w:val="404040" w:themeColor="text1" w:themeTint="BF"/>
          <w:sz w:val="24"/>
        </w:rPr>
        <w:instrText xml:space="preserve"> ADDIN EN.CITE </w:instrText>
      </w:r>
      <w:r>
        <w:rPr>
          <w:color w:val="404040" w:themeColor="text1" w:themeTint="BF"/>
          <w:sz w:val="24"/>
        </w:rPr>
        <w:fldChar w:fldCharType="begin">
          <w:fldData xml:space="preserve">PEVuZE5vdGU+PENpdGU+PEF1dGhvcj5IYWlkYXJpPC9BdXRob3I+PFllYXI+MjAxODwvWWVhcj48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==
</w:fldData>
        </w:fldChar>
      </w:r>
      <w:r>
        <w:rPr>
          <w:color w:val="404040" w:themeColor="text1" w:themeTint="BF"/>
          <w:sz w:val="24"/>
        </w:rPr>
        <w:instrText xml:space="preserve"> ADDIN EN.CITE.DATA </w:instrText>
      </w:r>
      <w:r>
        <w:rPr>
          <w:color w:val="404040" w:themeColor="text1" w:themeTint="BF"/>
          <w:sz w:val="24"/>
        </w:rPr>
      </w:r>
      <w:r>
        <w:rPr>
          <w:color w:val="404040" w:themeColor="text1" w:themeTint="BF"/>
          <w:sz w:val="24"/>
        </w:rPr>
        <w:fldChar w:fldCharType="end"/>
      </w:r>
      <w:r>
        <w:rPr>
          <w:color w:val="404040" w:themeColor="text1" w:themeTint="BF"/>
          <w:sz w:val="24"/>
        </w:rPr>
      </w:r>
      <w:r>
        <w:rPr>
          <w:color w:val="404040" w:themeColor="text1" w:themeTint="BF"/>
          <w:sz w:val="24"/>
        </w:rPr>
        <w:fldChar w:fldCharType="separate"/>
      </w:r>
      <w:r>
        <w:rPr>
          <w:color w:val="404040" w:themeColor="text1" w:themeTint="BF"/>
          <w:sz w:val="24"/>
        </w:rPr>
        <w:t>(Haidari</w:t>
      </w:r>
      <w:r>
        <w:rPr>
          <w:i/>
          <w:color w:val="404040" w:themeColor="text1" w:themeTint="BF"/>
          <w:sz w:val="24"/>
        </w:rPr>
        <w:t xml:space="preserve"> et al.</w:t>
      </w:r>
      <w:r>
        <w:rPr>
          <w:color w:val="404040" w:themeColor="text1" w:themeTint="BF"/>
          <w:sz w:val="24"/>
        </w:rPr>
        <w:t>, 2018)</w:t>
      </w:r>
      <w:r>
        <w:rPr>
          <w:color w:val="404040" w:themeColor="text1" w:themeTint="BF"/>
          <w:sz w:val="24"/>
        </w:rPr>
        <w:fldChar w:fldCharType="end"/>
      </w:r>
      <w:r>
        <w:rPr>
          <w:color w:val="404040" w:themeColor="text1" w:themeTint="BF"/>
          <w:sz w:val="24"/>
        </w:rPr>
        <w:t>.</w:t>
      </w:r>
    </w:p>
    <w:p w14:paraId="600E191B"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696128" behindDoc="0" locked="0" layoutInCell="1" allowOverlap="1">
                <wp:simplePos x="0" y="0"/>
                <wp:positionH relativeFrom="margin">
                  <wp:posOffset>5080</wp:posOffset>
                </wp:positionH>
                <wp:positionV relativeFrom="paragraph">
                  <wp:posOffset>96520</wp:posOffset>
                </wp:positionV>
                <wp:extent cx="5724525" cy="518160"/>
                <wp:effectExtent l="0" t="0" r="28575" b="15240"/>
                <wp:wrapNone/>
                <wp:docPr id="48" name="Caixa de texto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0070C0"/>
                          </a:solidFill>
                          <a:miter lim="800000"/>
                        </a:ln>
                      </wps:spPr>
                      <wps:txbx>
                        <w:txbxContent>
                          <w:p w14:paraId="5763AB11" w14:textId="469238E7" w:rsidR="00FA41FC" w:rsidRDefault="00FA41FC">
                            <w:pPr>
                              <w:jc w:val="center"/>
                              <w:rPr>
                                <w:rFonts w:ascii="Swis721 Th BT" w:hAnsi="Swis721 Th BT"/>
                                <w:sz w:val="23"/>
                                <w:szCs w:val="23"/>
                              </w:rPr>
                            </w:pPr>
                            <w:r>
                              <w:rPr>
                                <w:rFonts w:ascii="Swis721 Th BT" w:hAnsi="Swis721 Th BT"/>
                                <w:sz w:val="23"/>
                                <w:szCs w:val="23"/>
                              </w:rPr>
                              <w:t xml:space="preserve">Assim, 44 mulheres (idade entre 18 e 35 anos) com dismenorreia primária foram randomizadas em dois grupos para receberem: </w:t>
                            </w:r>
                          </w:p>
                          <w:p w14:paraId="25A67D39"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48" o:spid="_x0000_s1048" type="#_x0000_t202" style="position:absolute;left:0;text-align:left;margin-left:.4pt;margin-top:7.6pt;width:450.75pt;height:40.8pt;z-index:2516961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" fillcolor="white [3212]" strokecolor="#0070c0">
                <v:textbox>
                  <w:txbxContent>
                    <w:p w14:paraId="5763AB11" w14:textId="469238E7" w:rsidR="00FA41FC" w:rsidRDefault="00FA41FC">
                      <w:pPr>
                        <w:jc w:val="center"/>
                        <w:rPr>
                          <w:rFonts w:ascii="Swis721 Th BT" w:hAnsi="Swis721 Th BT"/>
                          <w:sz w:val="23"/>
                          <w:szCs w:val="23"/>
                        </w:rPr>
                      </w:pPr>
                      <w:r>
                        <w:rPr>
                          <w:rFonts w:ascii="Swis721 Th BT" w:hAnsi="Swis721 Th BT"/>
                          <w:sz w:val="23"/>
                          <w:szCs w:val="23"/>
                        </w:rPr>
                        <w:t xml:space="preserve">Assim, 44 mulheres (idade entre 18 e 35 anos) com dismenorreia primária foram randomizadas em dois grupos para receberem: </w:t>
                      </w:r>
                    </w:p>
                    <w:p w14:paraId="25A67D39"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7F1EC992" w14:textId="77777777" w:rsidR="00CD65C2" w:rsidRDefault="00CD65C2">
      <w:pPr>
        <w:pStyle w:val="Corpo"/>
        <w:rPr>
          <w:rFonts w:hint="eastAsia"/>
          <w:color w:val="404040" w:themeColor="text1" w:themeTint="BF"/>
        </w:rPr>
      </w:pPr>
    </w:p>
    <w:p w14:paraId="5B27EC62" w14:textId="77777777" w:rsidR="00CD65C2" w:rsidRDefault="00CD65C2">
      <w:pPr>
        <w:pStyle w:val="Corpo"/>
        <w:rPr>
          <w:rFonts w:hint="eastAsia"/>
          <w:color w:val="404040" w:themeColor="text1" w:themeTint="BF"/>
        </w:rPr>
      </w:pPr>
    </w:p>
    <w:p w14:paraId="25A45FAB"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694080"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49" name="Triângulo isósceles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49" o:spid="_x0000_s1026" o:spt="5" type="#_x0000_t5" style="position:absolute;left:0pt;flip:y;margin-left:65.25pt;margin-top:0.85pt;height:10.9pt;width:17.85pt;z-index:251694080;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n+uDbdYA&#10;AAAIAQAADwAAAAAAAAABACAAAAAiAAAAZHJzL2Rvd25yZXYueG1sUEsBAhQAFAAAAAgAh07iQIDH&#10;qDNaAgAApQQAAA4AAAAAAAAAAQAgAAAAJQEAAGRycy9lMm9Eb2MueG1sUEsFBgAAAAAGAAYAWQEA&#10;APEFA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693056" behindDoc="0" locked="0" layoutInCell="1" allowOverlap="1">
                <wp:simplePos x="0" y="0"/>
                <wp:positionH relativeFrom="column">
                  <wp:posOffset>4664710</wp:posOffset>
                </wp:positionH>
                <wp:positionV relativeFrom="paragraph">
                  <wp:posOffset>10795</wp:posOffset>
                </wp:positionV>
                <wp:extent cx="226695" cy="138430"/>
                <wp:effectExtent l="0" t="0" r="1905" b="0"/>
                <wp:wrapNone/>
                <wp:docPr id="50" name="Triângulo isósceles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50" o:spid="_x0000_s1026" o:spt="5" type="#_x0000_t5" style="position:absolute;left:0pt;flip:y;margin-left:367.3pt;margin-top:0.85pt;height:10.9pt;width:17.85pt;z-index:251693056;mso-width-relative:page;mso-height-relative:page;" fillcolor="#D9D9D9 [3212]" filled="t" stroked="f" coordsize="21600,21600" o:gfxdata="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qyKZW1gAA&#10;AAgBAAAPAAAAAAAAAAEAIAAAACIAAABkcnMvZG93bnJldi54bWxQSwECFAAUAAAACACHTuJAC6Dk&#10;kVkCAAClBAAADgAAAAAAAAABACAAAAAlAQAAZHJzL2Uyb0RvYy54bWxQSwUGAAAAAAYABgBZAQAA&#10;8AUAAAAA&#10;" adj="10800">
                <v:fill on="t" focussize="0,0"/>
                <v:stroke on="f"/>
                <v:imagedata o:title=""/>
                <o:lock v:ext="edit" aspectratio="f"/>
              </v:shape>
            </w:pict>
          </mc:Fallback>
        </mc:AlternateContent>
      </w:r>
    </w:p>
    <w:p w14:paraId="2DF6E476"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692032" behindDoc="0" locked="0" layoutInCell="1" allowOverlap="1">
                <wp:simplePos x="0" y="0"/>
                <wp:positionH relativeFrom="column">
                  <wp:posOffset>-5715</wp:posOffset>
                </wp:positionH>
                <wp:positionV relativeFrom="paragraph">
                  <wp:posOffset>88900</wp:posOffset>
                </wp:positionV>
                <wp:extent cx="1913890" cy="781685"/>
                <wp:effectExtent l="0" t="0" r="10160" b="18415"/>
                <wp:wrapNone/>
                <wp:docPr id="51" name="Caixa de texto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01E7EA41" w14:textId="77777777" w:rsidR="00FA41FC" w:rsidRDefault="00FA41FC">
                            <w:pPr>
                              <w:spacing w:after="0" w:line="240" w:lineRule="auto"/>
                              <w:jc w:val="center"/>
                              <w:rPr>
                                <w:rFonts w:ascii="Swis721 Th BT" w:hAnsi="Swis721 Th BT"/>
                                <w:i/>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p>
                          <w:p w14:paraId="391273B0"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Chlorella</w:t>
                            </w:r>
                          </w:p>
                          <w:p w14:paraId="13ED0A00" w14:textId="77777777" w:rsidR="00FA41FC" w:rsidRDefault="00FA41FC">
                            <w:pPr>
                              <w:spacing w:after="0" w:line="240" w:lineRule="auto"/>
                              <w:jc w:val="center"/>
                              <w:rPr>
                                <w:rFonts w:ascii="Swis721 Th BT" w:hAnsi="Swis721 Th BT"/>
                                <w:i/>
                                <w:color w:val="FFFFFF" w:themeColor="background1"/>
                                <w:szCs w:val="23"/>
                              </w:rPr>
                            </w:pPr>
                            <w:r>
                              <w:rPr>
                                <w:rFonts w:ascii="Swis721 Th BT" w:hAnsi="Swis721 Th BT"/>
                                <w:color w:val="FFFFFF" w:themeColor="background1"/>
                                <w:sz w:val="23"/>
                                <w:szCs w:val="23"/>
                              </w:rPr>
                              <w:t>1500 mg ao dia</w:t>
                            </w:r>
                            <w:r>
                              <w:rPr>
                                <w:rFonts w:ascii="Swis721 Th BT" w:hAnsi="Swis721 Th BT"/>
                                <w:i/>
                                <w:color w:val="FFFFFF" w:themeColor="background1"/>
                                <w:szCs w:val="23"/>
                              </w:rPr>
                              <w:t xml:space="preserve"> </w:t>
                            </w:r>
                          </w:p>
                          <w:p w14:paraId="07A54B11"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51" o:spid="_x0000_s1049" type="#_x0000_t202" style="position:absolute;left:0;text-align:left;margin-left:-.45pt;margin-top:7pt;width:150.7pt;height:61.5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" fillcolor="#0070c0" strokecolor="#0070c0">
                <v:textbox>
                  <w:txbxContent>
                    <w:p w14:paraId="01E7EA41" w14:textId="77777777" w:rsidR="00FA41FC" w:rsidRDefault="00FA41FC">
                      <w:pPr>
                        <w:spacing w:after="0" w:line="240" w:lineRule="auto"/>
                        <w:jc w:val="center"/>
                        <w:rPr>
                          <w:rFonts w:ascii="Swis721 Th BT" w:hAnsi="Swis721 Th BT"/>
                          <w:i/>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p>
                    <w:p w14:paraId="391273B0"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Chlorella</w:t>
                      </w:r>
                    </w:p>
                    <w:p w14:paraId="13ED0A00" w14:textId="77777777" w:rsidR="00FA41FC" w:rsidRDefault="00FA41FC">
                      <w:pPr>
                        <w:spacing w:after="0" w:line="240" w:lineRule="auto"/>
                        <w:jc w:val="center"/>
                        <w:rPr>
                          <w:rFonts w:ascii="Swis721 Th BT" w:hAnsi="Swis721 Th BT"/>
                          <w:i/>
                          <w:color w:val="FFFFFF" w:themeColor="background1"/>
                          <w:szCs w:val="23"/>
                        </w:rPr>
                      </w:pPr>
                      <w:r>
                        <w:rPr>
                          <w:rFonts w:ascii="Swis721 Th BT" w:hAnsi="Swis721 Th BT"/>
                          <w:color w:val="FFFFFF" w:themeColor="background1"/>
                          <w:sz w:val="23"/>
                          <w:szCs w:val="23"/>
                        </w:rPr>
                        <w:t>1500 mg ao dia</w:t>
                      </w:r>
                      <w:r>
                        <w:rPr>
                          <w:rFonts w:ascii="Swis721 Th BT" w:hAnsi="Swis721 Th BT"/>
                          <w:i/>
                          <w:color w:val="FFFFFF" w:themeColor="background1"/>
                          <w:szCs w:val="23"/>
                        </w:rPr>
                        <w:t xml:space="preserve"> </w:t>
                      </w:r>
                    </w:p>
                    <w:p w14:paraId="07A54B11"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695104" behindDoc="0" locked="0" layoutInCell="1" allowOverlap="1">
                <wp:simplePos x="0" y="0"/>
                <wp:positionH relativeFrom="column">
                  <wp:posOffset>3839210</wp:posOffset>
                </wp:positionH>
                <wp:positionV relativeFrom="paragraph">
                  <wp:posOffset>88900</wp:posOffset>
                </wp:positionV>
                <wp:extent cx="1905000" cy="781685"/>
                <wp:effectExtent l="0" t="0" r="19050" b="18415"/>
                <wp:wrapNone/>
                <wp:docPr id="52" name="Caixa de texto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084DAAF4"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26A3FCC1" w14:textId="77777777" w:rsidR="00FA41FC" w:rsidRDefault="00FA41FC">
                            <w:pPr>
                              <w:spacing w:after="0" w:line="240" w:lineRule="auto"/>
                              <w:jc w:val="center"/>
                              <w:rPr>
                                <w:rFonts w:ascii="Swis721 Th BT" w:hAnsi="Swis721 Th BT"/>
                                <w:b/>
                                <w:color w:val="FFFFFF" w:themeColor="background1"/>
                                <w:sz w:val="23"/>
                                <w:szCs w:val="23"/>
                              </w:rPr>
                            </w:pPr>
                          </w:p>
                          <w:p w14:paraId="7C242EBC" w14:textId="77777777" w:rsidR="00FA41FC" w:rsidRDefault="00FA41FC">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52" o:spid="_x0000_s1050" type="#_x0000_t202" style="position:absolute;left:0;text-align:left;margin-left:302.3pt;margin-top:7pt;width:150pt;height:61.5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" fillcolor="#0070c0" strokecolor="#0070c0">
                <v:textbox>
                  <w:txbxContent>
                    <w:p w14:paraId="084DAAF4"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26A3FCC1" w14:textId="77777777" w:rsidR="00FA41FC" w:rsidRDefault="00FA41FC">
                      <w:pPr>
                        <w:spacing w:after="0" w:line="240" w:lineRule="auto"/>
                        <w:jc w:val="center"/>
                        <w:rPr>
                          <w:rFonts w:ascii="Swis721 Th BT" w:hAnsi="Swis721 Th BT"/>
                          <w:b/>
                          <w:color w:val="FFFFFF" w:themeColor="background1"/>
                          <w:sz w:val="23"/>
                          <w:szCs w:val="23"/>
                        </w:rPr>
                      </w:pPr>
                    </w:p>
                    <w:p w14:paraId="7C242EBC" w14:textId="77777777" w:rsidR="00FA41FC" w:rsidRDefault="00FA41FC">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14:paraId="1321CC19" w14:textId="77777777" w:rsidR="00CD65C2" w:rsidRDefault="00CD65C2">
      <w:pPr>
        <w:pStyle w:val="Corpo"/>
        <w:rPr>
          <w:rFonts w:hint="eastAsia"/>
          <w:color w:val="404040" w:themeColor="text1" w:themeTint="BF"/>
        </w:rPr>
      </w:pPr>
    </w:p>
    <w:p w14:paraId="129FA0D8" w14:textId="77777777" w:rsidR="00CD65C2" w:rsidRDefault="00CD65C2">
      <w:pPr>
        <w:pStyle w:val="Corpo"/>
        <w:rPr>
          <w:rFonts w:hint="eastAsia"/>
          <w:color w:val="404040" w:themeColor="text1" w:themeTint="BF"/>
        </w:rPr>
      </w:pPr>
    </w:p>
    <w:p w14:paraId="10EA3612" w14:textId="77777777" w:rsidR="00CD65C2" w:rsidRDefault="00CD65C2">
      <w:pPr>
        <w:pStyle w:val="Corpo"/>
        <w:rPr>
          <w:rFonts w:hint="eastAsia"/>
          <w:color w:val="404040" w:themeColor="text1" w:themeTint="BF"/>
        </w:rPr>
      </w:pPr>
    </w:p>
    <w:p w14:paraId="0428FB7A" w14:textId="77777777" w:rsidR="00CD65C2" w:rsidRDefault="00CD65C2">
      <w:pPr>
        <w:pStyle w:val="Corpo"/>
        <w:spacing w:before="120"/>
        <w:rPr>
          <w:rFonts w:hint="eastAsia"/>
          <w:color w:val="404040" w:themeColor="text1" w:themeTint="BF"/>
          <w:sz w:val="20"/>
        </w:rPr>
      </w:pPr>
    </w:p>
    <w:p w14:paraId="33442DDF" w14:textId="77777777" w:rsidR="00CD65C2" w:rsidRDefault="00CD65C2">
      <w:pPr>
        <w:pStyle w:val="Corpo"/>
        <w:rPr>
          <w:rFonts w:hint="eastAsia"/>
          <w:b/>
          <w:color w:val="339966"/>
          <w:sz w:val="25"/>
          <w:szCs w:val="25"/>
          <w14:textFill>
            <w14:solidFill>
              <w14:srgbClr w14:val="339966">
                <w14:lumMod w14:val="75000"/>
                <w14:lumOff w14:val="25000"/>
              </w14:srgbClr>
            </w14:solidFill>
          </w14:textFill>
        </w:rPr>
      </w:pPr>
    </w:p>
    <w:p w14:paraId="59A0807A"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7D6DB88F" w14:textId="77777777" w:rsidR="00CD65C2" w:rsidRDefault="00CD65C2">
      <w:pPr>
        <w:pStyle w:val="Corpo"/>
        <w:rPr>
          <w:rFonts w:hint="eastAsia"/>
          <w:color w:val="404040" w:themeColor="text1" w:themeTint="BF"/>
          <w:sz w:val="16"/>
          <w:szCs w:val="16"/>
        </w:rPr>
      </w:pPr>
    </w:p>
    <w:p w14:paraId="754E49E5" w14:textId="67FC97C9"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 xml:space="preserve">O grupo suplementado com </w:t>
      </w:r>
      <w:r>
        <w:rPr>
          <w:i/>
          <w:color w:val="404040" w:themeColor="text1" w:themeTint="BF"/>
          <w:sz w:val="24"/>
        </w:rPr>
        <w:t>Chlorella</w:t>
      </w:r>
      <w:r>
        <w:rPr>
          <w:color w:val="404040" w:themeColor="text1" w:themeTint="BF"/>
          <w:sz w:val="24"/>
        </w:rPr>
        <w:t xml:space="preserve"> teve uma redução significativa de prostaglandina E2 (PGE2), prostaglandina F2</w:t>
      </w:r>
      <w:r>
        <w:rPr>
          <w:rFonts w:ascii="Times New Roman" w:hAnsi="Times New Roman" w:cs="Times New Roman"/>
          <w:color w:val="404040" w:themeColor="text1" w:themeTint="BF"/>
          <w:sz w:val="24"/>
        </w:rPr>
        <w:t xml:space="preserve"> α</w:t>
      </w:r>
      <w:r>
        <w:rPr>
          <w:color w:val="404040" w:themeColor="text1" w:themeTint="BF"/>
          <w:sz w:val="24"/>
        </w:rPr>
        <w:t xml:space="preserve"> (PGF2</w:t>
      </w:r>
      <w:r>
        <w:rPr>
          <w:rFonts w:ascii="Times New Roman" w:hAnsi="Times New Roman" w:cs="Times New Roman"/>
          <w:color w:val="404040" w:themeColor="text1" w:themeTint="BF"/>
          <w:sz w:val="24"/>
        </w:rPr>
        <w:t>α</w:t>
      </w:r>
      <w:r>
        <w:rPr>
          <w:color w:val="404040" w:themeColor="text1" w:themeTint="BF"/>
          <w:sz w:val="24"/>
        </w:rPr>
        <w:t>) proteína C reativa de alta sensibilidade (PCR-as) e malondialdeído (MDA);</w:t>
      </w:r>
    </w:p>
    <w:p w14:paraId="5775D173" w14:textId="77777777"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A severidade e duração da dor na dismenorreia reduziram significativamente no grupo 1 comparado ao grupo controle;</w:t>
      </w:r>
    </w:p>
    <w:p w14:paraId="5DF0FAF9" w14:textId="77777777"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Os sintomas sistêmicos da dismenorreia (fadiga, dor de cabeça, náusea, vômito e falta de energia) reduziram no grupo 1;</w:t>
      </w:r>
    </w:p>
    <w:p w14:paraId="00D90644" w14:textId="77777777"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A média das características menstruais, índice antropométrico, energia diária e ingestão de macronutrientes em ambos os grupos não foram alterados significativamente.</w:t>
      </w:r>
    </w:p>
    <w:p w14:paraId="20D21015" w14:textId="77777777" w:rsidR="00CD65C2" w:rsidRDefault="00CD65C2">
      <w:pPr>
        <w:pStyle w:val="Corpo"/>
        <w:spacing w:after="120"/>
        <w:ind w:left="786"/>
        <w:rPr>
          <w:rFonts w:hint="eastAsia"/>
          <w:color w:val="404040" w:themeColor="text1" w:themeTint="BF"/>
          <w:sz w:val="24"/>
        </w:rPr>
      </w:pPr>
    </w:p>
    <w:p w14:paraId="35BFC402"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18CF3F8F" w14:textId="77777777" w:rsidR="00CD65C2" w:rsidRDefault="00CD65C2">
      <w:pPr>
        <w:pStyle w:val="Corpo"/>
        <w:rPr>
          <w:rFonts w:hint="eastAsia"/>
          <w:b/>
          <w:color w:val="339966"/>
          <w:sz w:val="16"/>
          <w:szCs w:val="16"/>
          <w14:textFill>
            <w14:solidFill>
              <w14:srgbClr w14:val="339966">
                <w14:lumMod w14:val="75000"/>
                <w14:lumOff w14:val="25000"/>
              </w14:srgbClr>
            </w14:solidFill>
          </w14:textFill>
        </w:rPr>
      </w:pPr>
    </w:p>
    <w:p w14:paraId="61C5FD01" w14:textId="77777777" w:rsidR="00CD65C2" w:rsidRDefault="00FA41FC">
      <w:pPr>
        <w:pStyle w:val="Corpo"/>
        <w:jc w:val="center"/>
        <w:rPr>
          <w:rFonts w:hint="eastAsia"/>
          <w:b/>
          <w:i/>
          <w:color w:val="404040" w:themeColor="text1" w:themeTint="BF"/>
        </w:rPr>
      </w:pPr>
      <w:r>
        <w:rPr>
          <w:b/>
          <w:i/>
          <w:color w:val="404040" w:themeColor="text1" w:themeTint="BF"/>
        </w:rPr>
        <w:t xml:space="preserve">O estudo demonstrou que a suplementação de </w:t>
      </w:r>
      <w:r>
        <w:rPr>
          <w:b/>
          <w:color w:val="404040" w:themeColor="text1" w:themeTint="BF"/>
        </w:rPr>
        <w:t>Chlorella</w:t>
      </w:r>
      <w:r>
        <w:rPr>
          <w:b/>
          <w:i/>
          <w:color w:val="404040" w:themeColor="text1" w:themeTint="BF"/>
        </w:rPr>
        <w:t xml:space="preserve"> pode reduzir a severidade da dor e sintomas sistêmicos, além de melhorar os níveis séricos de prostaglandinas, marcadores inflamatórios e oxidativos em mulheres com dismenorreia primária.</w:t>
      </w:r>
    </w:p>
    <w:p w14:paraId="03880814" w14:textId="77777777" w:rsidR="00CD65C2" w:rsidRDefault="00CD65C2">
      <w:pPr>
        <w:pStyle w:val="Corpo"/>
        <w:jc w:val="center"/>
        <w:rPr>
          <w:rFonts w:hint="eastAsia"/>
          <w:b/>
          <w:i/>
          <w:color w:val="404040" w:themeColor="text1" w:themeTint="BF"/>
        </w:rPr>
      </w:pPr>
    </w:p>
    <w:p w14:paraId="14AA8C48" w14:textId="77777777" w:rsidR="00CD65C2" w:rsidRDefault="00FA41FC">
      <w:pPr>
        <w:pStyle w:val="Ttulo1"/>
        <w:jc w:val="center"/>
        <w:rPr>
          <w:rFonts w:hint="eastAsia"/>
        </w:rPr>
      </w:pPr>
      <w:bookmarkStart w:id="20" w:name="_Toc165537172"/>
      <w:r>
        <w:t>Formulário</w:t>
      </w:r>
      <w:bookmarkEnd w:id="20"/>
    </w:p>
    <w:p w14:paraId="6DD475A7" w14:textId="77777777" w:rsidR="00CD65C2" w:rsidRDefault="00CD65C2">
      <w:pPr>
        <w:pStyle w:val="Corpo"/>
        <w:rPr>
          <w:rFonts w:hint="eastAsia"/>
          <w:b/>
          <w:i/>
          <w:color w:val="404040" w:themeColor="text1" w:themeTint="BF"/>
        </w:rPr>
      </w:pPr>
    </w:p>
    <w:p w14:paraId="0AB27D29" w14:textId="77777777" w:rsidR="00CD65C2" w:rsidRDefault="00CD65C2">
      <w:pPr>
        <w:pStyle w:val="Corpo"/>
        <w:rPr>
          <w:rFonts w:hint="eastAsia"/>
          <w:b/>
          <w:i/>
          <w:color w:val="404040" w:themeColor="text1" w:themeTint="BF"/>
        </w:rPr>
      </w:pPr>
    </w:p>
    <w:p w14:paraId="7C783A2C" w14:textId="77777777" w:rsidR="00CD65C2" w:rsidRDefault="00FA41FC">
      <w:pPr>
        <w:pStyle w:val="Corpo"/>
        <w:rPr>
          <w:rFonts w:hint="eastAsia"/>
          <w:b/>
          <w:i/>
          <w:color w:val="404040" w:themeColor="text1" w:themeTint="BF"/>
          <w:sz w:val="24"/>
        </w:rPr>
      </w:pPr>
      <w:r>
        <w:rPr>
          <w:b/>
          <w:i/>
          <w:color w:val="404040" w:themeColor="text1" w:themeTint="BF"/>
          <w:sz w:val="24"/>
        </w:rPr>
        <w:t>Melhora dos Marcadores Oxidativos, Inflamatórios, Severidade e Duração dos Sintomas de Dismenorreia</w:t>
      </w:r>
    </w:p>
    <w:p w14:paraId="2B5CB79A"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504D66BB"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1EFC4E1D" w14:textId="77777777" w:rsidR="00CD65C2" w:rsidRDefault="00FA41FC">
            <w:pPr>
              <w:pStyle w:val="Corpo"/>
              <w:jc w:val="center"/>
              <w:rPr>
                <w:rFonts w:hint="eastAsia"/>
                <w:b/>
                <w:color w:val="FFFFFF" w:themeColor="background1"/>
              </w:rPr>
            </w:pPr>
            <w:r>
              <w:rPr>
                <w:b/>
                <w:color w:val="FFFFFF" w:themeColor="background1"/>
                <w:sz w:val="22"/>
              </w:rPr>
              <w:t xml:space="preserve">Cápsulas de </w:t>
            </w:r>
            <w:r>
              <w:rPr>
                <w:b/>
                <w:i/>
                <w:color w:val="FFFFFF" w:themeColor="background1"/>
                <w:sz w:val="22"/>
              </w:rPr>
              <w:t>Chlorella</w:t>
            </w:r>
          </w:p>
        </w:tc>
      </w:tr>
      <w:tr w:rsidR="00CD65C2" w14:paraId="5683C757"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46AF69D" w14:textId="77777777" w:rsidR="00CD65C2" w:rsidRDefault="00FA41FC">
            <w:pPr>
              <w:pStyle w:val="Corpo"/>
              <w:rPr>
                <w:rFonts w:hint="eastAsia"/>
                <w:color w:val="404040" w:themeColor="text1" w:themeTint="BF"/>
              </w:rPr>
            </w:pPr>
            <w:r>
              <w:rPr>
                <w:i/>
                <w:color w:val="404040" w:themeColor="text1" w:themeTint="BF"/>
              </w:rPr>
              <w:t>Chlorella</w:t>
            </w:r>
            <w:r>
              <w:rPr>
                <w:color w:val="404040" w:themeColor="text1" w:themeTint="BF"/>
              </w:rPr>
              <w:t>.........................................500 mg</w:t>
            </w:r>
          </w:p>
        </w:tc>
      </w:tr>
      <w:tr w:rsidR="00CD65C2" w14:paraId="7D658864"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8833A70" w14:textId="6057F952" w:rsidR="00CD65C2" w:rsidRDefault="00FA41FC">
            <w:pPr>
              <w:pStyle w:val="Corpo"/>
              <w:rPr>
                <w:rFonts w:hint="eastAsia"/>
                <w:color w:val="404040" w:themeColor="text1" w:themeTint="BF"/>
              </w:rPr>
            </w:pPr>
            <w:r>
              <w:rPr>
                <w:color w:val="404040" w:themeColor="text1" w:themeTint="BF"/>
              </w:rPr>
              <w:t>Excipiente q.s.p. ........................1 Cápsula</w:t>
            </w:r>
          </w:p>
        </w:tc>
      </w:tr>
    </w:tbl>
    <w:p w14:paraId="3B2E5CE3" w14:textId="77777777" w:rsidR="00CD65C2" w:rsidRDefault="00FA41FC">
      <w:pPr>
        <w:pStyle w:val="Corpo"/>
        <w:ind w:right="4676"/>
        <w:jc w:val="center"/>
        <w:rPr>
          <w:rFonts w:hint="eastAsia"/>
          <w:color w:val="404040" w:themeColor="text1" w:themeTint="BF"/>
          <w:sz w:val="22"/>
          <w:szCs w:val="22"/>
        </w:rPr>
      </w:pPr>
      <w:r>
        <w:rPr>
          <w:color w:val="404040" w:themeColor="text1" w:themeTint="BF"/>
          <w:sz w:val="22"/>
          <w:szCs w:val="22"/>
        </w:rPr>
        <w:t>Administrar 3 cápsulas ao dia ou conforme orientação médica.</w:t>
      </w:r>
    </w:p>
    <w:p w14:paraId="7CAE5457" w14:textId="77777777" w:rsidR="00CD65C2" w:rsidRDefault="00CD65C2">
      <w:pPr>
        <w:pStyle w:val="SemEspaamento"/>
      </w:pPr>
    </w:p>
    <w:p w14:paraId="46E692AE" w14:textId="77777777" w:rsidR="00CD65C2" w:rsidRDefault="00CD65C2">
      <w:pPr>
        <w:pStyle w:val="SemEspaamento"/>
      </w:pPr>
    </w:p>
    <w:p w14:paraId="1695E778" w14:textId="77777777" w:rsidR="00CD65C2" w:rsidRDefault="00CD65C2">
      <w:pPr>
        <w:pStyle w:val="SemEspaamento"/>
      </w:pPr>
    </w:p>
    <w:p w14:paraId="0FDD9A4C" w14:textId="77777777" w:rsidR="00CD65C2" w:rsidRDefault="00CD65C2">
      <w:pPr>
        <w:pStyle w:val="SemEspaamento"/>
      </w:pPr>
    </w:p>
    <w:p w14:paraId="437515D3" w14:textId="77777777" w:rsidR="00CD65C2" w:rsidRDefault="00CD65C2">
      <w:pPr>
        <w:pStyle w:val="SemEspaamento"/>
      </w:pPr>
    </w:p>
    <w:p w14:paraId="7DD30CAD" w14:textId="77777777" w:rsidR="00CD65C2" w:rsidRDefault="00CD65C2">
      <w:pPr>
        <w:pStyle w:val="SemEspaamento"/>
      </w:pPr>
    </w:p>
    <w:p w14:paraId="249A3E90" w14:textId="77777777" w:rsidR="00CD65C2" w:rsidRDefault="00CD65C2">
      <w:pPr>
        <w:pStyle w:val="SemEspaamento"/>
      </w:pPr>
    </w:p>
    <w:p w14:paraId="4C5EDB93" w14:textId="77777777" w:rsidR="00CD65C2" w:rsidRDefault="00CD65C2">
      <w:pPr>
        <w:pStyle w:val="SemEspaamento"/>
      </w:pPr>
    </w:p>
    <w:p w14:paraId="6E1A7842" w14:textId="77777777" w:rsidR="00CD65C2" w:rsidRDefault="00CD65C2">
      <w:pPr>
        <w:pStyle w:val="SemEspaamento"/>
      </w:pPr>
    </w:p>
    <w:p w14:paraId="08845E5C" w14:textId="77777777" w:rsidR="00CD65C2" w:rsidRDefault="00CD65C2">
      <w:pPr>
        <w:pStyle w:val="SemEspaamento"/>
      </w:pPr>
    </w:p>
    <w:p w14:paraId="5924B5EE" w14:textId="77777777" w:rsidR="00CD65C2" w:rsidRDefault="00CD65C2">
      <w:pPr>
        <w:pStyle w:val="SemEspaamento"/>
      </w:pPr>
    </w:p>
    <w:p w14:paraId="70644260" w14:textId="77777777" w:rsidR="00CD65C2" w:rsidRDefault="00CD65C2">
      <w:pPr>
        <w:pStyle w:val="SemEspaamento"/>
      </w:pPr>
    </w:p>
    <w:p w14:paraId="515351B0" w14:textId="77777777" w:rsidR="00CD65C2" w:rsidRDefault="00CD65C2">
      <w:pPr>
        <w:pStyle w:val="SemEspaamento"/>
      </w:pPr>
    </w:p>
    <w:p w14:paraId="0471ADAD" w14:textId="77777777" w:rsidR="00CD65C2" w:rsidRDefault="00CD65C2">
      <w:pPr>
        <w:pStyle w:val="SemEspaamento"/>
      </w:pPr>
    </w:p>
    <w:p w14:paraId="18206612" w14:textId="77777777" w:rsidR="00CD65C2" w:rsidRDefault="00CD65C2">
      <w:pPr>
        <w:pStyle w:val="SemEspaamento"/>
      </w:pPr>
    </w:p>
    <w:p w14:paraId="2DF87810" w14:textId="77777777" w:rsidR="00CD65C2" w:rsidRDefault="00CD65C2">
      <w:pPr>
        <w:pStyle w:val="SemEspaamento"/>
      </w:pPr>
    </w:p>
    <w:p w14:paraId="3022C825" w14:textId="77777777" w:rsidR="00CD65C2" w:rsidRDefault="00CD65C2">
      <w:pPr>
        <w:pStyle w:val="SemEspaamento"/>
      </w:pPr>
    </w:p>
    <w:p w14:paraId="4164EE1C" w14:textId="77777777" w:rsidR="00CD65C2" w:rsidRDefault="00CD65C2">
      <w:pPr>
        <w:pStyle w:val="SemEspaamento"/>
      </w:pPr>
    </w:p>
    <w:p w14:paraId="580F8AA0" w14:textId="77777777" w:rsidR="00CD65C2" w:rsidRDefault="00CD65C2">
      <w:pPr>
        <w:pStyle w:val="SemEspaamento"/>
      </w:pPr>
    </w:p>
    <w:p w14:paraId="67460FE3" w14:textId="77777777" w:rsidR="00CD65C2" w:rsidRDefault="00CD65C2">
      <w:pPr>
        <w:pStyle w:val="SemEspaamento"/>
      </w:pPr>
    </w:p>
    <w:p w14:paraId="05DC69A9" w14:textId="77777777" w:rsidR="00CD65C2" w:rsidRDefault="00CD65C2">
      <w:pPr>
        <w:pStyle w:val="SemEspaamento"/>
      </w:pPr>
    </w:p>
    <w:p w14:paraId="73CE24F9" w14:textId="77777777" w:rsidR="00CD65C2" w:rsidRDefault="00CD65C2">
      <w:pPr>
        <w:pStyle w:val="SemEspaamento"/>
      </w:pPr>
    </w:p>
    <w:p w14:paraId="466D6795" w14:textId="77777777" w:rsidR="00CD65C2" w:rsidRDefault="00CD65C2">
      <w:pPr>
        <w:pStyle w:val="SemEspaamento"/>
      </w:pPr>
    </w:p>
    <w:p w14:paraId="6E2B942C" w14:textId="77777777" w:rsidR="00CD65C2" w:rsidRDefault="00CD65C2">
      <w:pPr>
        <w:pStyle w:val="SemEspaamento"/>
      </w:pPr>
    </w:p>
    <w:p w14:paraId="18E03C0C" w14:textId="77777777" w:rsidR="00CD65C2" w:rsidRDefault="00CD65C2">
      <w:pPr>
        <w:pStyle w:val="SemEspaamento"/>
      </w:pPr>
    </w:p>
    <w:p w14:paraId="6D6C46BD" w14:textId="77777777" w:rsidR="00CD65C2" w:rsidRDefault="00CD65C2">
      <w:pPr>
        <w:pStyle w:val="SemEspaamento"/>
      </w:pPr>
    </w:p>
    <w:p w14:paraId="6DE2AB35" w14:textId="77777777" w:rsidR="00CD65C2" w:rsidRDefault="00CD65C2">
      <w:pPr>
        <w:pStyle w:val="SemEspaamento"/>
      </w:pPr>
    </w:p>
    <w:p w14:paraId="2BCEF57C" w14:textId="77777777" w:rsidR="00CD65C2" w:rsidRDefault="00CD65C2">
      <w:pPr>
        <w:pStyle w:val="SemEspaamento"/>
      </w:pPr>
    </w:p>
    <w:p w14:paraId="3DAC58CF" w14:textId="77777777" w:rsidR="00CD65C2" w:rsidRDefault="00CD65C2">
      <w:pPr>
        <w:pStyle w:val="SemEspaamento"/>
      </w:pPr>
    </w:p>
    <w:p w14:paraId="17D7D0F9" w14:textId="77777777" w:rsidR="00CD65C2" w:rsidRDefault="00CD65C2">
      <w:pPr>
        <w:pStyle w:val="SemEspaamento"/>
      </w:pPr>
    </w:p>
    <w:p w14:paraId="4D7896C8" w14:textId="77777777" w:rsidR="00CD65C2" w:rsidRDefault="00CD65C2">
      <w:pPr>
        <w:pStyle w:val="SemEspaamento"/>
      </w:pPr>
    </w:p>
    <w:p w14:paraId="263D4495" w14:textId="77777777" w:rsidR="00CD65C2" w:rsidRDefault="00FA41FC">
      <w:pPr>
        <w:pStyle w:val="Ttulo1"/>
        <w:jc w:val="center"/>
        <w:rPr>
          <w:rFonts w:hint="eastAsia"/>
        </w:rPr>
      </w:pPr>
      <w:bookmarkStart w:id="21" w:name="_Toc165537173"/>
      <w:r>
        <w:t>Boro</w:t>
      </w:r>
      <w:bookmarkEnd w:id="21"/>
    </w:p>
    <w:p w14:paraId="177CDE60" w14:textId="77777777" w:rsidR="00CD65C2" w:rsidRPr="00D1428E" w:rsidRDefault="00FA41FC">
      <w:pPr>
        <w:pStyle w:val="Corpo"/>
        <w:spacing w:after="120"/>
        <w:jc w:val="center"/>
        <w:rPr>
          <w:rFonts w:hint="eastAsia"/>
          <w:color w:val="0070C0"/>
          <w:sz w:val="24"/>
        </w:rPr>
      </w:pPr>
      <w:r w:rsidRPr="00D1428E">
        <w:rPr>
          <w:b/>
          <w:color w:val="0070C0"/>
          <w:sz w:val="40"/>
          <w:szCs w:val="22"/>
        </w:rPr>
        <w:t>Reduz a Duração e a Severidade da Dismenorreia</w:t>
      </w:r>
    </w:p>
    <w:p w14:paraId="2C6BBEFA" w14:textId="77777777" w:rsidR="00CD65C2" w:rsidRDefault="00CD65C2">
      <w:pPr>
        <w:pStyle w:val="Corpo"/>
        <w:rPr>
          <w:rFonts w:hint="eastAsia"/>
          <w:color w:val="404040" w:themeColor="text1" w:themeTint="BF"/>
          <w:sz w:val="24"/>
        </w:rPr>
      </w:pPr>
    </w:p>
    <w:p w14:paraId="3C8A35D7" w14:textId="77777777" w:rsidR="00CD65C2" w:rsidRDefault="00CD65C2">
      <w:pPr>
        <w:pStyle w:val="Corpo"/>
        <w:rPr>
          <w:rFonts w:hint="eastAsia"/>
          <w:color w:val="404040" w:themeColor="text1" w:themeTint="BF"/>
          <w:sz w:val="24"/>
        </w:rPr>
      </w:pPr>
    </w:p>
    <w:p w14:paraId="1D405BB7" w14:textId="77777777" w:rsidR="00CD65C2" w:rsidRDefault="00FA41FC">
      <w:pPr>
        <w:pStyle w:val="Corpo"/>
        <w:rPr>
          <w:rFonts w:hint="eastAsia"/>
          <w:color w:val="404040" w:themeColor="text1" w:themeTint="BF"/>
          <w:sz w:val="24"/>
        </w:rPr>
      </w:pPr>
      <w:r>
        <w:rPr>
          <w:color w:val="404040" w:themeColor="text1" w:themeTint="BF"/>
          <w:sz w:val="24"/>
        </w:rPr>
        <w:t xml:space="preserve">Levando em consideração as propriedades anti-inflamatórias do boro, Nikkhah </w:t>
      </w:r>
      <w:r>
        <w:rPr>
          <w:i/>
          <w:color w:val="404040" w:themeColor="text1" w:themeTint="BF"/>
          <w:sz w:val="24"/>
        </w:rPr>
        <w:t xml:space="preserve">et al. </w:t>
      </w:r>
      <w:r>
        <w:rPr>
          <w:color w:val="404040" w:themeColor="text1" w:themeTint="BF"/>
          <w:sz w:val="24"/>
        </w:rPr>
        <w:t>(2015) conduziram um estudo que teve como objetivo avaliar os efeitos de sua administração sobre a dismenorreia.</w:t>
      </w:r>
    </w:p>
    <w:p w14:paraId="490B3074"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02272" behindDoc="0" locked="0" layoutInCell="1" allowOverlap="1">
                <wp:simplePos x="0" y="0"/>
                <wp:positionH relativeFrom="margin">
                  <wp:posOffset>5080</wp:posOffset>
                </wp:positionH>
                <wp:positionV relativeFrom="paragraph">
                  <wp:posOffset>96520</wp:posOffset>
                </wp:positionV>
                <wp:extent cx="5724525" cy="518160"/>
                <wp:effectExtent l="0" t="0" r="28575" b="15240"/>
                <wp:wrapNone/>
                <wp:docPr id="53" name="Caixa de texto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0070C0"/>
                          </a:solidFill>
                          <a:miter lim="800000"/>
                        </a:ln>
                      </wps:spPr>
                      <wps:txbx>
                        <w:txbxContent>
                          <w:p w14:paraId="71F9D270" w14:textId="729DC796" w:rsidR="00FA41FC" w:rsidRDefault="00FA41FC">
                            <w:pPr>
                              <w:jc w:val="center"/>
                              <w:rPr>
                                <w:rFonts w:ascii="Swis721 Th BT" w:hAnsi="Swis721 Th BT"/>
                                <w:sz w:val="23"/>
                                <w:szCs w:val="23"/>
                              </w:rPr>
                            </w:pPr>
                            <w:r>
                              <w:rPr>
                                <w:rFonts w:ascii="Swis721 Th BT" w:hAnsi="Swis721 Th BT"/>
                                <w:sz w:val="23"/>
                                <w:szCs w:val="23"/>
                              </w:rPr>
                              <w:t>Para isso, 113 estudantes universitárias foram selecionadas e divididas em dois grupos para receberem:</w:t>
                            </w:r>
                          </w:p>
                          <w:p w14:paraId="180B0B1A"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53" o:spid="_x0000_s1051" type="#_x0000_t202" style="position:absolute;left:0;text-align:left;margin-left:.4pt;margin-top:7.6pt;width:450.75pt;height:40.8pt;z-index:2517022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" fillcolor="white [3212]" strokecolor="#0070c0">
                <v:textbox>
                  <w:txbxContent>
                    <w:p w14:paraId="71F9D270" w14:textId="729DC796" w:rsidR="00FA41FC" w:rsidRDefault="00FA41FC">
                      <w:pPr>
                        <w:jc w:val="center"/>
                        <w:rPr>
                          <w:rFonts w:ascii="Swis721 Th BT" w:hAnsi="Swis721 Th BT"/>
                          <w:sz w:val="23"/>
                          <w:szCs w:val="23"/>
                        </w:rPr>
                      </w:pPr>
                      <w:r>
                        <w:rPr>
                          <w:rFonts w:ascii="Swis721 Th BT" w:hAnsi="Swis721 Th BT"/>
                          <w:sz w:val="23"/>
                          <w:szCs w:val="23"/>
                        </w:rPr>
                        <w:t>Para isso, 113 estudantes universitárias foram selecionadas e divididas em dois grupos para receberem:</w:t>
                      </w:r>
                    </w:p>
                    <w:p w14:paraId="180B0B1A"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7AB59406" w14:textId="77777777" w:rsidR="00CD65C2" w:rsidRDefault="00CD65C2">
      <w:pPr>
        <w:pStyle w:val="Corpo"/>
        <w:rPr>
          <w:rFonts w:hint="eastAsia"/>
          <w:color w:val="404040" w:themeColor="text1" w:themeTint="BF"/>
        </w:rPr>
      </w:pPr>
    </w:p>
    <w:p w14:paraId="22FC9122" w14:textId="77777777" w:rsidR="00CD65C2" w:rsidRDefault="00CD65C2">
      <w:pPr>
        <w:pStyle w:val="Corpo"/>
        <w:rPr>
          <w:rFonts w:hint="eastAsia"/>
          <w:color w:val="404040" w:themeColor="text1" w:themeTint="BF"/>
        </w:rPr>
      </w:pPr>
    </w:p>
    <w:p w14:paraId="4E588F01"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700224"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54" name="Triângulo isósceles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54" o:spid="_x0000_s1026" o:spt="5" type="#_x0000_t5" style="position:absolute;left:0pt;flip:y;margin-left:65.25pt;margin-top:0.85pt;height:10.9pt;width:17.85pt;z-index:251700224;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n+uDbdYA&#10;AAAIAQAADwAAAAAAAAABACAAAAAiAAAAZHJzL2Rvd25yZXYueG1sUEsBAhQAFAAAAAgAh07iQJR/&#10;0fpaAgAApQQAAA4AAAAAAAAAAQAgAAAAJQEAAGRycy9lMm9Eb2MueG1sUEsFBgAAAAAGAAYAWQEA&#10;APEFA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699200" behindDoc="0" locked="0" layoutInCell="1" allowOverlap="1">
                <wp:simplePos x="0" y="0"/>
                <wp:positionH relativeFrom="column">
                  <wp:posOffset>4664710</wp:posOffset>
                </wp:positionH>
                <wp:positionV relativeFrom="paragraph">
                  <wp:posOffset>10795</wp:posOffset>
                </wp:positionV>
                <wp:extent cx="226695" cy="138430"/>
                <wp:effectExtent l="0" t="0" r="1905" b="0"/>
                <wp:wrapNone/>
                <wp:docPr id="55" name="Triângulo isósceles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55" o:spid="_x0000_s1026" o:spt="5" type="#_x0000_t5" style="position:absolute;left:0pt;flip:y;margin-left:367.3pt;margin-top:0.85pt;height:10.9pt;width:17.85pt;z-index:251699200;mso-width-relative:page;mso-height-relative:page;" fillcolor="#D9D9D9 [3212]" filled="t" stroked="f" coordsize="21600,21600" o:gfxdata="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qyKZW1gAA&#10;AAgBAAAPAAAAAAAAAAEAIAAAACIAAABkcnMvZG93bnJldi54bWxQSwECFAAUAAAACACHTuJAw8p4&#10;e1kCAAClBAAADgAAAAAAAAABACAAAAAlAQAAZHJzL2Uyb0RvYy54bWxQSwUGAAAAAAYABgBZAQAA&#10;8AUAAAAA&#10;" adj="10800">
                <v:fill on="t" focussize="0,0"/>
                <v:stroke on="f"/>
                <v:imagedata o:title=""/>
                <o:lock v:ext="edit" aspectratio="f"/>
              </v:shape>
            </w:pict>
          </mc:Fallback>
        </mc:AlternateContent>
      </w:r>
    </w:p>
    <w:p w14:paraId="36730868"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698176" behindDoc="0" locked="0" layoutInCell="1" allowOverlap="1">
                <wp:simplePos x="0" y="0"/>
                <wp:positionH relativeFrom="column">
                  <wp:posOffset>-5715</wp:posOffset>
                </wp:positionH>
                <wp:positionV relativeFrom="paragraph">
                  <wp:posOffset>88900</wp:posOffset>
                </wp:positionV>
                <wp:extent cx="1913890" cy="781685"/>
                <wp:effectExtent l="0" t="0" r="10160" b="18415"/>
                <wp:wrapNone/>
                <wp:docPr id="56" name="Caixa de texto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3DA54500"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Boro 10 mg/dia</w:t>
                            </w:r>
                          </w:p>
                          <w:p w14:paraId="0854DD95"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Início 2 dias antes da menstruação até seu 3º dia</w:t>
                            </w:r>
                          </w:p>
                          <w:p w14:paraId="3AC542AB"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56" o:spid="_x0000_s1052" type="#_x0000_t202" style="position:absolute;left:0;text-align:left;margin-left:-.45pt;margin-top:7pt;width:150.7pt;height:61.5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" fillcolor="#0070c0" strokecolor="#0070c0">
                <v:textbox>
                  <w:txbxContent>
                    <w:p w14:paraId="3DA54500"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Boro 10 mg/dia</w:t>
                      </w:r>
                    </w:p>
                    <w:p w14:paraId="0854DD95"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Início 2 dias antes da menstruação até seu 3º dia</w:t>
                      </w:r>
                    </w:p>
                    <w:p w14:paraId="3AC542AB"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701248" behindDoc="0" locked="0" layoutInCell="1" allowOverlap="1">
                <wp:simplePos x="0" y="0"/>
                <wp:positionH relativeFrom="column">
                  <wp:posOffset>3839210</wp:posOffset>
                </wp:positionH>
                <wp:positionV relativeFrom="paragraph">
                  <wp:posOffset>88900</wp:posOffset>
                </wp:positionV>
                <wp:extent cx="1905000" cy="781685"/>
                <wp:effectExtent l="0" t="0" r="19050" b="18415"/>
                <wp:wrapNone/>
                <wp:docPr id="57" name="Caixa de texto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714FA0E9"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16DCFF9C" w14:textId="77777777" w:rsidR="00FA41FC" w:rsidRDefault="00FA41FC">
                            <w:pPr>
                              <w:spacing w:after="0" w:line="240" w:lineRule="auto"/>
                              <w:jc w:val="center"/>
                              <w:rPr>
                                <w:rFonts w:ascii="Swis721 Th BT" w:hAnsi="Swis721 Th BT"/>
                                <w:b/>
                                <w:color w:val="FFFFFF" w:themeColor="background1"/>
                                <w:sz w:val="23"/>
                                <w:szCs w:val="23"/>
                              </w:rPr>
                            </w:pPr>
                          </w:p>
                          <w:p w14:paraId="3746CBFB" w14:textId="77777777" w:rsidR="00FA41FC" w:rsidRDefault="00FA41FC">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57" o:spid="_x0000_s1053" type="#_x0000_t202" style="position:absolute;left:0;text-align:left;margin-left:302.3pt;margin-top:7pt;width:150pt;height:61.5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" fillcolor="#0070c0" strokecolor="#0070c0">
                <v:textbox>
                  <w:txbxContent>
                    <w:p w14:paraId="714FA0E9"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16DCFF9C" w14:textId="77777777" w:rsidR="00FA41FC" w:rsidRDefault="00FA41FC">
                      <w:pPr>
                        <w:spacing w:after="0" w:line="240" w:lineRule="auto"/>
                        <w:jc w:val="center"/>
                        <w:rPr>
                          <w:rFonts w:ascii="Swis721 Th BT" w:hAnsi="Swis721 Th BT"/>
                          <w:b/>
                          <w:color w:val="FFFFFF" w:themeColor="background1"/>
                          <w:sz w:val="23"/>
                          <w:szCs w:val="23"/>
                        </w:rPr>
                      </w:pPr>
                    </w:p>
                    <w:p w14:paraId="3746CBFB" w14:textId="77777777" w:rsidR="00FA41FC" w:rsidRDefault="00FA41FC">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14:paraId="320C1A86" w14:textId="77777777" w:rsidR="00CD65C2" w:rsidRDefault="00CD65C2">
      <w:pPr>
        <w:pStyle w:val="Corpo"/>
        <w:rPr>
          <w:rFonts w:hint="eastAsia"/>
          <w:color w:val="404040" w:themeColor="text1" w:themeTint="BF"/>
        </w:rPr>
      </w:pPr>
    </w:p>
    <w:p w14:paraId="15626551" w14:textId="77777777" w:rsidR="00CD65C2" w:rsidRDefault="00CD65C2">
      <w:pPr>
        <w:pStyle w:val="Corpo"/>
        <w:rPr>
          <w:rFonts w:hint="eastAsia"/>
          <w:color w:val="404040" w:themeColor="text1" w:themeTint="BF"/>
        </w:rPr>
      </w:pPr>
    </w:p>
    <w:p w14:paraId="7AD597B5" w14:textId="77777777" w:rsidR="00CD65C2" w:rsidRDefault="00CD65C2">
      <w:pPr>
        <w:pStyle w:val="Corpo"/>
        <w:rPr>
          <w:rFonts w:hint="eastAsia"/>
          <w:color w:val="404040" w:themeColor="text1" w:themeTint="BF"/>
        </w:rPr>
      </w:pPr>
    </w:p>
    <w:p w14:paraId="6F29FF4D" w14:textId="77777777" w:rsidR="00CD65C2" w:rsidRDefault="00CD65C2">
      <w:pPr>
        <w:pStyle w:val="Corpo"/>
        <w:spacing w:before="120"/>
        <w:rPr>
          <w:rFonts w:hint="eastAsia"/>
          <w:color w:val="404040" w:themeColor="text1" w:themeTint="BF"/>
          <w:sz w:val="20"/>
        </w:rPr>
      </w:pPr>
    </w:p>
    <w:p w14:paraId="39341340" w14:textId="77777777" w:rsidR="00CD65C2" w:rsidRDefault="00CD65C2">
      <w:pPr>
        <w:pStyle w:val="Corpo"/>
        <w:rPr>
          <w:rFonts w:hint="eastAsia"/>
          <w:b/>
          <w:color w:val="339966"/>
          <w:sz w:val="25"/>
          <w:szCs w:val="25"/>
          <w14:textFill>
            <w14:solidFill>
              <w14:srgbClr w14:val="339966">
                <w14:lumMod w14:val="75000"/>
                <w14:lumOff w14:val="25000"/>
              </w14:srgbClr>
            </w14:solidFill>
          </w14:textFill>
        </w:rPr>
      </w:pPr>
    </w:p>
    <w:p w14:paraId="1DD355D8"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4F90FFE8" w14:textId="77777777" w:rsidR="00CD65C2" w:rsidRDefault="00CD65C2">
      <w:pPr>
        <w:pStyle w:val="Corpo"/>
        <w:rPr>
          <w:rFonts w:hint="eastAsia"/>
          <w:color w:val="404040" w:themeColor="text1" w:themeTint="BF"/>
          <w:sz w:val="16"/>
          <w:szCs w:val="16"/>
        </w:rPr>
      </w:pPr>
    </w:p>
    <w:p w14:paraId="542385F7" w14:textId="2A04AFEF" w:rsidR="00CD65C2" w:rsidRDefault="00FA41FC" w:rsidP="00D1428E">
      <w:pPr>
        <w:pStyle w:val="Corpo"/>
        <w:numPr>
          <w:ilvl w:val="0"/>
          <w:numId w:val="10"/>
        </w:numPr>
        <w:spacing w:after="120"/>
        <w:ind w:left="360"/>
        <w:rPr>
          <w:rFonts w:hint="eastAsia"/>
          <w:color w:val="404040" w:themeColor="text1" w:themeTint="BF"/>
          <w:sz w:val="24"/>
        </w:rPr>
      </w:pPr>
      <w:r>
        <w:rPr>
          <w:color w:val="404040" w:themeColor="text1" w:themeTint="BF"/>
          <w:sz w:val="24"/>
        </w:rPr>
        <w:t>Antes do tratamento, os grupos não apresentavam diferenças com relação à duração e severidade da dor;</w:t>
      </w:r>
    </w:p>
    <w:p w14:paraId="71D73D67" w14:textId="77777777" w:rsidR="00CD65C2" w:rsidRDefault="00FA41FC">
      <w:pPr>
        <w:pStyle w:val="Corpo"/>
        <w:numPr>
          <w:ilvl w:val="0"/>
          <w:numId w:val="10"/>
        </w:numPr>
        <w:spacing w:after="120"/>
        <w:ind w:left="360"/>
        <w:rPr>
          <w:rFonts w:hint="eastAsia"/>
          <w:color w:val="404040" w:themeColor="text1" w:themeTint="BF"/>
          <w:sz w:val="24"/>
        </w:rPr>
      </w:pPr>
      <w:r>
        <w:rPr>
          <w:color w:val="404040" w:themeColor="text1" w:themeTint="BF"/>
          <w:sz w:val="24"/>
        </w:rPr>
        <w:t>Após o tratamento, o grupo que recebeu boro apresentou redução significativa da severidade e da duração da dor.</w:t>
      </w:r>
    </w:p>
    <w:p w14:paraId="695B8F1A" w14:textId="77777777" w:rsidR="00CD65C2" w:rsidRDefault="00CD65C2">
      <w:pPr>
        <w:pStyle w:val="Corpo"/>
        <w:spacing w:after="120"/>
        <w:ind w:left="786"/>
        <w:rPr>
          <w:rFonts w:hint="eastAsia"/>
          <w:color w:val="404040" w:themeColor="text1" w:themeTint="BF"/>
          <w:sz w:val="24"/>
        </w:rPr>
      </w:pPr>
    </w:p>
    <w:p w14:paraId="788DCDDB"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731F3C99" w14:textId="77777777" w:rsidR="00CD65C2" w:rsidRDefault="00CD65C2">
      <w:pPr>
        <w:pStyle w:val="Corpo"/>
        <w:rPr>
          <w:rFonts w:hint="eastAsia"/>
          <w:b/>
          <w:color w:val="339966"/>
          <w:sz w:val="16"/>
          <w:szCs w:val="16"/>
          <w14:textFill>
            <w14:solidFill>
              <w14:srgbClr w14:val="339966">
                <w14:lumMod w14:val="75000"/>
                <w14:lumOff w14:val="25000"/>
              </w14:srgbClr>
            </w14:solidFill>
          </w14:textFill>
        </w:rPr>
      </w:pPr>
    </w:p>
    <w:p w14:paraId="1064A51B" w14:textId="77777777" w:rsidR="00CD65C2" w:rsidRDefault="00FA41FC">
      <w:pPr>
        <w:pStyle w:val="Corpo"/>
        <w:jc w:val="center"/>
        <w:rPr>
          <w:rFonts w:hint="eastAsia"/>
          <w:b/>
          <w:i/>
          <w:color w:val="404040" w:themeColor="text1" w:themeTint="BF"/>
        </w:rPr>
      </w:pPr>
      <w:r>
        <w:rPr>
          <w:b/>
          <w:i/>
          <w:color w:val="404040" w:themeColor="text1" w:themeTint="BF"/>
        </w:rPr>
        <w:t>A administração de boro, iniciada 2 dias antes do início da menstruação, promove melhora significativa da dismenorreia, reduzindo sua severidade e a duração da dor provavelmente através de seu mecanismo anti-inflamatório.</w:t>
      </w:r>
    </w:p>
    <w:p w14:paraId="001EC977" w14:textId="77777777" w:rsidR="00CD65C2" w:rsidRDefault="00CD65C2">
      <w:pPr>
        <w:pStyle w:val="Corpo"/>
        <w:rPr>
          <w:rFonts w:hint="eastAsia"/>
          <w:color w:val="404040" w:themeColor="text1" w:themeTint="BF"/>
        </w:rPr>
      </w:pPr>
    </w:p>
    <w:p w14:paraId="382386BD" w14:textId="77777777" w:rsidR="00CD65C2" w:rsidRDefault="00FA41FC">
      <w:pPr>
        <w:pStyle w:val="Corpo"/>
        <w:jc w:val="center"/>
        <w:rPr>
          <w:rFonts w:hint="eastAsia"/>
          <w:b/>
          <w:color w:val="404040" w:themeColor="text1" w:themeTint="BF"/>
          <w:lang w:eastAsia="pt-BR"/>
        </w:rPr>
      </w:pPr>
      <w:r>
        <w:rPr>
          <w:color w:val="404040" w:themeColor="text1" w:themeTint="BF"/>
        </w:rPr>
        <w:br w:type="page"/>
      </w:r>
    </w:p>
    <w:p w14:paraId="45F4D674" w14:textId="77777777" w:rsidR="00CD65C2" w:rsidRDefault="00FA41FC">
      <w:pPr>
        <w:pStyle w:val="Ttulo1"/>
        <w:jc w:val="center"/>
        <w:rPr>
          <w:rFonts w:hint="eastAsia"/>
        </w:rPr>
      </w:pPr>
      <w:bookmarkStart w:id="22" w:name="_Toc165537174"/>
      <w:r>
        <w:t>Formulário</w:t>
      </w:r>
      <w:bookmarkEnd w:id="22"/>
    </w:p>
    <w:p w14:paraId="5CD4078A" w14:textId="77777777" w:rsidR="00CD65C2" w:rsidRDefault="00CD65C2">
      <w:pPr>
        <w:pStyle w:val="Corpo"/>
        <w:rPr>
          <w:rFonts w:hint="eastAsia"/>
          <w:b/>
          <w:i/>
          <w:color w:val="404040" w:themeColor="text1" w:themeTint="BF"/>
        </w:rPr>
      </w:pPr>
    </w:p>
    <w:p w14:paraId="4D322C72" w14:textId="77777777" w:rsidR="00CD65C2" w:rsidRDefault="00CD65C2">
      <w:pPr>
        <w:pStyle w:val="Corpo"/>
        <w:rPr>
          <w:rFonts w:hint="eastAsia"/>
          <w:b/>
          <w:i/>
          <w:color w:val="404040" w:themeColor="text1" w:themeTint="BF"/>
        </w:rPr>
      </w:pPr>
    </w:p>
    <w:p w14:paraId="18E00029" w14:textId="77777777" w:rsidR="00CD65C2" w:rsidRDefault="00FA41FC">
      <w:pPr>
        <w:pStyle w:val="Corpo"/>
        <w:rPr>
          <w:rFonts w:hint="eastAsia"/>
          <w:b/>
          <w:i/>
          <w:color w:val="404040" w:themeColor="text1" w:themeTint="BF"/>
          <w:sz w:val="24"/>
        </w:rPr>
      </w:pPr>
      <w:r>
        <w:rPr>
          <w:b/>
          <w:i/>
          <w:color w:val="404040" w:themeColor="text1" w:themeTint="BF"/>
          <w:sz w:val="24"/>
        </w:rPr>
        <w:t>Suplementação de Boro para Redução da Dismenorreia</w:t>
      </w:r>
    </w:p>
    <w:p w14:paraId="6472EA34"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4D160471"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278FA768" w14:textId="77777777" w:rsidR="00CD65C2" w:rsidRDefault="00FA41FC">
            <w:pPr>
              <w:pStyle w:val="Corpo"/>
              <w:jc w:val="center"/>
              <w:rPr>
                <w:rFonts w:hint="eastAsia"/>
                <w:b/>
                <w:color w:val="FFFFFF" w:themeColor="background1"/>
              </w:rPr>
            </w:pPr>
            <w:r>
              <w:rPr>
                <w:b/>
                <w:color w:val="FFFFFF" w:themeColor="background1"/>
                <w:sz w:val="22"/>
              </w:rPr>
              <w:t>Cápsulas de Boro</w:t>
            </w:r>
          </w:p>
        </w:tc>
      </w:tr>
      <w:tr w:rsidR="00CD65C2" w14:paraId="240D6714"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0B53DB6" w14:textId="77777777" w:rsidR="00CD65C2" w:rsidRDefault="00FA41FC">
            <w:pPr>
              <w:pStyle w:val="Corpo"/>
              <w:rPr>
                <w:rFonts w:hint="eastAsia"/>
                <w:color w:val="404040" w:themeColor="text1" w:themeTint="BF"/>
              </w:rPr>
            </w:pPr>
            <w:r>
              <w:rPr>
                <w:color w:val="404040" w:themeColor="text1" w:themeTint="BF"/>
              </w:rPr>
              <w:t>Boro..................................................10 mg</w:t>
            </w:r>
          </w:p>
        </w:tc>
      </w:tr>
      <w:tr w:rsidR="00CD65C2" w14:paraId="557CFE48"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1383CB0" w14:textId="10DE21F1" w:rsidR="00CD65C2" w:rsidRDefault="00FA41FC">
            <w:pPr>
              <w:pStyle w:val="Corpo"/>
              <w:rPr>
                <w:rFonts w:hint="eastAsia"/>
                <w:color w:val="404040" w:themeColor="text1" w:themeTint="BF"/>
              </w:rPr>
            </w:pPr>
            <w:r>
              <w:rPr>
                <w:color w:val="404040" w:themeColor="text1" w:themeTint="BF"/>
              </w:rPr>
              <w:t>Excipiente q.s.p. ........................1 Cápsula</w:t>
            </w:r>
          </w:p>
        </w:tc>
      </w:tr>
    </w:tbl>
    <w:p w14:paraId="373401E6" w14:textId="77777777" w:rsidR="00CD65C2" w:rsidRDefault="00FA41FC">
      <w:pPr>
        <w:pStyle w:val="SemEspaamento"/>
        <w:ind w:right="4960"/>
        <w:jc w:val="center"/>
      </w:pPr>
      <w:r>
        <w:rPr>
          <w:rFonts w:ascii="Swis721 Th BT" w:eastAsia="MS Mincho" w:hAnsi="Swis721 Th BT"/>
          <w:color w:val="404040" w:themeColor="text1" w:themeTint="BF"/>
        </w:rPr>
        <w:t>Administrar 1 cápsula ao dia ou conforme orientação médica.</w:t>
      </w:r>
    </w:p>
    <w:p w14:paraId="6139A40D" w14:textId="77777777" w:rsidR="00CD65C2" w:rsidRDefault="00CD65C2">
      <w:pPr>
        <w:pStyle w:val="SemEspaamento"/>
      </w:pPr>
    </w:p>
    <w:p w14:paraId="7B577C35" w14:textId="77777777" w:rsidR="00CD65C2" w:rsidRDefault="00CD65C2">
      <w:pPr>
        <w:pStyle w:val="SemEspaamento"/>
      </w:pPr>
    </w:p>
    <w:p w14:paraId="6644F643" w14:textId="77777777" w:rsidR="00CD65C2" w:rsidRDefault="00CD65C2">
      <w:pPr>
        <w:pStyle w:val="SemEspaamento"/>
      </w:pPr>
    </w:p>
    <w:p w14:paraId="7EA84FAA" w14:textId="77777777" w:rsidR="00CD65C2" w:rsidRDefault="00CD65C2">
      <w:pPr>
        <w:pStyle w:val="SemEspaamento"/>
      </w:pPr>
    </w:p>
    <w:p w14:paraId="1A05191B" w14:textId="77777777" w:rsidR="00CD65C2" w:rsidRDefault="00CD65C2">
      <w:pPr>
        <w:pStyle w:val="SemEspaamento"/>
      </w:pPr>
    </w:p>
    <w:p w14:paraId="50A0ED76" w14:textId="77777777" w:rsidR="00CD65C2" w:rsidRDefault="00CD65C2">
      <w:pPr>
        <w:pStyle w:val="SemEspaamento"/>
      </w:pPr>
    </w:p>
    <w:p w14:paraId="48C29ABD" w14:textId="77777777" w:rsidR="00CD65C2" w:rsidRDefault="00CD65C2">
      <w:pPr>
        <w:pStyle w:val="SemEspaamento"/>
      </w:pPr>
    </w:p>
    <w:p w14:paraId="6CB71A73" w14:textId="77777777" w:rsidR="00CD65C2" w:rsidRDefault="00CD65C2">
      <w:pPr>
        <w:pStyle w:val="SemEspaamento"/>
      </w:pPr>
    </w:p>
    <w:p w14:paraId="477EAD28" w14:textId="77777777" w:rsidR="00CD65C2" w:rsidRDefault="00CD65C2">
      <w:pPr>
        <w:pStyle w:val="SemEspaamento"/>
      </w:pPr>
    </w:p>
    <w:p w14:paraId="61C5A947" w14:textId="77777777" w:rsidR="00CD65C2" w:rsidRDefault="00CD65C2">
      <w:pPr>
        <w:pStyle w:val="SemEspaamento"/>
      </w:pPr>
    </w:p>
    <w:p w14:paraId="76FBE926" w14:textId="77777777" w:rsidR="00CD65C2" w:rsidRDefault="00CD65C2">
      <w:pPr>
        <w:pStyle w:val="SemEspaamento"/>
      </w:pPr>
    </w:p>
    <w:p w14:paraId="392C4746" w14:textId="77777777" w:rsidR="00CD65C2" w:rsidRDefault="00CD65C2">
      <w:pPr>
        <w:pStyle w:val="SemEspaamento"/>
      </w:pPr>
    </w:p>
    <w:p w14:paraId="72B714A1" w14:textId="77777777" w:rsidR="00CD65C2" w:rsidRDefault="00CD65C2">
      <w:pPr>
        <w:pStyle w:val="SemEspaamento"/>
      </w:pPr>
    </w:p>
    <w:p w14:paraId="749F5A46" w14:textId="77777777" w:rsidR="00CD65C2" w:rsidRDefault="00CD65C2">
      <w:pPr>
        <w:pStyle w:val="SemEspaamento"/>
      </w:pPr>
    </w:p>
    <w:p w14:paraId="20571DF4" w14:textId="77777777" w:rsidR="00CD65C2" w:rsidRDefault="00CD65C2">
      <w:pPr>
        <w:pStyle w:val="SemEspaamento"/>
      </w:pPr>
    </w:p>
    <w:p w14:paraId="4924CA1E" w14:textId="77777777" w:rsidR="00CD65C2" w:rsidRDefault="00CD65C2">
      <w:pPr>
        <w:pStyle w:val="SemEspaamento"/>
      </w:pPr>
    </w:p>
    <w:p w14:paraId="236ACEBF" w14:textId="77777777" w:rsidR="00CD65C2" w:rsidRDefault="00CD65C2">
      <w:pPr>
        <w:pStyle w:val="SemEspaamento"/>
      </w:pPr>
    </w:p>
    <w:p w14:paraId="538A33CD" w14:textId="77777777" w:rsidR="00CD65C2" w:rsidRDefault="00CD65C2">
      <w:pPr>
        <w:pStyle w:val="SemEspaamento"/>
      </w:pPr>
    </w:p>
    <w:p w14:paraId="77F22513" w14:textId="77777777" w:rsidR="00CD65C2" w:rsidRDefault="00CD65C2">
      <w:pPr>
        <w:pStyle w:val="SemEspaamento"/>
      </w:pPr>
    </w:p>
    <w:p w14:paraId="1F852F6F" w14:textId="77777777" w:rsidR="00CD65C2" w:rsidRDefault="00CD65C2">
      <w:pPr>
        <w:pStyle w:val="SemEspaamento"/>
      </w:pPr>
    </w:p>
    <w:p w14:paraId="53796D98" w14:textId="77777777" w:rsidR="00CD65C2" w:rsidRDefault="00CD65C2">
      <w:pPr>
        <w:pStyle w:val="SemEspaamento"/>
      </w:pPr>
    </w:p>
    <w:p w14:paraId="746E49DD" w14:textId="77777777" w:rsidR="00CD65C2" w:rsidRDefault="00CD65C2">
      <w:pPr>
        <w:pStyle w:val="SemEspaamento"/>
      </w:pPr>
    </w:p>
    <w:p w14:paraId="4614A7D5" w14:textId="77777777" w:rsidR="00CD65C2" w:rsidRDefault="00CD65C2">
      <w:pPr>
        <w:pStyle w:val="SemEspaamento"/>
      </w:pPr>
    </w:p>
    <w:p w14:paraId="21777CA9" w14:textId="77777777" w:rsidR="00CD65C2" w:rsidRDefault="00CD65C2">
      <w:pPr>
        <w:pStyle w:val="SemEspaamento"/>
      </w:pPr>
    </w:p>
    <w:p w14:paraId="7FF6108B" w14:textId="77777777" w:rsidR="00CD65C2" w:rsidRDefault="00CD65C2">
      <w:pPr>
        <w:pStyle w:val="SemEspaamento"/>
      </w:pPr>
    </w:p>
    <w:p w14:paraId="1DE5AAB2" w14:textId="77777777" w:rsidR="00CD65C2" w:rsidRDefault="00CD65C2">
      <w:pPr>
        <w:pStyle w:val="SemEspaamento"/>
      </w:pPr>
    </w:p>
    <w:p w14:paraId="0ED22E6E" w14:textId="77777777" w:rsidR="00CD65C2" w:rsidRDefault="00CD65C2">
      <w:pPr>
        <w:pStyle w:val="SemEspaamento"/>
      </w:pPr>
    </w:p>
    <w:p w14:paraId="304BFB8B" w14:textId="77777777" w:rsidR="00CD65C2" w:rsidRDefault="00CD65C2">
      <w:pPr>
        <w:pStyle w:val="SemEspaamento"/>
      </w:pPr>
    </w:p>
    <w:p w14:paraId="6DFDC535" w14:textId="77777777" w:rsidR="00CD65C2" w:rsidRDefault="00CD65C2">
      <w:pPr>
        <w:pStyle w:val="SemEspaamento"/>
      </w:pPr>
    </w:p>
    <w:p w14:paraId="3B83678F" w14:textId="77777777" w:rsidR="00CD65C2" w:rsidRDefault="00CD65C2">
      <w:pPr>
        <w:pStyle w:val="SemEspaamento"/>
      </w:pPr>
    </w:p>
    <w:p w14:paraId="3B28A29B" w14:textId="77777777" w:rsidR="00CD65C2" w:rsidRDefault="00CD65C2">
      <w:pPr>
        <w:pStyle w:val="SemEspaamento"/>
      </w:pPr>
    </w:p>
    <w:p w14:paraId="20F2DCFE" w14:textId="77777777" w:rsidR="00CD65C2" w:rsidRDefault="00CD65C2">
      <w:pPr>
        <w:pStyle w:val="SemEspaamento"/>
      </w:pPr>
    </w:p>
    <w:p w14:paraId="2014B718" w14:textId="77777777" w:rsidR="00CD65C2" w:rsidRDefault="00FA41FC">
      <w:pPr>
        <w:pStyle w:val="Ttulo1"/>
        <w:jc w:val="center"/>
        <w:rPr>
          <w:rFonts w:hint="eastAsia"/>
        </w:rPr>
      </w:pPr>
      <w:bookmarkStart w:id="23" w:name="_Toc165537175"/>
      <w:r>
        <w:t>Outras Formulações para Dismenorreia</w:t>
      </w:r>
      <w:bookmarkEnd w:id="23"/>
    </w:p>
    <w:p w14:paraId="55C0DDBF" w14:textId="77777777" w:rsidR="00CD65C2" w:rsidRDefault="00CD65C2">
      <w:pPr>
        <w:pStyle w:val="SemEspaamento"/>
      </w:pPr>
    </w:p>
    <w:p w14:paraId="6307D3E8" w14:textId="77777777" w:rsidR="00CD65C2" w:rsidRDefault="00CD65C2">
      <w:pPr>
        <w:pStyle w:val="SemEspaamento"/>
      </w:pPr>
    </w:p>
    <w:p w14:paraId="3E595E39" w14:textId="77777777" w:rsidR="00CD65C2" w:rsidRDefault="00CD65C2">
      <w:pPr>
        <w:pStyle w:val="SemEspaamento"/>
      </w:pPr>
    </w:p>
    <w:tbl>
      <w:tblPr>
        <w:tblW w:w="10620" w:type="dxa"/>
        <w:tblInd w:w="-650" w:type="dxa"/>
        <w:tblBorders>
          <w:top w:val="single" w:sz="12" w:space="0" w:color="333399"/>
          <w:left w:val="single" w:sz="12" w:space="0" w:color="333399"/>
          <w:bottom w:val="single" w:sz="12" w:space="0" w:color="333399"/>
          <w:right w:val="single" w:sz="12" w:space="0" w:color="333399"/>
          <w:insideH w:val="single" w:sz="12" w:space="0" w:color="333399"/>
          <w:insideV w:val="single" w:sz="12" w:space="0" w:color="333399"/>
        </w:tblBorders>
        <w:tblCellMar>
          <w:left w:w="70" w:type="dxa"/>
          <w:right w:w="70" w:type="dxa"/>
        </w:tblCellMar>
        <w:tblLook w:val="04A0" w:firstRow="1" w:lastRow="0" w:firstColumn="1" w:lastColumn="0" w:noHBand="0" w:noVBand="1"/>
      </w:tblPr>
      <w:tblGrid>
        <w:gridCol w:w="1936"/>
        <w:gridCol w:w="2564"/>
        <w:gridCol w:w="1800"/>
        <w:gridCol w:w="4320"/>
      </w:tblGrid>
      <w:tr w:rsidR="00CD65C2" w14:paraId="20D91B45" w14:textId="77777777">
        <w:trPr>
          <w:cantSplit/>
          <w:trHeight w:val="60"/>
        </w:trPr>
        <w:tc>
          <w:tcPr>
            <w:tcW w:w="1936" w:type="dxa"/>
            <w:tcBorders>
              <w:top w:val="single" w:sz="4" w:space="0" w:color="auto"/>
              <w:left w:val="single" w:sz="4" w:space="0" w:color="auto"/>
              <w:bottom w:val="single" w:sz="4" w:space="0" w:color="auto"/>
              <w:right w:val="single" w:sz="4" w:space="0" w:color="auto"/>
            </w:tcBorders>
            <w:shd w:val="clear" w:color="auto" w:fill="548DD4"/>
            <w:vAlign w:val="center"/>
          </w:tcPr>
          <w:p w14:paraId="05807C9D" w14:textId="77777777" w:rsidR="00CD65C2" w:rsidRDefault="00CD65C2">
            <w:pPr>
              <w:keepNext/>
              <w:jc w:val="center"/>
              <w:rPr>
                <w:rFonts w:ascii="Swis721 Th BT" w:hAnsi="Swis721 Th BT" w:cs="Arial"/>
                <w:b/>
                <w:bCs/>
                <w:color w:val="FFFFFF"/>
                <w:sz w:val="23"/>
                <w:szCs w:val="23"/>
              </w:rPr>
            </w:pPr>
          </w:p>
          <w:p w14:paraId="2D394696" w14:textId="77777777" w:rsidR="00CD65C2" w:rsidRDefault="00FA41FC">
            <w:pPr>
              <w:keepNext/>
              <w:jc w:val="center"/>
              <w:rPr>
                <w:rFonts w:ascii="Swis721 Th BT" w:hAnsi="Swis721 Th BT" w:cs="Arial"/>
                <w:b/>
                <w:bCs/>
                <w:color w:val="FFFFFF"/>
                <w:sz w:val="23"/>
                <w:szCs w:val="23"/>
              </w:rPr>
            </w:pPr>
            <w:r>
              <w:rPr>
                <w:rFonts w:ascii="Swis721 Th BT" w:hAnsi="Swis721 Th BT" w:cs="Arial"/>
                <w:b/>
                <w:bCs/>
                <w:color w:val="FFFFFF"/>
                <w:sz w:val="23"/>
                <w:szCs w:val="23"/>
              </w:rPr>
              <w:t>Fármaco</w:t>
            </w:r>
          </w:p>
        </w:tc>
        <w:tc>
          <w:tcPr>
            <w:tcW w:w="2564" w:type="dxa"/>
            <w:tcBorders>
              <w:top w:val="single" w:sz="4" w:space="0" w:color="auto"/>
              <w:left w:val="single" w:sz="4" w:space="0" w:color="auto"/>
              <w:bottom w:val="single" w:sz="4" w:space="0" w:color="auto"/>
              <w:right w:val="single" w:sz="4" w:space="0" w:color="auto"/>
            </w:tcBorders>
            <w:shd w:val="clear" w:color="auto" w:fill="548DD4"/>
            <w:vAlign w:val="center"/>
          </w:tcPr>
          <w:p w14:paraId="0955C123" w14:textId="77777777" w:rsidR="00CD65C2" w:rsidRDefault="00FA41FC">
            <w:pPr>
              <w:keepNext/>
              <w:jc w:val="center"/>
              <w:rPr>
                <w:rFonts w:ascii="Swis721 Th BT" w:hAnsi="Swis721 Th BT" w:cs="Arial"/>
                <w:b/>
                <w:bCs/>
                <w:color w:val="FFFFFF"/>
                <w:sz w:val="23"/>
                <w:szCs w:val="23"/>
              </w:rPr>
            </w:pPr>
            <w:r>
              <w:rPr>
                <w:rFonts w:ascii="Swis721 Th BT" w:hAnsi="Swis721 Th BT" w:cs="Arial"/>
                <w:b/>
                <w:bCs/>
                <w:color w:val="FFFFFF"/>
                <w:sz w:val="23"/>
                <w:szCs w:val="23"/>
              </w:rPr>
              <w:t>Uso sistêmico</w:t>
            </w:r>
          </w:p>
          <w:p w14:paraId="39DF0A9F" w14:textId="77777777" w:rsidR="00CD65C2" w:rsidRDefault="00FA41FC">
            <w:pPr>
              <w:keepNext/>
              <w:jc w:val="center"/>
              <w:rPr>
                <w:rFonts w:ascii="Swis721 Th BT" w:hAnsi="Swis721 Th BT" w:cs="Arial"/>
                <w:b/>
                <w:bCs/>
                <w:color w:val="FFFFFF"/>
                <w:sz w:val="23"/>
                <w:szCs w:val="23"/>
              </w:rPr>
            </w:pPr>
            <w:r>
              <w:rPr>
                <w:rFonts w:ascii="Swis721 Th BT" w:hAnsi="Swis721 Th BT" w:cs="Arial"/>
                <w:b/>
                <w:bCs/>
                <w:color w:val="FFFFFF"/>
                <w:sz w:val="23"/>
                <w:szCs w:val="23"/>
              </w:rPr>
              <w:t>Dosagem usual</w:t>
            </w:r>
          </w:p>
        </w:tc>
        <w:tc>
          <w:tcPr>
            <w:tcW w:w="1800" w:type="dxa"/>
            <w:tcBorders>
              <w:top w:val="single" w:sz="4" w:space="0" w:color="auto"/>
              <w:left w:val="single" w:sz="4" w:space="0" w:color="auto"/>
              <w:bottom w:val="single" w:sz="4" w:space="0" w:color="auto"/>
              <w:right w:val="single" w:sz="4" w:space="0" w:color="auto"/>
            </w:tcBorders>
            <w:shd w:val="clear" w:color="auto" w:fill="548DD4"/>
            <w:vAlign w:val="center"/>
          </w:tcPr>
          <w:p w14:paraId="3CA7445D" w14:textId="77777777" w:rsidR="00CD65C2" w:rsidRDefault="00FA41FC">
            <w:pPr>
              <w:keepNext/>
              <w:jc w:val="center"/>
              <w:rPr>
                <w:rFonts w:ascii="Swis721 Th BT" w:hAnsi="Swis721 Th BT" w:cs="Arial"/>
                <w:b/>
                <w:bCs/>
                <w:color w:val="FFFFFF"/>
                <w:sz w:val="23"/>
                <w:szCs w:val="23"/>
              </w:rPr>
            </w:pPr>
            <w:r>
              <w:rPr>
                <w:rFonts w:ascii="Swis721 Th BT" w:hAnsi="Swis721 Th BT" w:cs="Arial"/>
                <w:b/>
                <w:bCs/>
                <w:color w:val="FFFFFF"/>
                <w:sz w:val="23"/>
                <w:szCs w:val="23"/>
              </w:rPr>
              <w:t>Uso tópico</w:t>
            </w:r>
          </w:p>
          <w:p w14:paraId="77F66C03" w14:textId="77777777" w:rsidR="00CD65C2" w:rsidRDefault="00FA41FC">
            <w:pPr>
              <w:keepNext/>
              <w:jc w:val="center"/>
              <w:rPr>
                <w:rFonts w:ascii="Swis721 Th BT" w:hAnsi="Swis721 Th BT" w:cs="Arial"/>
                <w:b/>
                <w:bCs/>
                <w:color w:val="FFFFFF"/>
                <w:sz w:val="23"/>
                <w:szCs w:val="23"/>
              </w:rPr>
            </w:pPr>
            <w:r>
              <w:rPr>
                <w:rFonts w:ascii="Swis721 Th BT" w:hAnsi="Swis721 Th BT" w:cs="Arial"/>
                <w:b/>
                <w:bCs/>
                <w:color w:val="FFFFFF"/>
                <w:sz w:val="23"/>
                <w:szCs w:val="23"/>
              </w:rPr>
              <w:t>Concentração usual</w:t>
            </w:r>
          </w:p>
        </w:tc>
        <w:tc>
          <w:tcPr>
            <w:tcW w:w="4320" w:type="dxa"/>
            <w:tcBorders>
              <w:top w:val="single" w:sz="4" w:space="0" w:color="auto"/>
              <w:left w:val="single" w:sz="4" w:space="0" w:color="auto"/>
              <w:bottom w:val="single" w:sz="4" w:space="0" w:color="auto"/>
              <w:right w:val="single" w:sz="4" w:space="0" w:color="auto"/>
            </w:tcBorders>
            <w:shd w:val="clear" w:color="auto" w:fill="548DD4"/>
            <w:vAlign w:val="center"/>
          </w:tcPr>
          <w:p w14:paraId="439AB330" w14:textId="77777777" w:rsidR="00CD65C2" w:rsidRDefault="00FA41FC">
            <w:pPr>
              <w:keepNext/>
              <w:jc w:val="center"/>
              <w:rPr>
                <w:rFonts w:ascii="Swis721 Th BT" w:hAnsi="Swis721 Th BT" w:cs="Arial"/>
                <w:b/>
                <w:bCs/>
                <w:color w:val="FFFFFF"/>
                <w:sz w:val="23"/>
                <w:szCs w:val="23"/>
              </w:rPr>
            </w:pPr>
            <w:r>
              <w:rPr>
                <w:rFonts w:ascii="Swis721 Th BT" w:hAnsi="Swis721 Th BT" w:cs="Arial"/>
                <w:b/>
                <w:bCs/>
                <w:color w:val="FFFFFF"/>
                <w:sz w:val="23"/>
                <w:szCs w:val="23"/>
              </w:rPr>
              <w:t>Propriedades</w:t>
            </w:r>
          </w:p>
        </w:tc>
      </w:tr>
      <w:tr w:rsidR="00CD65C2" w14:paraId="3BF65116" w14:textId="77777777">
        <w:trPr>
          <w:cantSplit/>
          <w:trHeight w:val="60"/>
        </w:trPr>
        <w:tc>
          <w:tcPr>
            <w:tcW w:w="1936" w:type="dxa"/>
            <w:tcBorders>
              <w:top w:val="single" w:sz="4" w:space="0" w:color="auto"/>
              <w:left w:val="single" w:sz="4" w:space="0" w:color="auto"/>
              <w:bottom w:val="single" w:sz="4" w:space="0" w:color="auto"/>
              <w:right w:val="single" w:sz="4" w:space="0" w:color="auto"/>
            </w:tcBorders>
            <w:vAlign w:val="center"/>
          </w:tcPr>
          <w:p w14:paraId="43F7EFF2" w14:textId="77777777" w:rsidR="00CD65C2" w:rsidRDefault="00FA41FC">
            <w:pPr>
              <w:jc w:val="center"/>
              <w:rPr>
                <w:rFonts w:ascii="Swis721 Th BT" w:hAnsi="Swis721 Th BT" w:cs="Arial"/>
                <w:b/>
                <w:bCs/>
                <w:color w:val="404040"/>
                <w:sz w:val="23"/>
                <w:szCs w:val="23"/>
              </w:rPr>
            </w:pPr>
            <w:r>
              <w:rPr>
                <w:rFonts w:ascii="Swis721 Th BT" w:hAnsi="Swis721 Th BT" w:cs="Arial"/>
                <w:b/>
                <w:color w:val="404040"/>
                <w:sz w:val="23"/>
                <w:szCs w:val="23"/>
              </w:rPr>
              <w:t>Ácido mefenâmico</w:t>
            </w:r>
          </w:p>
        </w:tc>
        <w:tc>
          <w:tcPr>
            <w:tcW w:w="2564" w:type="dxa"/>
            <w:tcBorders>
              <w:top w:val="single" w:sz="4" w:space="0" w:color="auto"/>
              <w:left w:val="single" w:sz="4" w:space="0" w:color="auto"/>
              <w:bottom w:val="single" w:sz="4" w:space="0" w:color="auto"/>
              <w:right w:val="single" w:sz="4" w:space="0" w:color="auto"/>
            </w:tcBorders>
            <w:vAlign w:val="center"/>
          </w:tcPr>
          <w:p w14:paraId="19BCF481" w14:textId="34C8E448" w:rsidR="00CD65C2" w:rsidRDefault="00FA41FC">
            <w:pPr>
              <w:jc w:val="both"/>
              <w:rPr>
                <w:rFonts w:ascii="Swis721 Th BT" w:hAnsi="Swis721 Th BT" w:cs="Arial"/>
                <w:color w:val="404040"/>
                <w:sz w:val="23"/>
                <w:szCs w:val="23"/>
              </w:rPr>
            </w:pPr>
            <w:r>
              <w:rPr>
                <w:rFonts w:ascii="Swis721 Th BT" w:hAnsi="Swis721 Th BT" w:cs="Arial"/>
                <w:color w:val="404040"/>
                <w:sz w:val="23"/>
                <w:szCs w:val="23"/>
              </w:rPr>
              <w:t>Inicialmente 500 mg, seguidos por 250 mg a cada 6 horas, de preferência com alimento.</w:t>
            </w:r>
          </w:p>
        </w:tc>
        <w:tc>
          <w:tcPr>
            <w:tcW w:w="1800" w:type="dxa"/>
            <w:tcBorders>
              <w:top w:val="single" w:sz="4" w:space="0" w:color="auto"/>
              <w:left w:val="single" w:sz="4" w:space="0" w:color="auto"/>
              <w:bottom w:val="single" w:sz="4" w:space="0" w:color="auto"/>
              <w:right w:val="single" w:sz="4" w:space="0" w:color="auto"/>
            </w:tcBorders>
            <w:vAlign w:val="center"/>
          </w:tcPr>
          <w:p w14:paraId="00FCA753" w14:textId="77777777" w:rsidR="00CD65C2" w:rsidRDefault="00FA41FC">
            <w:pPr>
              <w:jc w:val="center"/>
              <w:rPr>
                <w:rFonts w:ascii="Swis721 Th BT" w:hAnsi="Swis721 Th BT" w:cs="Arial"/>
                <w:color w:val="404040"/>
                <w:sz w:val="23"/>
                <w:szCs w:val="23"/>
              </w:rPr>
            </w:pPr>
            <w:r>
              <w:rPr>
                <w:rFonts w:ascii="Swis721 Th BT" w:hAnsi="Swis721 Th BT" w:cs="Arial"/>
                <w:color w:val="404040"/>
                <w:sz w:val="23"/>
                <w:szCs w:val="23"/>
              </w:rPr>
              <w:t>______</w:t>
            </w:r>
          </w:p>
        </w:tc>
        <w:tc>
          <w:tcPr>
            <w:tcW w:w="4320" w:type="dxa"/>
            <w:tcBorders>
              <w:top w:val="single" w:sz="4" w:space="0" w:color="auto"/>
              <w:left w:val="single" w:sz="4" w:space="0" w:color="auto"/>
              <w:bottom w:val="single" w:sz="4" w:space="0" w:color="auto"/>
              <w:right w:val="single" w:sz="4" w:space="0" w:color="auto"/>
            </w:tcBorders>
            <w:vAlign w:val="center"/>
          </w:tcPr>
          <w:p w14:paraId="77ABBFF0" w14:textId="77777777" w:rsidR="00CD65C2" w:rsidRDefault="00FA41FC">
            <w:pPr>
              <w:numPr>
                <w:ilvl w:val="0"/>
                <w:numId w:val="11"/>
              </w:numPr>
              <w:tabs>
                <w:tab w:val="clear" w:pos="717"/>
                <w:tab w:val="left" w:pos="110"/>
              </w:tabs>
              <w:spacing w:after="0" w:line="240" w:lineRule="auto"/>
              <w:ind w:left="110" w:hanging="110"/>
              <w:jc w:val="both"/>
              <w:rPr>
                <w:rFonts w:ascii="Swis721 Th BT" w:hAnsi="Swis721 Th BT" w:cs="Arial"/>
                <w:color w:val="404040"/>
                <w:sz w:val="23"/>
                <w:szCs w:val="23"/>
              </w:rPr>
            </w:pPr>
            <w:r>
              <w:rPr>
                <w:rFonts w:ascii="Swis721 Th BT" w:hAnsi="Swis721 Th BT" w:cs="Arial"/>
                <w:color w:val="404040"/>
                <w:sz w:val="23"/>
                <w:szCs w:val="23"/>
              </w:rPr>
              <w:t xml:space="preserve"> Analgésico, antidismenorreico, profilático e supressor da cefaleia vascular;</w:t>
            </w:r>
          </w:p>
          <w:p w14:paraId="12EF6183" w14:textId="77777777" w:rsidR="00CD65C2" w:rsidRDefault="00FA41FC">
            <w:pPr>
              <w:numPr>
                <w:ilvl w:val="0"/>
                <w:numId w:val="11"/>
              </w:numPr>
              <w:tabs>
                <w:tab w:val="clear" w:pos="717"/>
                <w:tab w:val="left" w:pos="110"/>
              </w:tabs>
              <w:spacing w:after="0" w:line="240" w:lineRule="auto"/>
              <w:ind w:left="110" w:hanging="110"/>
              <w:jc w:val="both"/>
              <w:rPr>
                <w:rFonts w:ascii="Swis721 Th BT" w:hAnsi="Swis721 Th BT" w:cs="Arial"/>
                <w:color w:val="404040"/>
                <w:sz w:val="23"/>
                <w:szCs w:val="23"/>
              </w:rPr>
            </w:pPr>
            <w:r>
              <w:rPr>
                <w:rFonts w:ascii="Swis721 Th BT" w:hAnsi="Swis721 Th BT" w:cs="Arial"/>
                <w:color w:val="404040"/>
                <w:sz w:val="23"/>
                <w:szCs w:val="23"/>
              </w:rPr>
              <w:t xml:space="preserve"> Alívio da dor, e de outros sintomas causados por dismenorreia primária e por dispositivos intrauterinos;</w:t>
            </w:r>
          </w:p>
          <w:p w14:paraId="047C9F42" w14:textId="77777777" w:rsidR="00CD65C2" w:rsidRDefault="00FA41FC">
            <w:pPr>
              <w:numPr>
                <w:ilvl w:val="0"/>
                <w:numId w:val="11"/>
              </w:numPr>
              <w:tabs>
                <w:tab w:val="clear" w:pos="717"/>
                <w:tab w:val="left" w:pos="110"/>
              </w:tabs>
              <w:spacing w:after="0" w:line="240" w:lineRule="auto"/>
              <w:ind w:left="110" w:hanging="110"/>
              <w:jc w:val="both"/>
              <w:rPr>
                <w:rFonts w:ascii="Swis721 Th BT" w:hAnsi="Swis721 Th BT" w:cs="Arial"/>
                <w:color w:val="404040"/>
                <w:sz w:val="23"/>
                <w:szCs w:val="23"/>
              </w:rPr>
            </w:pPr>
            <w:r>
              <w:rPr>
                <w:rFonts w:ascii="Swis721 Th BT" w:hAnsi="Swis721 Th BT" w:cs="Arial"/>
                <w:color w:val="404040"/>
                <w:sz w:val="23"/>
                <w:szCs w:val="23"/>
              </w:rPr>
              <w:t xml:space="preserve"> Profilaxia e tratamento da enxaqueca resultante da menstruação.</w:t>
            </w:r>
          </w:p>
        </w:tc>
      </w:tr>
      <w:tr w:rsidR="00CD65C2" w14:paraId="46C6880A" w14:textId="77777777">
        <w:trPr>
          <w:cantSplit/>
          <w:trHeight w:val="2517"/>
        </w:trPr>
        <w:tc>
          <w:tcPr>
            <w:tcW w:w="1936" w:type="dxa"/>
            <w:tcBorders>
              <w:top w:val="single" w:sz="4" w:space="0" w:color="auto"/>
              <w:left w:val="single" w:sz="4" w:space="0" w:color="auto"/>
              <w:bottom w:val="single" w:sz="4" w:space="0" w:color="auto"/>
              <w:right w:val="single" w:sz="4" w:space="0" w:color="auto"/>
            </w:tcBorders>
            <w:vAlign w:val="center"/>
          </w:tcPr>
          <w:p w14:paraId="739195FA" w14:textId="77777777" w:rsidR="00CD65C2" w:rsidRDefault="00FA41FC">
            <w:pPr>
              <w:jc w:val="center"/>
              <w:rPr>
                <w:rFonts w:ascii="Swis721 Th BT" w:hAnsi="Swis721 Th BT" w:cs="Arial"/>
                <w:b/>
                <w:color w:val="404040"/>
                <w:sz w:val="23"/>
                <w:szCs w:val="23"/>
              </w:rPr>
            </w:pPr>
            <w:r>
              <w:rPr>
                <w:rFonts w:ascii="Swis721 Th BT" w:hAnsi="Swis721 Th BT" w:cs="Arial"/>
                <w:b/>
                <w:color w:val="404040"/>
                <w:sz w:val="23"/>
                <w:szCs w:val="23"/>
              </w:rPr>
              <w:t>Cetoprofeno</w:t>
            </w:r>
          </w:p>
        </w:tc>
        <w:tc>
          <w:tcPr>
            <w:tcW w:w="2564" w:type="dxa"/>
            <w:tcBorders>
              <w:top w:val="single" w:sz="4" w:space="0" w:color="auto"/>
              <w:left w:val="single" w:sz="4" w:space="0" w:color="auto"/>
              <w:bottom w:val="single" w:sz="4" w:space="0" w:color="auto"/>
              <w:right w:val="single" w:sz="4" w:space="0" w:color="auto"/>
            </w:tcBorders>
            <w:vAlign w:val="center"/>
          </w:tcPr>
          <w:p w14:paraId="3333819F" w14:textId="518354E5" w:rsidR="00CD65C2" w:rsidRDefault="00FA41FC">
            <w:pPr>
              <w:jc w:val="both"/>
              <w:rPr>
                <w:rFonts w:ascii="Swis721 Th BT" w:hAnsi="Swis721 Th BT" w:cs="Arial"/>
                <w:color w:val="404040"/>
                <w:sz w:val="23"/>
                <w:szCs w:val="23"/>
              </w:rPr>
            </w:pPr>
            <w:r>
              <w:rPr>
                <w:rFonts w:ascii="Swis721 Th BT" w:hAnsi="Swis721 Th BT" w:cs="Arial"/>
                <w:color w:val="404040"/>
                <w:sz w:val="23"/>
                <w:szCs w:val="23"/>
              </w:rPr>
              <w:t>75 mg três vezes ao dia, ou 50 mg quatro vezes ao dia.</w:t>
            </w:r>
          </w:p>
          <w:p w14:paraId="5A007685" w14:textId="365CC5F6" w:rsidR="00CD65C2" w:rsidRDefault="00FA41FC">
            <w:pPr>
              <w:jc w:val="both"/>
              <w:rPr>
                <w:rFonts w:ascii="Swis721 Th BT" w:hAnsi="Swis721 Th BT" w:cs="Arial"/>
                <w:color w:val="404040"/>
                <w:sz w:val="23"/>
                <w:szCs w:val="23"/>
              </w:rPr>
            </w:pPr>
            <w:r>
              <w:rPr>
                <w:rFonts w:ascii="Swis721 Th BT" w:hAnsi="Swis721 Th BT" w:cs="Arial"/>
                <w:b/>
                <w:bCs/>
                <w:color w:val="404040"/>
                <w:sz w:val="23"/>
                <w:szCs w:val="23"/>
              </w:rPr>
              <w:t xml:space="preserve">Obs: </w:t>
            </w:r>
            <w:r>
              <w:rPr>
                <w:rFonts w:ascii="Swis721 Th BT" w:hAnsi="Swis721 Th BT" w:cs="Arial"/>
                <w:color w:val="404040"/>
                <w:sz w:val="23"/>
                <w:szCs w:val="23"/>
              </w:rPr>
              <w:t>em pacientes com insuficiência renal, a dose deve ser reduzida à metade.</w:t>
            </w:r>
          </w:p>
        </w:tc>
        <w:tc>
          <w:tcPr>
            <w:tcW w:w="1800" w:type="dxa"/>
            <w:tcBorders>
              <w:top w:val="single" w:sz="4" w:space="0" w:color="auto"/>
              <w:left w:val="single" w:sz="4" w:space="0" w:color="auto"/>
              <w:bottom w:val="single" w:sz="4" w:space="0" w:color="auto"/>
              <w:right w:val="single" w:sz="4" w:space="0" w:color="auto"/>
            </w:tcBorders>
            <w:vAlign w:val="center"/>
          </w:tcPr>
          <w:p w14:paraId="5ECFAA46" w14:textId="77777777" w:rsidR="00CD65C2" w:rsidRDefault="00FA41FC">
            <w:pPr>
              <w:jc w:val="center"/>
              <w:rPr>
                <w:rFonts w:ascii="Swis721 Th BT" w:hAnsi="Swis721 Th BT" w:cs="Arial"/>
                <w:color w:val="404040"/>
                <w:sz w:val="23"/>
                <w:szCs w:val="23"/>
              </w:rPr>
            </w:pPr>
            <w:r>
              <w:rPr>
                <w:rFonts w:ascii="Swis721 Th BT" w:hAnsi="Swis721 Th BT" w:cs="Arial"/>
                <w:color w:val="404040"/>
                <w:sz w:val="23"/>
                <w:szCs w:val="23"/>
              </w:rPr>
              <w:t>______</w:t>
            </w:r>
          </w:p>
        </w:tc>
        <w:tc>
          <w:tcPr>
            <w:tcW w:w="4320" w:type="dxa"/>
            <w:tcBorders>
              <w:top w:val="single" w:sz="4" w:space="0" w:color="auto"/>
              <w:left w:val="single" w:sz="4" w:space="0" w:color="auto"/>
              <w:bottom w:val="single" w:sz="4" w:space="0" w:color="auto"/>
              <w:right w:val="single" w:sz="4" w:space="0" w:color="auto"/>
            </w:tcBorders>
            <w:vAlign w:val="center"/>
          </w:tcPr>
          <w:p w14:paraId="5FC43717" w14:textId="77777777" w:rsidR="00CD65C2" w:rsidRDefault="00FA41FC">
            <w:pPr>
              <w:numPr>
                <w:ilvl w:val="0"/>
                <w:numId w:val="12"/>
              </w:numPr>
              <w:tabs>
                <w:tab w:val="clear" w:pos="357"/>
                <w:tab w:val="left" w:pos="110"/>
              </w:tabs>
              <w:spacing w:after="0" w:line="240" w:lineRule="auto"/>
              <w:ind w:left="110" w:hanging="110"/>
              <w:jc w:val="both"/>
              <w:rPr>
                <w:rFonts w:ascii="Swis721 Th BT" w:hAnsi="Swis721 Th BT" w:cs="Arial"/>
                <w:color w:val="404040"/>
                <w:sz w:val="23"/>
                <w:szCs w:val="23"/>
              </w:rPr>
            </w:pPr>
            <w:r>
              <w:rPr>
                <w:rFonts w:ascii="Swis721 Th BT" w:hAnsi="Swis721 Th BT" w:cs="Arial"/>
                <w:color w:val="404040"/>
                <w:sz w:val="23"/>
                <w:szCs w:val="23"/>
              </w:rPr>
              <w:t xml:space="preserve"> Anti-inflamatório, analgésico, antidismenorreico e supressor da cefaleia vascular;</w:t>
            </w:r>
          </w:p>
          <w:p w14:paraId="05824A45" w14:textId="77777777" w:rsidR="00CD65C2" w:rsidRDefault="00FA41FC">
            <w:pPr>
              <w:numPr>
                <w:ilvl w:val="0"/>
                <w:numId w:val="12"/>
              </w:numPr>
              <w:tabs>
                <w:tab w:val="clear" w:pos="357"/>
                <w:tab w:val="left" w:pos="110"/>
              </w:tabs>
              <w:spacing w:after="0" w:line="240" w:lineRule="auto"/>
              <w:ind w:left="110" w:hanging="110"/>
              <w:jc w:val="both"/>
              <w:rPr>
                <w:rFonts w:ascii="Swis721 Th BT" w:hAnsi="Swis721 Th BT" w:cs="Arial"/>
                <w:color w:val="404040"/>
                <w:sz w:val="23"/>
                <w:szCs w:val="23"/>
              </w:rPr>
            </w:pPr>
            <w:r>
              <w:rPr>
                <w:rFonts w:ascii="Swis721 Th BT" w:hAnsi="Swis721 Th BT" w:cs="Arial"/>
                <w:color w:val="404040"/>
                <w:sz w:val="23"/>
                <w:szCs w:val="23"/>
              </w:rPr>
              <w:t xml:space="preserve"> Indicado na artrite gotosa aguda e artrite psoriática;</w:t>
            </w:r>
          </w:p>
          <w:p w14:paraId="7267F588" w14:textId="77777777" w:rsidR="00CD65C2" w:rsidRDefault="00FA41FC">
            <w:pPr>
              <w:numPr>
                <w:ilvl w:val="0"/>
                <w:numId w:val="12"/>
              </w:numPr>
              <w:tabs>
                <w:tab w:val="clear" w:pos="357"/>
                <w:tab w:val="left" w:pos="110"/>
              </w:tabs>
              <w:spacing w:after="0" w:line="240" w:lineRule="auto"/>
              <w:ind w:left="110" w:hanging="110"/>
              <w:jc w:val="both"/>
              <w:rPr>
                <w:rFonts w:ascii="Swis721 Th BT" w:hAnsi="Swis721 Th BT" w:cs="Arial"/>
                <w:color w:val="404040"/>
                <w:sz w:val="23"/>
                <w:szCs w:val="23"/>
              </w:rPr>
            </w:pPr>
            <w:r>
              <w:rPr>
                <w:rFonts w:ascii="Swis721 Th BT" w:hAnsi="Swis721 Th BT" w:cs="Arial"/>
                <w:color w:val="404040"/>
                <w:sz w:val="23"/>
                <w:szCs w:val="23"/>
              </w:rPr>
              <w:t xml:space="preserve"> Na profilaxia e no tratamento da cefaleia vascular;</w:t>
            </w:r>
          </w:p>
          <w:p w14:paraId="194352A7" w14:textId="77777777" w:rsidR="00CD65C2" w:rsidRDefault="00FA41FC">
            <w:pPr>
              <w:numPr>
                <w:ilvl w:val="0"/>
                <w:numId w:val="12"/>
              </w:numPr>
              <w:tabs>
                <w:tab w:val="clear" w:pos="357"/>
                <w:tab w:val="left" w:pos="110"/>
              </w:tabs>
              <w:spacing w:after="0" w:line="240" w:lineRule="auto"/>
              <w:ind w:left="110" w:hanging="110"/>
              <w:rPr>
                <w:rFonts w:ascii="Swis721 Th BT" w:hAnsi="Swis721 Th BT" w:cs="Arial"/>
                <w:color w:val="404040"/>
                <w:sz w:val="23"/>
                <w:szCs w:val="23"/>
              </w:rPr>
            </w:pPr>
            <w:r>
              <w:rPr>
                <w:rFonts w:ascii="Swis721 Th BT" w:hAnsi="Swis721 Th BT" w:cs="Arial"/>
                <w:color w:val="404040"/>
                <w:sz w:val="23"/>
                <w:szCs w:val="23"/>
              </w:rPr>
              <w:t xml:space="preserve"> No alívio de dor leve a moderada.</w:t>
            </w:r>
          </w:p>
        </w:tc>
      </w:tr>
      <w:tr w:rsidR="00CD65C2" w14:paraId="2FF27DF5" w14:textId="77777777">
        <w:trPr>
          <w:cantSplit/>
          <w:trHeight w:val="60"/>
        </w:trPr>
        <w:tc>
          <w:tcPr>
            <w:tcW w:w="1936" w:type="dxa"/>
            <w:tcBorders>
              <w:top w:val="single" w:sz="4" w:space="0" w:color="auto"/>
              <w:left w:val="single" w:sz="4" w:space="0" w:color="auto"/>
              <w:bottom w:val="single" w:sz="4" w:space="0" w:color="auto"/>
              <w:right w:val="single" w:sz="4" w:space="0" w:color="auto"/>
            </w:tcBorders>
            <w:vAlign w:val="center"/>
          </w:tcPr>
          <w:p w14:paraId="495DCA63" w14:textId="77777777" w:rsidR="00CD65C2" w:rsidRDefault="00FA41FC">
            <w:pPr>
              <w:jc w:val="center"/>
              <w:rPr>
                <w:rFonts w:ascii="Swis721 Th BT" w:hAnsi="Swis721 Th BT" w:cs="Arial"/>
                <w:color w:val="404040"/>
                <w:sz w:val="23"/>
                <w:szCs w:val="23"/>
              </w:rPr>
            </w:pPr>
            <w:r>
              <w:rPr>
                <w:rFonts w:ascii="Swis721 Th BT" w:hAnsi="Swis721 Th BT" w:cs="Arial"/>
                <w:b/>
                <w:i/>
                <w:color w:val="404040"/>
                <w:sz w:val="23"/>
                <w:szCs w:val="23"/>
              </w:rPr>
              <w:t>Vitex agnus castus</w:t>
            </w:r>
            <w:r>
              <w:rPr>
                <w:rFonts w:ascii="Swis721 Th BT" w:hAnsi="Swis721 Th BT" w:cs="Arial"/>
                <w:b/>
                <w:color w:val="404040"/>
                <w:sz w:val="23"/>
                <w:szCs w:val="23"/>
              </w:rPr>
              <w:t>, extrato</w:t>
            </w:r>
          </w:p>
        </w:tc>
        <w:tc>
          <w:tcPr>
            <w:tcW w:w="2564" w:type="dxa"/>
            <w:tcBorders>
              <w:top w:val="single" w:sz="4" w:space="0" w:color="auto"/>
              <w:left w:val="single" w:sz="4" w:space="0" w:color="auto"/>
              <w:bottom w:val="single" w:sz="4" w:space="0" w:color="auto"/>
              <w:right w:val="single" w:sz="4" w:space="0" w:color="auto"/>
            </w:tcBorders>
            <w:vAlign w:val="center"/>
          </w:tcPr>
          <w:p w14:paraId="2E2A213E" w14:textId="77777777" w:rsidR="00CD65C2" w:rsidRDefault="00FA41FC">
            <w:pPr>
              <w:jc w:val="both"/>
              <w:rPr>
                <w:rFonts w:ascii="Swis721 Th BT" w:hAnsi="Swis721 Th BT" w:cs="Arial"/>
                <w:color w:val="404040"/>
                <w:sz w:val="23"/>
                <w:szCs w:val="23"/>
              </w:rPr>
            </w:pPr>
            <w:r>
              <w:rPr>
                <w:rFonts w:ascii="Swis721 Th BT" w:hAnsi="Swis721 Th BT" w:cs="Arial"/>
                <w:color w:val="404040"/>
                <w:sz w:val="23"/>
                <w:szCs w:val="23"/>
              </w:rPr>
              <w:t>Extrato seco padronizado: 30 mg a 40 mg ao dia.</w:t>
            </w:r>
          </w:p>
        </w:tc>
        <w:tc>
          <w:tcPr>
            <w:tcW w:w="1800" w:type="dxa"/>
            <w:tcBorders>
              <w:top w:val="single" w:sz="4" w:space="0" w:color="auto"/>
              <w:left w:val="single" w:sz="4" w:space="0" w:color="auto"/>
              <w:bottom w:val="single" w:sz="4" w:space="0" w:color="auto"/>
              <w:right w:val="single" w:sz="4" w:space="0" w:color="auto"/>
            </w:tcBorders>
            <w:vAlign w:val="center"/>
          </w:tcPr>
          <w:p w14:paraId="214A02DE" w14:textId="77777777" w:rsidR="00CD65C2" w:rsidRDefault="00CD65C2">
            <w:pPr>
              <w:jc w:val="center"/>
              <w:rPr>
                <w:rFonts w:ascii="Swis721 Th BT" w:hAnsi="Swis721 Th BT" w:cs="Arial"/>
                <w:color w:val="404040"/>
                <w:sz w:val="23"/>
                <w:szCs w:val="23"/>
              </w:rPr>
            </w:pPr>
          </w:p>
          <w:p w14:paraId="2F5CD318" w14:textId="77777777" w:rsidR="00CD65C2" w:rsidRDefault="00CD65C2">
            <w:pPr>
              <w:rPr>
                <w:rFonts w:ascii="Swis721 Th BT" w:hAnsi="Swis721 Th BT" w:cs="Arial"/>
                <w:color w:val="404040"/>
                <w:sz w:val="23"/>
                <w:szCs w:val="23"/>
              </w:rPr>
            </w:pPr>
          </w:p>
          <w:p w14:paraId="171B0E65" w14:textId="77777777" w:rsidR="00CD65C2" w:rsidRDefault="00FA41FC">
            <w:pPr>
              <w:jc w:val="center"/>
              <w:rPr>
                <w:rFonts w:ascii="Swis721 Th BT" w:hAnsi="Swis721 Th BT" w:cs="Arial"/>
                <w:color w:val="404040"/>
                <w:sz w:val="23"/>
                <w:szCs w:val="23"/>
              </w:rPr>
            </w:pPr>
            <w:r>
              <w:rPr>
                <w:rFonts w:ascii="Swis721 Th BT" w:hAnsi="Swis721 Th BT" w:cs="Arial"/>
                <w:color w:val="404040"/>
                <w:sz w:val="23"/>
                <w:szCs w:val="23"/>
              </w:rPr>
              <w:t>______</w:t>
            </w:r>
          </w:p>
          <w:p w14:paraId="040407E5" w14:textId="77777777" w:rsidR="00CD65C2" w:rsidRDefault="00CD65C2">
            <w:pPr>
              <w:rPr>
                <w:rFonts w:ascii="Swis721 Th BT" w:hAnsi="Swis721 Th BT" w:cs="Arial"/>
                <w:color w:val="404040"/>
                <w:sz w:val="23"/>
                <w:szCs w:val="23"/>
              </w:rPr>
            </w:pPr>
          </w:p>
          <w:p w14:paraId="29AF8F72" w14:textId="77777777" w:rsidR="00CD65C2" w:rsidRDefault="00CD65C2">
            <w:pPr>
              <w:rPr>
                <w:rFonts w:ascii="Swis721 Th BT" w:hAnsi="Swis721 Th BT" w:cs="Arial"/>
                <w:color w:val="404040"/>
                <w:sz w:val="23"/>
                <w:szCs w:val="23"/>
              </w:rPr>
            </w:pPr>
          </w:p>
        </w:tc>
        <w:tc>
          <w:tcPr>
            <w:tcW w:w="4320" w:type="dxa"/>
            <w:tcBorders>
              <w:top w:val="single" w:sz="4" w:space="0" w:color="auto"/>
              <w:left w:val="single" w:sz="4" w:space="0" w:color="auto"/>
              <w:bottom w:val="single" w:sz="4" w:space="0" w:color="auto"/>
              <w:right w:val="single" w:sz="4" w:space="0" w:color="auto"/>
            </w:tcBorders>
            <w:vAlign w:val="center"/>
          </w:tcPr>
          <w:p w14:paraId="4F1EC52E" w14:textId="77777777" w:rsidR="00CD65C2" w:rsidRDefault="00FA41FC">
            <w:pPr>
              <w:numPr>
                <w:ilvl w:val="0"/>
                <w:numId w:val="13"/>
              </w:numPr>
              <w:tabs>
                <w:tab w:val="clear" w:pos="357"/>
                <w:tab w:val="left" w:pos="110"/>
              </w:tabs>
              <w:spacing w:after="0" w:line="240" w:lineRule="auto"/>
              <w:rPr>
                <w:rFonts w:ascii="Swis721 Th BT" w:hAnsi="Swis721 Th BT" w:cs="Arial"/>
                <w:color w:val="404040"/>
                <w:sz w:val="23"/>
                <w:szCs w:val="23"/>
              </w:rPr>
            </w:pPr>
            <w:r>
              <w:rPr>
                <w:rFonts w:ascii="Swis721 Th BT" w:hAnsi="Swis721 Th BT" w:cs="Arial"/>
                <w:color w:val="404040"/>
                <w:sz w:val="23"/>
                <w:szCs w:val="23"/>
              </w:rPr>
              <w:t xml:space="preserve"> Amenorreia, dismenorreia e endometriose;</w:t>
            </w:r>
          </w:p>
          <w:p w14:paraId="6A7F5B76" w14:textId="77777777" w:rsidR="00CD65C2" w:rsidRDefault="00FA41FC">
            <w:pPr>
              <w:numPr>
                <w:ilvl w:val="0"/>
                <w:numId w:val="13"/>
              </w:numPr>
              <w:tabs>
                <w:tab w:val="clear" w:pos="357"/>
                <w:tab w:val="left" w:pos="110"/>
              </w:tabs>
              <w:spacing w:after="0" w:line="240" w:lineRule="auto"/>
              <w:rPr>
                <w:rFonts w:ascii="Swis721 Th BT" w:hAnsi="Swis721 Th BT" w:cs="Arial"/>
                <w:color w:val="404040"/>
                <w:sz w:val="23"/>
                <w:szCs w:val="23"/>
              </w:rPr>
            </w:pPr>
            <w:r>
              <w:rPr>
                <w:rFonts w:ascii="Swis721 Th BT" w:hAnsi="Swis721 Th BT" w:cs="Arial"/>
                <w:color w:val="404040"/>
                <w:sz w:val="23"/>
                <w:szCs w:val="23"/>
              </w:rPr>
              <w:t xml:space="preserve"> Tratamento da acne na mulher adulta;</w:t>
            </w:r>
          </w:p>
          <w:p w14:paraId="32E4B155" w14:textId="77777777" w:rsidR="00CD65C2" w:rsidRDefault="00FA41FC">
            <w:pPr>
              <w:numPr>
                <w:ilvl w:val="0"/>
                <w:numId w:val="13"/>
              </w:numPr>
              <w:tabs>
                <w:tab w:val="clear" w:pos="357"/>
                <w:tab w:val="left" w:pos="110"/>
              </w:tabs>
              <w:spacing w:after="0" w:line="240" w:lineRule="auto"/>
              <w:rPr>
                <w:rFonts w:ascii="Swis721 Th BT" w:hAnsi="Swis721 Th BT" w:cs="Arial"/>
                <w:color w:val="404040"/>
                <w:sz w:val="23"/>
                <w:szCs w:val="23"/>
              </w:rPr>
            </w:pPr>
            <w:r>
              <w:rPr>
                <w:rFonts w:ascii="Swis721 Th BT" w:hAnsi="Swis721 Th BT" w:cs="Arial"/>
                <w:color w:val="404040"/>
                <w:sz w:val="23"/>
                <w:szCs w:val="23"/>
              </w:rPr>
              <w:t xml:space="preserve"> Tratamento da Tensão Pré-Menstrual;</w:t>
            </w:r>
          </w:p>
          <w:p w14:paraId="0A73E033" w14:textId="77777777" w:rsidR="00CD65C2" w:rsidRDefault="00FA41FC">
            <w:pPr>
              <w:numPr>
                <w:ilvl w:val="0"/>
                <w:numId w:val="13"/>
              </w:numPr>
              <w:tabs>
                <w:tab w:val="clear" w:pos="357"/>
                <w:tab w:val="left" w:pos="110"/>
              </w:tabs>
              <w:spacing w:after="0" w:line="240" w:lineRule="auto"/>
              <w:rPr>
                <w:rFonts w:ascii="Swis721 Th BT" w:hAnsi="Swis721 Th BT" w:cs="Arial"/>
                <w:color w:val="404040"/>
                <w:sz w:val="23"/>
                <w:szCs w:val="23"/>
              </w:rPr>
            </w:pPr>
            <w:r>
              <w:rPr>
                <w:rFonts w:ascii="Swis721 Th BT" w:hAnsi="Swis721 Th BT" w:cs="Arial"/>
                <w:color w:val="404040"/>
                <w:sz w:val="23"/>
                <w:szCs w:val="23"/>
              </w:rPr>
              <w:t xml:space="preserve"> Infertilidade;</w:t>
            </w:r>
          </w:p>
          <w:p w14:paraId="1A6CC199" w14:textId="77777777" w:rsidR="00CD65C2" w:rsidRDefault="00FA41FC">
            <w:pPr>
              <w:numPr>
                <w:ilvl w:val="0"/>
                <w:numId w:val="13"/>
              </w:numPr>
              <w:tabs>
                <w:tab w:val="clear" w:pos="357"/>
                <w:tab w:val="left" w:pos="110"/>
              </w:tabs>
              <w:spacing w:after="0" w:line="240" w:lineRule="auto"/>
              <w:rPr>
                <w:rFonts w:ascii="Swis721 Th BT" w:hAnsi="Swis721 Th BT" w:cs="Arial"/>
                <w:color w:val="404040"/>
                <w:sz w:val="23"/>
                <w:szCs w:val="23"/>
              </w:rPr>
            </w:pPr>
            <w:r>
              <w:rPr>
                <w:rFonts w:ascii="Swis721 Th BT" w:hAnsi="Swis721 Th BT" w:cs="Arial"/>
                <w:color w:val="404040"/>
                <w:sz w:val="23"/>
                <w:szCs w:val="23"/>
              </w:rPr>
              <w:t xml:space="preserve"> Ansiedade;</w:t>
            </w:r>
          </w:p>
          <w:p w14:paraId="594BBF7B" w14:textId="77777777" w:rsidR="00CD65C2" w:rsidRDefault="00FA41FC">
            <w:pPr>
              <w:numPr>
                <w:ilvl w:val="0"/>
                <w:numId w:val="13"/>
              </w:numPr>
              <w:tabs>
                <w:tab w:val="clear" w:pos="357"/>
                <w:tab w:val="left" w:pos="110"/>
              </w:tabs>
              <w:spacing w:after="0" w:line="240" w:lineRule="auto"/>
              <w:rPr>
                <w:rFonts w:ascii="Swis721 Th BT" w:hAnsi="Swis721 Th BT" w:cs="Arial"/>
                <w:color w:val="404040"/>
                <w:sz w:val="23"/>
                <w:szCs w:val="23"/>
              </w:rPr>
            </w:pPr>
            <w:r>
              <w:rPr>
                <w:rFonts w:ascii="Swis721 Th BT" w:hAnsi="Swis721 Th BT" w:cs="Arial"/>
                <w:color w:val="404040"/>
                <w:sz w:val="23"/>
                <w:szCs w:val="23"/>
              </w:rPr>
              <w:t xml:space="preserve"> Tensão Nervosa;</w:t>
            </w:r>
          </w:p>
          <w:p w14:paraId="49FDB4AA" w14:textId="77777777" w:rsidR="00CD65C2" w:rsidRDefault="00FA41FC">
            <w:pPr>
              <w:numPr>
                <w:ilvl w:val="0"/>
                <w:numId w:val="13"/>
              </w:numPr>
              <w:tabs>
                <w:tab w:val="clear" w:pos="357"/>
                <w:tab w:val="left" w:pos="110"/>
              </w:tabs>
              <w:spacing w:after="0" w:line="240" w:lineRule="auto"/>
              <w:rPr>
                <w:rFonts w:ascii="Swis721 Th BT" w:hAnsi="Swis721 Th BT" w:cs="Arial"/>
                <w:color w:val="404040"/>
                <w:sz w:val="23"/>
                <w:szCs w:val="23"/>
              </w:rPr>
            </w:pPr>
            <w:r>
              <w:rPr>
                <w:rFonts w:ascii="Swis721 Th BT" w:hAnsi="Swis721 Th BT" w:cs="Arial"/>
                <w:color w:val="404040"/>
                <w:sz w:val="23"/>
                <w:szCs w:val="23"/>
              </w:rPr>
              <w:t xml:space="preserve"> Insônia;</w:t>
            </w:r>
          </w:p>
          <w:p w14:paraId="2508B593" w14:textId="77777777" w:rsidR="00CD65C2" w:rsidRDefault="00FA41FC">
            <w:pPr>
              <w:numPr>
                <w:ilvl w:val="0"/>
                <w:numId w:val="13"/>
              </w:numPr>
              <w:tabs>
                <w:tab w:val="clear" w:pos="357"/>
                <w:tab w:val="left" w:pos="110"/>
              </w:tabs>
              <w:spacing w:after="0" w:line="240" w:lineRule="auto"/>
              <w:rPr>
                <w:rFonts w:ascii="Swis721 Th BT" w:hAnsi="Swis721 Th BT" w:cs="Arial"/>
                <w:color w:val="404040"/>
                <w:sz w:val="23"/>
                <w:szCs w:val="23"/>
              </w:rPr>
            </w:pPr>
            <w:r>
              <w:rPr>
                <w:rFonts w:ascii="Swis721 Th BT" w:hAnsi="Swis721 Th BT" w:cs="Arial"/>
                <w:color w:val="404040"/>
                <w:sz w:val="23"/>
                <w:szCs w:val="23"/>
              </w:rPr>
              <w:t xml:space="preserve"> Adjuvante no tratamento da menopausa;</w:t>
            </w:r>
          </w:p>
          <w:p w14:paraId="5A2A9DBF" w14:textId="77777777" w:rsidR="00CD65C2" w:rsidRDefault="00FA41FC">
            <w:pPr>
              <w:numPr>
                <w:ilvl w:val="0"/>
                <w:numId w:val="13"/>
              </w:numPr>
              <w:tabs>
                <w:tab w:val="clear" w:pos="357"/>
                <w:tab w:val="left" w:pos="110"/>
              </w:tabs>
              <w:spacing w:after="0" w:line="240" w:lineRule="auto"/>
              <w:rPr>
                <w:rFonts w:ascii="Swis721 Th BT" w:hAnsi="Swis721 Th BT" w:cs="Arial"/>
                <w:color w:val="404040"/>
                <w:sz w:val="23"/>
                <w:szCs w:val="23"/>
              </w:rPr>
            </w:pPr>
            <w:r>
              <w:rPr>
                <w:rFonts w:ascii="Swis721 Th BT" w:hAnsi="Swis721 Th BT" w:cs="Arial"/>
                <w:color w:val="404040"/>
                <w:sz w:val="23"/>
                <w:szCs w:val="23"/>
              </w:rPr>
              <w:t xml:space="preserve"> Ciclos menstruais irregulares.</w:t>
            </w:r>
          </w:p>
        </w:tc>
      </w:tr>
      <w:tr w:rsidR="00CD65C2" w14:paraId="12EA706D" w14:textId="77777777">
        <w:trPr>
          <w:cantSplit/>
          <w:trHeight w:val="60"/>
        </w:trPr>
        <w:tc>
          <w:tcPr>
            <w:tcW w:w="1936" w:type="dxa"/>
            <w:tcBorders>
              <w:top w:val="single" w:sz="4" w:space="0" w:color="auto"/>
              <w:left w:val="single" w:sz="4" w:space="0" w:color="auto"/>
              <w:bottom w:val="single" w:sz="4" w:space="0" w:color="auto"/>
              <w:right w:val="single" w:sz="4" w:space="0" w:color="auto"/>
            </w:tcBorders>
            <w:vAlign w:val="center"/>
          </w:tcPr>
          <w:p w14:paraId="04D6E41E" w14:textId="77777777" w:rsidR="00CD65C2" w:rsidRDefault="00FA41FC">
            <w:pPr>
              <w:jc w:val="center"/>
              <w:rPr>
                <w:rFonts w:ascii="Swis721 Th BT" w:hAnsi="Swis721 Th BT" w:cs="Arial"/>
                <w:b/>
                <w:color w:val="404040"/>
                <w:sz w:val="23"/>
                <w:szCs w:val="23"/>
              </w:rPr>
            </w:pPr>
            <w:r>
              <w:rPr>
                <w:rFonts w:ascii="Swis721 Th BT" w:hAnsi="Swis721 Th BT" w:cs="Arial"/>
                <w:b/>
                <w:bCs/>
                <w:color w:val="404040"/>
                <w:sz w:val="23"/>
                <w:szCs w:val="23"/>
              </w:rPr>
              <w:t>Naproxeno</w:t>
            </w:r>
          </w:p>
        </w:tc>
        <w:tc>
          <w:tcPr>
            <w:tcW w:w="2564" w:type="dxa"/>
            <w:tcBorders>
              <w:top w:val="single" w:sz="4" w:space="0" w:color="auto"/>
              <w:left w:val="single" w:sz="4" w:space="0" w:color="auto"/>
              <w:bottom w:val="single" w:sz="4" w:space="0" w:color="auto"/>
              <w:right w:val="single" w:sz="4" w:space="0" w:color="auto"/>
            </w:tcBorders>
            <w:vAlign w:val="center"/>
          </w:tcPr>
          <w:p w14:paraId="42FA0AA5" w14:textId="77777777" w:rsidR="00CD65C2" w:rsidRDefault="00FA41FC">
            <w:pPr>
              <w:jc w:val="both"/>
              <w:rPr>
                <w:rFonts w:ascii="Swis721 Th BT" w:hAnsi="Swis721 Th BT" w:cs="Arial"/>
                <w:color w:val="404040"/>
                <w:sz w:val="23"/>
                <w:szCs w:val="23"/>
              </w:rPr>
            </w:pPr>
            <w:r>
              <w:rPr>
                <w:rFonts w:ascii="Swis721 Th BT" w:hAnsi="Swis721 Th BT" w:cs="Arial"/>
                <w:color w:val="404040"/>
                <w:sz w:val="23"/>
                <w:szCs w:val="23"/>
              </w:rPr>
              <w:t>Para o alívio da dor suave a moderada, ou tratamento de dismenorreia primária: inicialmente, 500 mg, seguida de 250 mg a cada 6 ou 8 horas;</w:t>
            </w:r>
          </w:p>
          <w:p w14:paraId="0D773B2E" w14:textId="77777777" w:rsidR="00CD65C2" w:rsidRDefault="00FA41FC">
            <w:pPr>
              <w:jc w:val="both"/>
              <w:rPr>
                <w:rFonts w:ascii="Swis721 Th BT" w:hAnsi="Swis721 Th BT" w:cs="Arial"/>
                <w:b/>
                <w:bCs/>
                <w:color w:val="404040"/>
                <w:sz w:val="23"/>
                <w:szCs w:val="23"/>
              </w:rPr>
            </w:pPr>
            <w:r>
              <w:rPr>
                <w:rFonts w:ascii="Swis721 Th BT" w:hAnsi="Swis721 Th BT" w:cs="Arial"/>
                <w:b/>
                <w:bCs/>
                <w:color w:val="404040"/>
                <w:sz w:val="23"/>
                <w:szCs w:val="23"/>
              </w:rPr>
              <w:t>ou</w:t>
            </w:r>
          </w:p>
          <w:p w14:paraId="32260205" w14:textId="20233002" w:rsidR="00CD65C2" w:rsidRDefault="00FA41FC">
            <w:pPr>
              <w:jc w:val="both"/>
              <w:rPr>
                <w:rFonts w:ascii="Swis721 Th BT" w:hAnsi="Swis721 Th BT" w:cs="Arial"/>
                <w:color w:val="404040"/>
                <w:sz w:val="23"/>
                <w:szCs w:val="23"/>
                <w:vertAlign w:val="superscript"/>
              </w:rPr>
            </w:pPr>
            <w:r>
              <w:rPr>
                <w:rFonts w:ascii="Swis721 Th BT" w:hAnsi="Swis721 Th BT" w:cs="Arial"/>
                <w:color w:val="404040"/>
                <w:sz w:val="23"/>
                <w:szCs w:val="23"/>
              </w:rPr>
              <w:t>Inicialmente 550 mg de naproxeno sódico seguido de 275 mg a cada 6 ou 8 horas.</w:t>
            </w:r>
          </w:p>
        </w:tc>
        <w:tc>
          <w:tcPr>
            <w:tcW w:w="1800" w:type="dxa"/>
            <w:tcBorders>
              <w:top w:val="single" w:sz="4" w:space="0" w:color="auto"/>
              <w:left w:val="single" w:sz="4" w:space="0" w:color="auto"/>
              <w:bottom w:val="single" w:sz="4" w:space="0" w:color="auto"/>
              <w:right w:val="single" w:sz="4" w:space="0" w:color="auto"/>
            </w:tcBorders>
            <w:vAlign w:val="center"/>
          </w:tcPr>
          <w:p w14:paraId="77283708" w14:textId="77777777" w:rsidR="00CD65C2" w:rsidRDefault="00FA41FC">
            <w:pPr>
              <w:jc w:val="center"/>
              <w:rPr>
                <w:rFonts w:ascii="Swis721 Th BT" w:hAnsi="Swis721 Th BT" w:cs="Arial"/>
                <w:color w:val="404040"/>
                <w:sz w:val="23"/>
                <w:szCs w:val="23"/>
              </w:rPr>
            </w:pPr>
            <w:r>
              <w:rPr>
                <w:rFonts w:ascii="Swis721 Th BT" w:hAnsi="Swis721 Th BT" w:cs="Arial"/>
                <w:color w:val="404040"/>
                <w:sz w:val="23"/>
                <w:szCs w:val="23"/>
              </w:rPr>
              <w:t>______</w:t>
            </w:r>
          </w:p>
        </w:tc>
        <w:tc>
          <w:tcPr>
            <w:tcW w:w="4320" w:type="dxa"/>
            <w:tcBorders>
              <w:top w:val="single" w:sz="4" w:space="0" w:color="auto"/>
              <w:left w:val="single" w:sz="4" w:space="0" w:color="auto"/>
              <w:bottom w:val="single" w:sz="4" w:space="0" w:color="auto"/>
              <w:right w:val="single" w:sz="4" w:space="0" w:color="auto"/>
            </w:tcBorders>
            <w:vAlign w:val="center"/>
          </w:tcPr>
          <w:p w14:paraId="5CD4171B" w14:textId="77777777" w:rsidR="00CD65C2" w:rsidRDefault="00FA41FC">
            <w:pPr>
              <w:numPr>
                <w:ilvl w:val="0"/>
                <w:numId w:val="14"/>
              </w:numPr>
              <w:tabs>
                <w:tab w:val="clear" w:pos="357"/>
                <w:tab w:val="left" w:pos="110"/>
              </w:tabs>
              <w:spacing w:after="0" w:line="240" w:lineRule="auto"/>
              <w:ind w:left="110" w:hanging="110"/>
              <w:rPr>
                <w:rFonts w:ascii="Swis721 Th BT" w:hAnsi="Swis721 Th BT" w:cs="Arial"/>
                <w:color w:val="404040"/>
                <w:sz w:val="23"/>
                <w:szCs w:val="23"/>
                <w:vertAlign w:val="superscript"/>
              </w:rPr>
            </w:pPr>
            <w:r>
              <w:rPr>
                <w:rFonts w:ascii="Swis721 Th BT" w:hAnsi="Swis721 Th BT" w:cs="Arial"/>
                <w:color w:val="404040"/>
                <w:sz w:val="23"/>
                <w:szCs w:val="23"/>
              </w:rPr>
              <w:t xml:space="preserve"> Ação analgésica e anti-inflamatória;</w:t>
            </w:r>
          </w:p>
          <w:p w14:paraId="4F87418C" w14:textId="77777777" w:rsidR="00CD65C2" w:rsidRDefault="00FA41FC">
            <w:pPr>
              <w:numPr>
                <w:ilvl w:val="0"/>
                <w:numId w:val="14"/>
              </w:numPr>
              <w:tabs>
                <w:tab w:val="clear" w:pos="357"/>
                <w:tab w:val="left" w:pos="110"/>
              </w:tabs>
              <w:spacing w:after="0" w:line="240" w:lineRule="auto"/>
              <w:ind w:left="110" w:hanging="110"/>
              <w:rPr>
                <w:rFonts w:ascii="Swis721 Th BT" w:hAnsi="Swis721 Th BT" w:cs="Arial"/>
                <w:color w:val="404040"/>
                <w:sz w:val="23"/>
                <w:szCs w:val="23"/>
                <w:vertAlign w:val="superscript"/>
              </w:rPr>
            </w:pPr>
            <w:r>
              <w:rPr>
                <w:rFonts w:ascii="Swis721 Th BT" w:hAnsi="Swis721 Th BT" w:cs="Arial"/>
                <w:color w:val="404040"/>
                <w:sz w:val="23"/>
                <w:szCs w:val="23"/>
              </w:rPr>
              <w:t xml:space="preserve"> É indicado para dismenorreia, dor de cabeça, enxaqueca e dor pós-operatória.</w:t>
            </w:r>
          </w:p>
        </w:tc>
      </w:tr>
      <w:tr w:rsidR="00CD65C2" w14:paraId="0AB7D01B" w14:textId="77777777">
        <w:trPr>
          <w:cantSplit/>
          <w:trHeight w:val="60"/>
        </w:trPr>
        <w:tc>
          <w:tcPr>
            <w:tcW w:w="1936" w:type="dxa"/>
            <w:tcBorders>
              <w:top w:val="single" w:sz="4" w:space="0" w:color="auto"/>
              <w:left w:val="single" w:sz="4" w:space="0" w:color="auto"/>
              <w:bottom w:val="single" w:sz="4" w:space="0" w:color="auto"/>
              <w:right w:val="single" w:sz="4" w:space="0" w:color="auto"/>
            </w:tcBorders>
            <w:vAlign w:val="center"/>
          </w:tcPr>
          <w:p w14:paraId="46E7D3E6" w14:textId="77777777" w:rsidR="00CD65C2" w:rsidRDefault="00FA41FC">
            <w:pPr>
              <w:jc w:val="center"/>
              <w:rPr>
                <w:rFonts w:ascii="Swis721 Th BT" w:hAnsi="Swis721 Th BT" w:cs="Arial"/>
                <w:b/>
                <w:color w:val="404040"/>
                <w:sz w:val="23"/>
                <w:szCs w:val="23"/>
              </w:rPr>
            </w:pPr>
            <w:r>
              <w:rPr>
                <w:rFonts w:ascii="Swis721 Th BT" w:hAnsi="Swis721 Th BT" w:cs="Arial"/>
                <w:b/>
                <w:color w:val="404040"/>
                <w:sz w:val="23"/>
                <w:szCs w:val="23"/>
              </w:rPr>
              <w:t>Ibuprofeno</w:t>
            </w:r>
          </w:p>
        </w:tc>
        <w:tc>
          <w:tcPr>
            <w:tcW w:w="2564" w:type="dxa"/>
            <w:tcBorders>
              <w:top w:val="single" w:sz="4" w:space="0" w:color="auto"/>
              <w:left w:val="single" w:sz="4" w:space="0" w:color="auto"/>
              <w:bottom w:val="single" w:sz="4" w:space="0" w:color="auto"/>
              <w:right w:val="single" w:sz="4" w:space="0" w:color="auto"/>
            </w:tcBorders>
            <w:vAlign w:val="center"/>
          </w:tcPr>
          <w:p w14:paraId="46B8F147" w14:textId="77777777" w:rsidR="00CD65C2" w:rsidRDefault="00FA41FC">
            <w:pPr>
              <w:jc w:val="both"/>
              <w:rPr>
                <w:rFonts w:ascii="Swis721 Th BT" w:hAnsi="Swis721 Th BT" w:cs="Arial"/>
                <w:color w:val="404040"/>
                <w:sz w:val="23"/>
                <w:szCs w:val="23"/>
              </w:rPr>
            </w:pPr>
            <w:r>
              <w:rPr>
                <w:rFonts w:ascii="Swis721 Th BT" w:hAnsi="Swis721 Th BT" w:cs="Arial"/>
                <w:color w:val="404040"/>
                <w:sz w:val="23"/>
                <w:szCs w:val="23"/>
              </w:rPr>
              <w:t>Adultos, como analgésico: 200 mg a 400 mg a cada 4 ou 6 horas.</w:t>
            </w:r>
          </w:p>
        </w:tc>
        <w:tc>
          <w:tcPr>
            <w:tcW w:w="1800" w:type="dxa"/>
            <w:tcBorders>
              <w:top w:val="single" w:sz="4" w:space="0" w:color="auto"/>
              <w:left w:val="single" w:sz="4" w:space="0" w:color="auto"/>
              <w:bottom w:val="single" w:sz="4" w:space="0" w:color="auto"/>
              <w:right w:val="single" w:sz="4" w:space="0" w:color="auto"/>
            </w:tcBorders>
            <w:vAlign w:val="center"/>
          </w:tcPr>
          <w:p w14:paraId="400CF8A6" w14:textId="77777777" w:rsidR="00CD65C2" w:rsidRDefault="00FA41FC">
            <w:pPr>
              <w:jc w:val="center"/>
              <w:rPr>
                <w:rFonts w:ascii="Swis721 Th BT" w:hAnsi="Swis721 Th BT" w:cs="Arial"/>
                <w:color w:val="404040"/>
                <w:sz w:val="23"/>
                <w:szCs w:val="23"/>
              </w:rPr>
            </w:pPr>
            <w:r>
              <w:rPr>
                <w:rFonts w:ascii="Swis721 Th BT" w:hAnsi="Swis721 Th BT" w:cs="Arial"/>
                <w:color w:val="404040"/>
                <w:sz w:val="23"/>
                <w:szCs w:val="23"/>
              </w:rPr>
              <w:t>______</w:t>
            </w:r>
          </w:p>
        </w:tc>
        <w:tc>
          <w:tcPr>
            <w:tcW w:w="4320" w:type="dxa"/>
            <w:tcBorders>
              <w:top w:val="single" w:sz="4" w:space="0" w:color="auto"/>
              <w:left w:val="single" w:sz="4" w:space="0" w:color="auto"/>
              <w:bottom w:val="single" w:sz="4" w:space="0" w:color="auto"/>
              <w:right w:val="single" w:sz="4" w:space="0" w:color="auto"/>
            </w:tcBorders>
            <w:vAlign w:val="center"/>
          </w:tcPr>
          <w:p w14:paraId="4CABD990" w14:textId="77777777" w:rsidR="00CD65C2" w:rsidRDefault="00FA41FC">
            <w:pPr>
              <w:numPr>
                <w:ilvl w:val="0"/>
                <w:numId w:val="15"/>
              </w:numPr>
              <w:tabs>
                <w:tab w:val="clear" w:pos="357"/>
                <w:tab w:val="left" w:pos="110"/>
              </w:tabs>
              <w:spacing w:after="0" w:line="240" w:lineRule="auto"/>
              <w:ind w:left="110" w:hanging="110"/>
              <w:rPr>
                <w:rFonts w:ascii="Swis721 Th BT" w:hAnsi="Swis721 Th BT" w:cs="Arial"/>
                <w:color w:val="404040"/>
                <w:sz w:val="23"/>
                <w:szCs w:val="23"/>
                <w:vertAlign w:val="superscript"/>
              </w:rPr>
            </w:pPr>
            <w:r>
              <w:rPr>
                <w:rFonts w:ascii="Swis721 Th BT" w:hAnsi="Swis721 Th BT" w:cs="Arial"/>
                <w:color w:val="404040"/>
                <w:sz w:val="23"/>
                <w:szCs w:val="23"/>
              </w:rPr>
              <w:t xml:space="preserve"> Anti-inflamatório, derivado do ácido propiônico;</w:t>
            </w:r>
          </w:p>
          <w:p w14:paraId="77C63A4F" w14:textId="77777777" w:rsidR="00CD65C2" w:rsidRDefault="00FA41FC">
            <w:pPr>
              <w:numPr>
                <w:ilvl w:val="0"/>
                <w:numId w:val="15"/>
              </w:numPr>
              <w:tabs>
                <w:tab w:val="clear" w:pos="357"/>
                <w:tab w:val="left" w:pos="110"/>
              </w:tabs>
              <w:spacing w:after="0" w:line="240" w:lineRule="auto"/>
              <w:ind w:left="110" w:hanging="110"/>
              <w:rPr>
                <w:rFonts w:ascii="Swis721 Th BT" w:hAnsi="Swis721 Th BT" w:cs="Arial"/>
                <w:color w:val="404040"/>
                <w:sz w:val="23"/>
                <w:szCs w:val="23"/>
                <w:vertAlign w:val="superscript"/>
              </w:rPr>
            </w:pPr>
            <w:r>
              <w:rPr>
                <w:rFonts w:ascii="Swis721 Th BT" w:hAnsi="Swis721 Th BT" w:cs="Arial"/>
                <w:color w:val="404040"/>
                <w:sz w:val="23"/>
                <w:szCs w:val="23"/>
              </w:rPr>
              <w:t xml:space="preserve"> É indicado para o alívio de dor média a moderada, dismenorreia, dor de cabeça e enxaqueca.</w:t>
            </w:r>
          </w:p>
        </w:tc>
      </w:tr>
      <w:tr w:rsidR="00CD65C2" w14:paraId="3071B4D4" w14:textId="77777777">
        <w:trPr>
          <w:cantSplit/>
          <w:trHeight w:val="60"/>
        </w:trPr>
        <w:tc>
          <w:tcPr>
            <w:tcW w:w="1936" w:type="dxa"/>
            <w:tcBorders>
              <w:top w:val="single" w:sz="4" w:space="0" w:color="auto"/>
              <w:left w:val="single" w:sz="4" w:space="0" w:color="auto"/>
              <w:bottom w:val="single" w:sz="4" w:space="0" w:color="auto"/>
              <w:right w:val="single" w:sz="4" w:space="0" w:color="auto"/>
            </w:tcBorders>
            <w:vAlign w:val="center"/>
          </w:tcPr>
          <w:p w14:paraId="48B74265" w14:textId="77777777" w:rsidR="00CD65C2" w:rsidRDefault="00FA41FC">
            <w:pPr>
              <w:jc w:val="center"/>
              <w:rPr>
                <w:rFonts w:ascii="Swis721 Th BT" w:hAnsi="Swis721 Th BT" w:cs="Arial"/>
                <w:b/>
                <w:color w:val="404040"/>
                <w:sz w:val="23"/>
                <w:szCs w:val="23"/>
              </w:rPr>
            </w:pPr>
            <w:r>
              <w:rPr>
                <w:rFonts w:ascii="Swis721 Th BT" w:hAnsi="Swis721 Th BT" w:cs="Arial"/>
                <w:b/>
                <w:color w:val="404040"/>
                <w:sz w:val="23"/>
                <w:szCs w:val="23"/>
              </w:rPr>
              <w:t>Diclofenaco</w:t>
            </w:r>
          </w:p>
        </w:tc>
        <w:tc>
          <w:tcPr>
            <w:tcW w:w="2564" w:type="dxa"/>
            <w:tcBorders>
              <w:top w:val="single" w:sz="4" w:space="0" w:color="auto"/>
              <w:left w:val="single" w:sz="4" w:space="0" w:color="auto"/>
              <w:bottom w:val="single" w:sz="4" w:space="0" w:color="auto"/>
              <w:right w:val="single" w:sz="4" w:space="0" w:color="auto"/>
            </w:tcBorders>
            <w:vAlign w:val="center"/>
          </w:tcPr>
          <w:p w14:paraId="397B0B70" w14:textId="77777777" w:rsidR="00CD65C2" w:rsidRDefault="00FA41FC">
            <w:pPr>
              <w:tabs>
                <w:tab w:val="left" w:pos="1440"/>
              </w:tabs>
              <w:jc w:val="both"/>
              <w:rPr>
                <w:rFonts w:ascii="Swis721 Th BT" w:hAnsi="Swis721 Th BT" w:cs="Arial"/>
                <w:color w:val="404040"/>
                <w:sz w:val="23"/>
                <w:szCs w:val="23"/>
              </w:rPr>
            </w:pPr>
            <w:r>
              <w:rPr>
                <w:rFonts w:ascii="Swis721 Th BT" w:hAnsi="Swis721 Th BT" w:cs="Arial"/>
                <w:color w:val="404040"/>
                <w:sz w:val="23"/>
                <w:szCs w:val="23"/>
              </w:rPr>
              <w:t>Adultos: 50 mg 2 ou 3 vezes ao dia, ou 75 mg 2 vezes ao dia.</w:t>
            </w:r>
          </w:p>
        </w:tc>
        <w:tc>
          <w:tcPr>
            <w:tcW w:w="1800" w:type="dxa"/>
            <w:tcBorders>
              <w:top w:val="single" w:sz="4" w:space="0" w:color="auto"/>
              <w:left w:val="single" w:sz="4" w:space="0" w:color="auto"/>
              <w:bottom w:val="single" w:sz="4" w:space="0" w:color="auto"/>
              <w:right w:val="single" w:sz="4" w:space="0" w:color="auto"/>
            </w:tcBorders>
            <w:vAlign w:val="center"/>
          </w:tcPr>
          <w:p w14:paraId="40728CFF" w14:textId="77777777" w:rsidR="00CD65C2" w:rsidRDefault="00FA41FC">
            <w:pPr>
              <w:jc w:val="center"/>
              <w:rPr>
                <w:rFonts w:ascii="Swis721 Th BT" w:hAnsi="Swis721 Th BT" w:cs="Arial"/>
                <w:color w:val="404040"/>
                <w:sz w:val="23"/>
                <w:szCs w:val="23"/>
              </w:rPr>
            </w:pPr>
            <w:r>
              <w:rPr>
                <w:rFonts w:ascii="Swis721 Th BT" w:hAnsi="Swis721 Th BT" w:cs="Arial"/>
                <w:color w:val="404040"/>
                <w:sz w:val="23"/>
                <w:szCs w:val="23"/>
              </w:rPr>
              <w:t>______</w:t>
            </w:r>
          </w:p>
        </w:tc>
        <w:tc>
          <w:tcPr>
            <w:tcW w:w="4320" w:type="dxa"/>
            <w:tcBorders>
              <w:top w:val="single" w:sz="4" w:space="0" w:color="auto"/>
              <w:left w:val="single" w:sz="4" w:space="0" w:color="auto"/>
              <w:bottom w:val="single" w:sz="4" w:space="0" w:color="auto"/>
              <w:right w:val="single" w:sz="4" w:space="0" w:color="auto"/>
            </w:tcBorders>
            <w:vAlign w:val="center"/>
          </w:tcPr>
          <w:p w14:paraId="0597ED27" w14:textId="77777777" w:rsidR="00CD65C2" w:rsidRDefault="00FA41FC">
            <w:pPr>
              <w:numPr>
                <w:ilvl w:val="0"/>
                <w:numId w:val="16"/>
              </w:numPr>
              <w:tabs>
                <w:tab w:val="clear" w:pos="357"/>
                <w:tab w:val="left" w:pos="110"/>
              </w:tabs>
              <w:spacing w:after="0" w:line="240" w:lineRule="auto"/>
              <w:ind w:left="110" w:hanging="110"/>
              <w:rPr>
                <w:rFonts w:ascii="Swis721 Th BT" w:hAnsi="Swis721 Th BT" w:cs="Arial"/>
                <w:color w:val="404040"/>
                <w:sz w:val="23"/>
                <w:szCs w:val="23"/>
                <w:vertAlign w:val="superscript"/>
              </w:rPr>
            </w:pPr>
            <w:r>
              <w:rPr>
                <w:rFonts w:ascii="Swis721 Th BT" w:hAnsi="Swis721 Th BT" w:cs="Arial"/>
                <w:color w:val="404040"/>
                <w:sz w:val="23"/>
                <w:szCs w:val="23"/>
              </w:rPr>
              <w:t xml:space="preserve"> Anti-reumático, anti-inflamatório e antidismenorreico.</w:t>
            </w:r>
          </w:p>
        </w:tc>
      </w:tr>
      <w:tr w:rsidR="00CD65C2" w14:paraId="0EE9018E" w14:textId="77777777">
        <w:trPr>
          <w:cantSplit/>
          <w:trHeight w:val="60"/>
        </w:trPr>
        <w:tc>
          <w:tcPr>
            <w:tcW w:w="1936" w:type="dxa"/>
            <w:tcBorders>
              <w:top w:val="single" w:sz="4" w:space="0" w:color="auto"/>
              <w:left w:val="single" w:sz="4" w:space="0" w:color="auto"/>
              <w:bottom w:val="single" w:sz="4" w:space="0" w:color="auto"/>
              <w:right w:val="single" w:sz="4" w:space="0" w:color="auto"/>
            </w:tcBorders>
            <w:vAlign w:val="center"/>
          </w:tcPr>
          <w:p w14:paraId="153303AF" w14:textId="77777777" w:rsidR="00CD65C2" w:rsidRDefault="00FA41FC">
            <w:pPr>
              <w:jc w:val="center"/>
              <w:rPr>
                <w:rFonts w:ascii="Swis721 Th BT" w:hAnsi="Swis721 Th BT" w:cs="Arial"/>
                <w:b/>
                <w:color w:val="404040"/>
                <w:sz w:val="23"/>
                <w:szCs w:val="23"/>
              </w:rPr>
            </w:pPr>
            <w:r>
              <w:rPr>
                <w:rFonts w:ascii="Swis721 Th BT" w:hAnsi="Swis721 Th BT" w:cs="Arial"/>
                <w:b/>
                <w:color w:val="404040"/>
                <w:sz w:val="23"/>
                <w:szCs w:val="23"/>
              </w:rPr>
              <w:t>Piroxicam</w:t>
            </w:r>
          </w:p>
        </w:tc>
        <w:tc>
          <w:tcPr>
            <w:tcW w:w="2564" w:type="dxa"/>
            <w:tcBorders>
              <w:top w:val="single" w:sz="4" w:space="0" w:color="auto"/>
              <w:left w:val="single" w:sz="4" w:space="0" w:color="auto"/>
              <w:bottom w:val="single" w:sz="4" w:space="0" w:color="auto"/>
              <w:right w:val="single" w:sz="4" w:space="0" w:color="auto"/>
            </w:tcBorders>
            <w:vAlign w:val="center"/>
          </w:tcPr>
          <w:p w14:paraId="6120FBCE" w14:textId="77777777" w:rsidR="00CD65C2" w:rsidRDefault="00FA41FC">
            <w:pPr>
              <w:jc w:val="both"/>
              <w:rPr>
                <w:rFonts w:ascii="Swis721 Th BT" w:hAnsi="Swis721 Th BT" w:cs="Arial"/>
                <w:color w:val="404040"/>
                <w:sz w:val="23"/>
                <w:szCs w:val="23"/>
              </w:rPr>
            </w:pPr>
            <w:r>
              <w:rPr>
                <w:rFonts w:ascii="Swis721 Th BT" w:hAnsi="Swis721 Th BT" w:cs="Arial"/>
                <w:color w:val="404040"/>
                <w:sz w:val="23"/>
                <w:szCs w:val="23"/>
              </w:rPr>
              <w:t>20 mg ao dia como dose única ou em tomadas divididas.</w:t>
            </w:r>
          </w:p>
        </w:tc>
        <w:tc>
          <w:tcPr>
            <w:tcW w:w="1800" w:type="dxa"/>
            <w:tcBorders>
              <w:top w:val="single" w:sz="4" w:space="0" w:color="auto"/>
              <w:left w:val="single" w:sz="4" w:space="0" w:color="auto"/>
              <w:bottom w:val="single" w:sz="4" w:space="0" w:color="auto"/>
              <w:right w:val="single" w:sz="4" w:space="0" w:color="auto"/>
            </w:tcBorders>
            <w:vAlign w:val="center"/>
          </w:tcPr>
          <w:p w14:paraId="4969069F" w14:textId="77777777" w:rsidR="00CD65C2" w:rsidRDefault="00FA41FC">
            <w:pPr>
              <w:jc w:val="center"/>
              <w:rPr>
                <w:rFonts w:ascii="Swis721 Th BT" w:hAnsi="Swis721 Th BT" w:cs="Arial"/>
                <w:color w:val="404040"/>
                <w:sz w:val="23"/>
                <w:szCs w:val="23"/>
              </w:rPr>
            </w:pPr>
            <w:r>
              <w:rPr>
                <w:rFonts w:ascii="Swis721 Th BT" w:hAnsi="Swis721 Th BT" w:cs="Arial"/>
                <w:color w:val="404040"/>
                <w:sz w:val="23"/>
                <w:szCs w:val="23"/>
              </w:rPr>
              <w:t>______</w:t>
            </w:r>
          </w:p>
        </w:tc>
        <w:tc>
          <w:tcPr>
            <w:tcW w:w="4320" w:type="dxa"/>
            <w:tcBorders>
              <w:top w:val="single" w:sz="4" w:space="0" w:color="auto"/>
              <w:left w:val="single" w:sz="4" w:space="0" w:color="auto"/>
              <w:bottom w:val="single" w:sz="4" w:space="0" w:color="auto"/>
              <w:right w:val="single" w:sz="4" w:space="0" w:color="auto"/>
            </w:tcBorders>
            <w:vAlign w:val="center"/>
          </w:tcPr>
          <w:p w14:paraId="5D2FD41B" w14:textId="77777777" w:rsidR="00CD65C2" w:rsidRDefault="00FA41FC">
            <w:pPr>
              <w:numPr>
                <w:ilvl w:val="0"/>
                <w:numId w:val="17"/>
              </w:numPr>
              <w:tabs>
                <w:tab w:val="clear" w:pos="357"/>
                <w:tab w:val="left" w:pos="110"/>
              </w:tabs>
              <w:spacing w:after="0" w:line="240" w:lineRule="auto"/>
              <w:ind w:left="110" w:hanging="110"/>
              <w:rPr>
                <w:rFonts w:ascii="Swis721 Th BT" w:hAnsi="Swis721 Th BT" w:cs="Arial"/>
                <w:color w:val="404040"/>
                <w:sz w:val="23"/>
                <w:szCs w:val="23"/>
                <w:vertAlign w:val="superscript"/>
              </w:rPr>
            </w:pPr>
            <w:r>
              <w:rPr>
                <w:rFonts w:ascii="Swis721 Th BT" w:hAnsi="Swis721 Th BT" w:cs="Arial"/>
                <w:color w:val="404040"/>
                <w:sz w:val="23"/>
                <w:szCs w:val="23"/>
              </w:rPr>
              <w:t xml:space="preserve"> Analgésico, anti-inflamatório e antipirético.</w:t>
            </w:r>
          </w:p>
        </w:tc>
      </w:tr>
      <w:tr w:rsidR="00CD65C2" w14:paraId="56C8949E" w14:textId="77777777">
        <w:trPr>
          <w:cantSplit/>
          <w:trHeight w:val="60"/>
        </w:trPr>
        <w:tc>
          <w:tcPr>
            <w:tcW w:w="1936" w:type="dxa"/>
            <w:tcBorders>
              <w:top w:val="single" w:sz="4" w:space="0" w:color="auto"/>
              <w:left w:val="single" w:sz="4" w:space="0" w:color="auto"/>
              <w:bottom w:val="single" w:sz="4" w:space="0" w:color="auto"/>
              <w:right w:val="single" w:sz="4" w:space="0" w:color="auto"/>
            </w:tcBorders>
            <w:vAlign w:val="center"/>
          </w:tcPr>
          <w:p w14:paraId="1BED4DB9" w14:textId="77777777" w:rsidR="00CD65C2" w:rsidRDefault="00FA41FC">
            <w:pPr>
              <w:jc w:val="center"/>
              <w:rPr>
                <w:rFonts w:ascii="Swis721 Th BT" w:hAnsi="Swis721 Th BT" w:cs="Arial"/>
                <w:b/>
                <w:color w:val="404040"/>
                <w:sz w:val="23"/>
                <w:szCs w:val="23"/>
              </w:rPr>
            </w:pPr>
            <w:r>
              <w:rPr>
                <w:rFonts w:ascii="Swis721 Th BT" w:hAnsi="Swis721 Th BT" w:cs="Arial"/>
                <w:b/>
                <w:color w:val="404040"/>
                <w:sz w:val="23"/>
                <w:szCs w:val="23"/>
              </w:rPr>
              <w:t>Óleo de borage</w:t>
            </w:r>
          </w:p>
        </w:tc>
        <w:tc>
          <w:tcPr>
            <w:tcW w:w="2564" w:type="dxa"/>
            <w:tcBorders>
              <w:top w:val="single" w:sz="4" w:space="0" w:color="auto"/>
              <w:left w:val="single" w:sz="4" w:space="0" w:color="auto"/>
              <w:bottom w:val="single" w:sz="4" w:space="0" w:color="auto"/>
              <w:right w:val="single" w:sz="4" w:space="0" w:color="auto"/>
            </w:tcBorders>
            <w:vAlign w:val="center"/>
          </w:tcPr>
          <w:p w14:paraId="79CB8154" w14:textId="77777777" w:rsidR="00CD65C2" w:rsidRDefault="00FA41FC">
            <w:pPr>
              <w:jc w:val="both"/>
              <w:rPr>
                <w:rFonts w:ascii="Swis721 Th BT" w:hAnsi="Swis721 Th BT" w:cs="Arial"/>
                <w:color w:val="404040"/>
                <w:sz w:val="23"/>
                <w:szCs w:val="23"/>
              </w:rPr>
            </w:pPr>
            <w:r>
              <w:rPr>
                <w:rFonts w:ascii="Swis721 Th BT" w:hAnsi="Swis721 Th BT" w:cs="Arial"/>
                <w:color w:val="404040"/>
                <w:sz w:val="23"/>
                <w:szCs w:val="23"/>
              </w:rPr>
              <w:t xml:space="preserve"> 1 g a 2 g ao dia</w:t>
            </w:r>
            <w:r>
              <w:rPr>
                <w:rFonts w:ascii="Swis721 Th BT" w:hAnsi="Swis721 Th BT" w:cs="Arial"/>
                <w:color w:val="404040"/>
                <w:sz w:val="23"/>
                <w:szCs w:val="23"/>
                <w:vertAlign w:val="superscript"/>
              </w:rPr>
              <w:t>)</w:t>
            </w:r>
            <w:r>
              <w:rPr>
                <w:rFonts w:ascii="Swis721 Th BT" w:hAnsi="Swis721 Th BT" w:cs="Arial"/>
                <w:color w:val="404040"/>
                <w:sz w:val="23"/>
                <w:szCs w:val="23"/>
              </w:rPr>
              <w:t>.</w:t>
            </w:r>
          </w:p>
        </w:tc>
        <w:tc>
          <w:tcPr>
            <w:tcW w:w="1800" w:type="dxa"/>
            <w:tcBorders>
              <w:top w:val="single" w:sz="4" w:space="0" w:color="auto"/>
              <w:left w:val="single" w:sz="4" w:space="0" w:color="auto"/>
              <w:bottom w:val="single" w:sz="4" w:space="0" w:color="auto"/>
              <w:right w:val="single" w:sz="4" w:space="0" w:color="auto"/>
            </w:tcBorders>
            <w:vAlign w:val="center"/>
          </w:tcPr>
          <w:p w14:paraId="0F2D6C87" w14:textId="77777777" w:rsidR="00CD65C2" w:rsidRDefault="00FA41FC">
            <w:pPr>
              <w:jc w:val="center"/>
              <w:rPr>
                <w:rFonts w:ascii="Swis721 Th BT" w:hAnsi="Swis721 Th BT" w:cs="Arial"/>
                <w:color w:val="404040"/>
                <w:sz w:val="23"/>
                <w:szCs w:val="23"/>
              </w:rPr>
            </w:pPr>
            <w:r>
              <w:rPr>
                <w:rFonts w:ascii="Swis721 Th BT" w:hAnsi="Swis721 Th BT" w:cs="Arial"/>
                <w:color w:val="404040"/>
                <w:sz w:val="23"/>
                <w:szCs w:val="23"/>
              </w:rPr>
              <w:t>______</w:t>
            </w:r>
          </w:p>
        </w:tc>
        <w:tc>
          <w:tcPr>
            <w:tcW w:w="4320" w:type="dxa"/>
            <w:tcBorders>
              <w:top w:val="single" w:sz="4" w:space="0" w:color="auto"/>
              <w:left w:val="single" w:sz="4" w:space="0" w:color="auto"/>
              <w:bottom w:val="single" w:sz="4" w:space="0" w:color="auto"/>
              <w:right w:val="single" w:sz="4" w:space="0" w:color="auto"/>
            </w:tcBorders>
            <w:vAlign w:val="center"/>
          </w:tcPr>
          <w:p w14:paraId="5CA93801" w14:textId="77777777" w:rsidR="00CD65C2" w:rsidRDefault="00FA41FC">
            <w:pPr>
              <w:numPr>
                <w:ilvl w:val="0"/>
                <w:numId w:val="18"/>
              </w:numPr>
              <w:tabs>
                <w:tab w:val="clear" w:pos="357"/>
                <w:tab w:val="left" w:pos="110"/>
              </w:tabs>
              <w:spacing w:after="0" w:line="240" w:lineRule="auto"/>
              <w:ind w:left="110" w:hanging="110"/>
              <w:rPr>
                <w:rFonts w:ascii="Swis721 Th BT" w:hAnsi="Swis721 Th BT" w:cs="Arial"/>
                <w:color w:val="404040"/>
                <w:sz w:val="23"/>
                <w:szCs w:val="23"/>
                <w:vertAlign w:val="superscript"/>
              </w:rPr>
            </w:pPr>
            <w:r>
              <w:rPr>
                <w:rFonts w:ascii="Swis721 Th BT" w:hAnsi="Swis721 Th BT" w:cs="Arial"/>
                <w:color w:val="404040"/>
                <w:sz w:val="23"/>
                <w:szCs w:val="23"/>
              </w:rPr>
              <w:t xml:space="preserve"> Contém ácido gama-linoleico e ácido linoleico, constituintes das membranas dos tecidos e precursores das prostaglandinas;</w:t>
            </w:r>
          </w:p>
          <w:p w14:paraId="62D66AB5" w14:textId="77777777" w:rsidR="00CD65C2" w:rsidRDefault="00FA41FC">
            <w:pPr>
              <w:numPr>
                <w:ilvl w:val="0"/>
                <w:numId w:val="18"/>
              </w:numPr>
              <w:tabs>
                <w:tab w:val="clear" w:pos="357"/>
                <w:tab w:val="left" w:pos="110"/>
              </w:tabs>
              <w:spacing w:after="0" w:line="240" w:lineRule="auto"/>
              <w:ind w:left="110" w:hanging="110"/>
              <w:rPr>
                <w:rFonts w:ascii="Swis721 Th BT" w:hAnsi="Swis721 Th BT" w:cs="Arial"/>
                <w:color w:val="404040"/>
                <w:sz w:val="23"/>
                <w:szCs w:val="23"/>
                <w:vertAlign w:val="superscript"/>
              </w:rPr>
            </w:pPr>
            <w:r>
              <w:rPr>
                <w:rFonts w:ascii="Swis721 Th BT" w:hAnsi="Swis721 Th BT" w:cs="Arial"/>
                <w:color w:val="404040"/>
                <w:sz w:val="23"/>
                <w:szCs w:val="23"/>
              </w:rPr>
              <w:t xml:space="preserve"> Indicado no tratamento de dismenorreia, dermatite atópica, esclerose múltipla e tensão pré-menstrual.</w:t>
            </w:r>
          </w:p>
        </w:tc>
      </w:tr>
    </w:tbl>
    <w:p w14:paraId="67FA5CB2" w14:textId="77777777" w:rsidR="00CD65C2" w:rsidRDefault="00FA41FC">
      <w:pPr>
        <w:pStyle w:val="SemEspaamento"/>
        <w:rPr>
          <w:rFonts w:ascii="Swis721 Th BT" w:hAnsi="Swis721 Th BT" w:cs="Calibri"/>
          <w:bCs/>
          <w:color w:val="404040"/>
          <w:sz w:val="23"/>
          <w:szCs w:val="23"/>
          <w:lang w:val="en-US"/>
        </w:rPr>
      </w:pPr>
      <w:r>
        <w:rPr>
          <w:rFonts w:ascii="Swis721 Th BT" w:hAnsi="Swis721 Th BT" w:cs="Calibri"/>
          <w:bCs/>
          <w:color w:val="404040"/>
          <w:sz w:val="23"/>
          <w:szCs w:val="23"/>
          <w:lang w:val="en-US"/>
        </w:rPr>
        <w:t xml:space="preserve">Martindale, </w:t>
      </w:r>
      <w:r>
        <w:rPr>
          <w:rFonts w:ascii="Swis721 Th BT" w:hAnsi="Swis721 Th BT" w:cs="Calibri"/>
          <w:b/>
          <w:bCs/>
          <w:color w:val="404040"/>
          <w:sz w:val="23"/>
          <w:szCs w:val="23"/>
          <w:lang w:val="en-US"/>
        </w:rPr>
        <w:t>The complete drug reference</w:t>
      </w:r>
      <w:r>
        <w:rPr>
          <w:rFonts w:ascii="Swis721 Th BT" w:hAnsi="Swis721 Th BT" w:cs="Calibri"/>
          <w:bCs/>
          <w:color w:val="404040"/>
          <w:sz w:val="23"/>
          <w:szCs w:val="23"/>
          <w:lang w:val="en-US"/>
        </w:rPr>
        <w:t>, 34</w:t>
      </w:r>
      <w:r>
        <w:rPr>
          <w:rFonts w:ascii="Swis721 Th BT" w:hAnsi="Swis721 Th BT" w:cs="Calibri"/>
          <w:bCs/>
          <w:color w:val="404040"/>
          <w:sz w:val="23"/>
          <w:szCs w:val="23"/>
          <w:vertAlign w:val="superscript"/>
          <w:lang w:val="en-US"/>
        </w:rPr>
        <w:t>th</w:t>
      </w:r>
      <w:r>
        <w:rPr>
          <w:rFonts w:ascii="Swis721 Th BT" w:hAnsi="Swis721 Th BT" w:cs="Calibri"/>
          <w:bCs/>
          <w:color w:val="404040"/>
          <w:sz w:val="23"/>
          <w:szCs w:val="23"/>
          <w:lang w:val="en-US"/>
        </w:rPr>
        <w:t xml:space="preserve"> edition.</w:t>
      </w:r>
    </w:p>
    <w:p w14:paraId="0AC2F6B4" w14:textId="77777777" w:rsidR="00CD65C2" w:rsidRDefault="00FA41FC">
      <w:pPr>
        <w:pStyle w:val="SemEspaamento"/>
      </w:pPr>
      <w:r>
        <w:rPr>
          <w:rFonts w:ascii="Swis721 Th BT" w:hAnsi="Swis721 Th BT" w:cs="Calibri"/>
          <w:color w:val="404040"/>
          <w:sz w:val="23"/>
          <w:szCs w:val="23"/>
        </w:rPr>
        <w:t xml:space="preserve">Korolkovas, A. </w:t>
      </w:r>
      <w:r>
        <w:rPr>
          <w:rFonts w:ascii="Swis721 Th BT" w:hAnsi="Swis721 Th BT" w:cs="Calibri"/>
          <w:b/>
          <w:bCs/>
          <w:color w:val="404040"/>
          <w:sz w:val="23"/>
          <w:szCs w:val="23"/>
        </w:rPr>
        <w:t>Dicionário Terapêutico Guanabara</w:t>
      </w:r>
      <w:r>
        <w:rPr>
          <w:rFonts w:ascii="Swis721 Th BT" w:hAnsi="Swis721 Th BT" w:cs="Calibri"/>
          <w:color w:val="404040"/>
          <w:sz w:val="23"/>
          <w:szCs w:val="23"/>
        </w:rPr>
        <w:t>. Edição 2005/2006.</w:t>
      </w:r>
    </w:p>
    <w:p w14:paraId="747F094A" w14:textId="77777777" w:rsidR="00CD65C2" w:rsidRDefault="00CD65C2">
      <w:pPr>
        <w:pStyle w:val="SemEspaamento"/>
      </w:pPr>
    </w:p>
    <w:p w14:paraId="48945B09" w14:textId="77777777" w:rsidR="00CD65C2" w:rsidRDefault="00CD65C2">
      <w:pPr>
        <w:pStyle w:val="SemEspaamento"/>
      </w:pPr>
    </w:p>
    <w:p w14:paraId="7E754B8C" w14:textId="77777777" w:rsidR="00CD65C2" w:rsidRDefault="00CD65C2">
      <w:pPr>
        <w:pStyle w:val="SemEspaamento"/>
      </w:pPr>
    </w:p>
    <w:p w14:paraId="74E02D8C" w14:textId="77777777" w:rsidR="00CD65C2" w:rsidRDefault="00CD65C2">
      <w:pPr>
        <w:pStyle w:val="SemEspaamento"/>
      </w:pPr>
    </w:p>
    <w:p w14:paraId="57403F15" w14:textId="77777777" w:rsidR="00CD65C2" w:rsidRDefault="00CD65C2">
      <w:pPr>
        <w:pStyle w:val="SemEspaamento"/>
      </w:pPr>
    </w:p>
    <w:p w14:paraId="56C0DFC5" w14:textId="77777777" w:rsidR="00CD65C2" w:rsidRDefault="00CD65C2">
      <w:pPr>
        <w:pStyle w:val="SemEspaamento"/>
      </w:pPr>
    </w:p>
    <w:p w14:paraId="40556BEC" w14:textId="77777777" w:rsidR="00CD65C2" w:rsidRDefault="00CD65C2">
      <w:pPr>
        <w:pStyle w:val="SemEspaamento"/>
      </w:pPr>
    </w:p>
    <w:p w14:paraId="281A1108" w14:textId="77777777" w:rsidR="00CD65C2" w:rsidRDefault="00CD65C2">
      <w:pPr>
        <w:pStyle w:val="SemEspaamento"/>
      </w:pPr>
    </w:p>
    <w:p w14:paraId="0B0C20A6" w14:textId="77777777" w:rsidR="00CD65C2" w:rsidRDefault="00CD65C2">
      <w:pPr>
        <w:pStyle w:val="SemEspaamento"/>
      </w:pPr>
    </w:p>
    <w:p w14:paraId="6B4D3161" w14:textId="77777777" w:rsidR="00CD65C2" w:rsidRDefault="00CD65C2">
      <w:pPr>
        <w:pStyle w:val="SemEspaamento"/>
      </w:pPr>
    </w:p>
    <w:p w14:paraId="0B6C5578" w14:textId="77777777" w:rsidR="00CD65C2" w:rsidRDefault="00FA41FC">
      <w:pPr>
        <w:rPr>
          <w:lang w:eastAsia="pt-BR"/>
        </w:rPr>
      </w:pPr>
      <w:r>
        <w:rPr>
          <w:noProof/>
          <w:lang w:eastAsia="pt-BR"/>
        </w:rPr>
        <w:drawing>
          <wp:anchor distT="0" distB="0" distL="114300" distR="114300" simplePos="0" relativeHeight="251710464" behindDoc="0" locked="0" layoutInCell="1" allowOverlap="1">
            <wp:simplePos x="0" y="0"/>
            <wp:positionH relativeFrom="page">
              <wp:posOffset>-120015</wp:posOffset>
            </wp:positionH>
            <wp:positionV relativeFrom="paragraph">
              <wp:posOffset>-895985</wp:posOffset>
            </wp:positionV>
            <wp:extent cx="12066905" cy="7191375"/>
            <wp:effectExtent l="0" t="0" r="0" b="0"/>
            <wp:wrapNone/>
            <wp:docPr id="197" name="Imagem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Imagem 197"/>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66722" cy="7191375"/>
                    </a:xfrm>
                    <a:prstGeom prst="rect">
                      <a:avLst/>
                    </a:prstGeom>
                    <a:noFill/>
                    <a:ln>
                      <a:noFill/>
                    </a:ln>
                  </pic:spPr>
                </pic:pic>
              </a:graphicData>
            </a:graphic>
          </wp:anchor>
        </w:drawing>
      </w:r>
    </w:p>
    <w:p w14:paraId="5617A08D" w14:textId="77777777" w:rsidR="00CD65C2" w:rsidRDefault="00CD65C2">
      <w:pPr>
        <w:rPr>
          <w:lang w:eastAsia="pt-BR"/>
        </w:rPr>
      </w:pPr>
    </w:p>
    <w:p w14:paraId="637737C2" w14:textId="77777777" w:rsidR="00CD65C2" w:rsidRDefault="00CD65C2">
      <w:pPr>
        <w:rPr>
          <w:lang w:eastAsia="pt-BR"/>
        </w:rPr>
      </w:pPr>
    </w:p>
    <w:p w14:paraId="6FA2F4F3" w14:textId="77777777" w:rsidR="00CD65C2" w:rsidRDefault="00CD65C2">
      <w:pPr>
        <w:rPr>
          <w:lang w:eastAsia="pt-BR"/>
        </w:rPr>
      </w:pPr>
    </w:p>
    <w:p w14:paraId="599C088F" w14:textId="77777777" w:rsidR="00CD65C2" w:rsidRDefault="00CD65C2">
      <w:pPr>
        <w:rPr>
          <w:lang w:eastAsia="pt-BR"/>
        </w:rPr>
      </w:pPr>
    </w:p>
    <w:p w14:paraId="52014092" w14:textId="77777777" w:rsidR="00CD65C2" w:rsidRDefault="00CD65C2">
      <w:pPr>
        <w:rPr>
          <w:lang w:eastAsia="pt-BR"/>
        </w:rPr>
      </w:pPr>
    </w:p>
    <w:p w14:paraId="15170D17" w14:textId="77777777" w:rsidR="00CD65C2" w:rsidRDefault="00CD65C2">
      <w:pPr>
        <w:rPr>
          <w:lang w:eastAsia="pt-BR"/>
        </w:rPr>
      </w:pPr>
    </w:p>
    <w:p w14:paraId="305DDBFC" w14:textId="77777777" w:rsidR="00CD65C2" w:rsidRDefault="00CD65C2">
      <w:pPr>
        <w:rPr>
          <w:lang w:eastAsia="pt-BR"/>
        </w:rPr>
      </w:pPr>
    </w:p>
    <w:p w14:paraId="1BCD27F8" w14:textId="77777777" w:rsidR="00CD65C2" w:rsidRDefault="00CD65C2">
      <w:pPr>
        <w:rPr>
          <w:lang w:eastAsia="pt-BR"/>
        </w:rPr>
      </w:pPr>
    </w:p>
    <w:p w14:paraId="28830B45" w14:textId="77777777" w:rsidR="00CD65C2" w:rsidRDefault="00CD65C2">
      <w:pPr>
        <w:rPr>
          <w:lang w:eastAsia="pt-BR"/>
        </w:rPr>
      </w:pPr>
    </w:p>
    <w:p w14:paraId="4654160E" w14:textId="77777777" w:rsidR="00CD65C2" w:rsidRDefault="00CD65C2">
      <w:pPr>
        <w:rPr>
          <w:lang w:eastAsia="pt-BR"/>
        </w:rPr>
      </w:pPr>
    </w:p>
    <w:p w14:paraId="22DEF593" w14:textId="77777777" w:rsidR="00CD65C2" w:rsidRDefault="00CD65C2">
      <w:pPr>
        <w:rPr>
          <w:lang w:eastAsia="pt-BR"/>
        </w:rPr>
      </w:pPr>
    </w:p>
    <w:p w14:paraId="5E7FBDC0" w14:textId="77777777" w:rsidR="00CD65C2" w:rsidRDefault="00CD65C2">
      <w:pPr>
        <w:rPr>
          <w:lang w:eastAsia="pt-BR"/>
        </w:rPr>
      </w:pPr>
    </w:p>
    <w:p w14:paraId="659F552D" w14:textId="77777777" w:rsidR="00CD65C2" w:rsidRDefault="00CD65C2">
      <w:pPr>
        <w:rPr>
          <w:lang w:eastAsia="pt-BR"/>
        </w:rPr>
      </w:pPr>
    </w:p>
    <w:p w14:paraId="2C9384CD" w14:textId="77777777" w:rsidR="00CD65C2" w:rsidRDefault="00CD65C2">
      <w:pPr>
        <w:rPr>
          <w:lang w:eastAsia="pt-BR"/>
        </w:rPr>
      </w:pPr>
    </w:p>
    <w:p w14:paraId="325A8411" w14:textId="77777777" w:rsidR="00CD65C2" w:rsidRDefault="00CD65C2">
      <w:pPr>
        <w:rPr>
          <w:lang w:eastAsia="pt-BR"/>
        </w:rPr>
      </w:pPr>
    </w:p>
    <w:p w14:paraId="5589409D" w14:textId="77777777" w:rsidR="00CD65C2" w:rsidRDefault="00CD65C2">
      <w:pPr>
        <w:rPr>
          <w:lang w:eastAsia="pt-BR"/>
        </w:rPr>
      </w:pPr>
    </w:p>
    <w:p w14:paraId="0D80A8F8" w14:textId="77777777" w:rsidR="00CD65C2" w:rsidRDefault="00CD65C2">
      <w:pPr>
        <w:rPr>
          <w:lang w:eastAsia="pt-BR"/>
        </w:rPr>
      </w:pPr>
    </w:p>
    <w:p w14:paraId="1BDEF515" w14:textId="77777777" w:rsidR="00CD65C2" w:rsidRDefault="00CD65C2">
      <w:pPr>
        <w:rPr>
          <w:lang w:eastAsia="pt-BR"/>
        </w:rPr>
      </w:pPr>
    </w:p>
    <w:p w14:paraId="536CE8F1" w14:textId="77777777" w:rsidR="00CD65C2" w:rsidRDefault="00CD65C2">
      <w:pPr>
        <w:rPr>
          <w:lang w:eastAsia="pt-BR"/>
        </w:rPr>
      </w:pPr>
    </w:p>
    <w:p w14:paraId="143135E0" w14:textId="77777777" w:rsidR="00CD65C2" w:rsidRDefault="00CD65C2">
      <w:pPr>
        <w:rPr>
          <w:lang w:eastAsia="pt-BR"/>
        </w:rPr>
      </w:pPr>
    </w:p>
    <w:p w14:paraId="3EECA16D" w14:textId="77777777" w:rsidR="00CD65C2" w:rsidRDefault="00CD65C2">
      <w:pPr>
        <w:rPr>
          <w:lang w:eastAsia="pt-BR"/>
        </w:rPr>
      </w:pPr>
    </w:p>
    <w:p w14:paraId="16F99E47" w14:textId="77777777" w:rsidR="00CD65C2" w:rsidRDefault="00CD65C2"/>
    <w:p w14:paraId="0139CECE" w14:textId="77777777" w:rsidR="00CD65C2" w:rsidRDefault="00CD65C2">
      <w:pPr>
        <w:pStyle w:val="Corpo"/>
        <w:rPr>
          <w:rFonts w:hint="eastAsia"/>
          <w:color w:val="404040" w:themeColor="text1" w:themeTint="BF"/>
        </w:rPr>
      </w:pPr>
    </w:p>
    <w:p w14:paraId="21BF737A" w14:textId="77777777" w:rsidR="00CD65C2" w:rsidRDefault="00CD65C2"/>
    <w:p w14:paraId="48BDE377" w14:textId="77777777" w:rsidR="00CD65C2" w:rsidRDefault="00FA41FC">
      <w:pPr>
        <w:pStyle w:val="Ttulo1"/>
        <w:jc w:val="center"/>
        <w:rPr>
          <w:rFonts w:hint="eastAsia"/>
        </w:rPr>
      </w:pPr>
      <w:bookmarkStart w:id="24" w:name="_Toc165537176"/>
      <w:r>
        <w:t>Síndrome do Ovário Policístico</w:t>
      </w:r>
      <w:bookmarkEnd w:id="24"/>
      <w:r>
        <w:t xml:space="preserve"> </w:t>
      </w:r>
    </w:p>
    <w:p w14:paraId="37CC30E6" w14:textId="77777777" w:rsidR="00CD65C2" w:rsidRDefault="00CD65C2">
      <w:pPr>
        <w:pStyle w:val="SemEspaamento"/>
      </w:pPr>
    </w:p>
    <w:p w14:paraId="2F7CAF7D" w14:textId="77777777" w:rsidR="00CD65C2" w:rsidRDefault="00CD65C2">
      <w:pPr>
        <w:pStyle w:val="SemEspaamento"/>
      </w:pPr>
    </w:p>
    <w:p w14:paraId="5D651045" w14:textId="77777777" w:rsidR="00CD65C2" w:rsidRDefault="00CD65C2">
      <w:pPr>
        <w:pStyle w:val="SemEspaamento"/>
      </w:pPr>
    </w:p>
    <w:p w14:paraId="092E1A4F" w14:textId="77777777" w:rsidR="00CD65C2" w:rsidRDefault="00FA41FC">
      <w:pPr>
        <w:pStyle w:val="Ttulo1"/>
        <w:jc w:val="center"/>
        <w:rPr>
          <w:rFonts w:hint="eastAsia"/>
        </w:rPr>
      </w:pPr>
      <w:bookmarkStart w:id="25" w:name="_Toc165537177"/>
      <w:r>
        <w:t>Vitamina D3</w:t>
      </w:r>
      <w:bookmarkEnd w:id="25"/>
      <w:r>
        <w:t xml:space="preserve"> </w:t>
      </w:r>
    </w:p>
    <w:p w14:paraId="48B40A1D" w14:textId="77777777" w:rsidR="00CD65C2" w:rsidRPr="00D1428E" w:rsidRDefault="00FA41FC">
      <w:pPr>
        <w:pStyle w:val="Corpo"/>
        <w:spacing w:after="120"/>
        <w:jc w:val="center"/>
        <w:rPr>
          <w:rFonts w:hint="eastAsia"/>
          <w:b/>
          <w:iCs/>
          <w:color w:val="0070C0"/>
          <w:sz w:val="40"/>
          <w:szCs w:val="22"/>
        </w:rPr>
      </w:pPr>
      <w:r w:rsidRPr="00D1428E">
        <w:rPr>
          <w:b/>
          <w:iCs/>
          <w:color w:val="0070C0"/>
          <w:sz w:val="40"/>
          <w:szCs w:val="22"/>
        </w:rPr>
        <w:t xml:space="preserve">Melhora a Capacidade Antioxidante e o Padrão Inflamatório </w:t>
      </w:r>
    </w:p>
    <w:p w14:paraId="3DF4C3F7" w14:textId="77777777" w:rsidR="00CD65C2" w:rsidRDefault="00FA41FC">
      <w:pPr>
        <w:pStyle w:val="Corpo"/>
        <w:spacing w:after="120"/>
        <w:rPr>
          <w:rFonts w:hint="eastAsia"/>
          <w:color w:val="404040" w:themeColor="text1" w:themeTint="BF"/>
          <w:sz w:val="24"/>
        </w:rPr>
      </w:pPr>
      <w:r>
        <w:rPr>
          <w:color w:val="404040" w:themeColor="text1" w:themeTint="BF"/>
          <w:sz w:val="24"/>
        </w:rPr>
        <w:t xml:space="preserve">Este estudo de revisão publicado no periódico internacional </w:t>
      </w:r>
      <w:r>
        <w:rPr>
          <w:i/>
          <w:iCs/>
          <w:color w:val="404040" w:themeColor="text1" w:themeTint="BF"/>
          <w:sz w:val="24"/>
        </w:rPr>
        <w:t xml:space="preserve">Hormone and Metabolic Research </w:t>
      </w:r>
      <w:r>
        <w:rPr>
          <w:color w:val="404040" w:themeColor="text1" w:themeTint="BF"/>
          <w:sz w:val="24"/>
        </w:rPr>
        <w:t xml:space="preserve">teve como objetivo avaliar os efeitos da suplementação da vitamina D nos biomarcadores da inflamação e do estresse oxidativo de mulheres com a síndrome dos ovários policísticos (SOPC).  </w:t>
      </w:r>
    </w:p>
    <w:p w14:paraId="720EB4DE"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03296" behindDoc="0" locked="0" layoutInCell="1" allowOverlap="1">
                <wp:simplePos x="0" y="0"/>
                <wp:positionH relativeFrom="margin">
                  <wp:posOffset>5715</wp:posOffset>
                </wp:positionH>
                <wp:positionV relativeFrom="paragraph">
                  <wp:posOffset>93980</wp:posOffset>
                </wp:positionV>
                <wp:extent cx="5724525" cy="838200"/>
                <wp:effectExtent l="0" t="0" r="28575" b="19050"/>
                <wp:wrapNone/>
                <wp:docPr id="59" name="Caixa de texto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838200"/>
                        </a:xfrm>
                        <a:prstGeom prst="rect">
                          <a:avLst/>
                        </a:prstGeom>
                        <a:solidFill>
                          <a:schemeClr val="bg1">
                            <a:lumMod val="100000"/>
                            <a:lumOff val="0"/>
                          </a:schemeClr>
                        </a:solidFill>
                        <a:ln w="9525">
                          <a:solidFill>
                            <a:srgbClr val="0070C0"/>
                          </a:solidFill>
                          <a:miter lim="800000"/>
                        </a:ln>
                      </wps:spPr>
                      <wps:txbx>
                        <w:txbxContent>
                          <w:p w14:paraId="4715D301" w14:textId="2DE1D030" w:rsidR="00FA41FC" w:rsidRDefault="00FA41FC">
                            <w:pPr>
                              <w:jc w:val="center"/>
                              <w:rPr>
                                <w:rFonts w:ascii="Swis721 Th BT" w:hAnsi="Swis721 Th BT"/>
                                <w:sz w:val="23"/>
                                <w:szCs w:val="23"/>
                              </w:rPr>
                            </w:pPr>
                            <w:r>
                              <w:rPr>
                                <w:rFonts w:ascii="Swis721 Th BT" w:hAnsi="Swis721 Th BT"/>
                                <w:sz w:val="23"/>
                                <w:szCs w:val="23"/>
                              </w:rPr>
                              <w:t>Foram realizadas pesquisas nos principais bancos de dados internacionais (Cochrane, library, Embase, PubMed e Web of Science). Essas pesquisas foram feitas para identificar estudos clínicos, randomizados e placebo-controlados. Ao todo, sete estudos se enquadravam nos critérios de avaliação.</w:t>
                            </w:r>
                          </w:p>
                          <w:p w14:paraId="2B4CA927"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59" o:spid="_x0000_s1054" type="#_x0000_t202" style="position:absolute;left:0;text-align:left;margin-left:.45pt;margin-top:7.4pt;width:450.75pt;height:66pt;z-index:2517032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" fillcolor="white [3212]" strokecolor="#0070c0">
                <v:textbox>
                  <w:txbxContent>
                    <w:p w14:paraId="4715D301" w14:textId="2DE1D030" w:rsidR="00FA41FC" w:rsidRDefault="00FA41FC">
                      <w:pPr>
                        <w:jc w:val="center"/>
                        <w:rPr>
                          <w:rFonts w:ascii="Swis721 Th BT" w:hAnsi="Swis721 Th BT"/>
                          <w:sz w:val="23"/>
                          <w:szCs w:val="23"/>
                        </w:rPr>
                      </w:pPr>
                      <w:r>
                        <w:rPr>
                          <w:rFonts w:ascii="Swis721 Th BT" w:hAnsi="Swis721 Th BT"/>
                          <w:sz w:val="23"/>
                          <w:szCs w:val="23"/>
                        </w:rPr>
                        <w:t>Foram realizadas pesquisas nos principais bancos de dados internacionais (Cochrane, library, Embase, PubMed e Web of Science). Essas pesquisas foram feitas para identificar estudos clínicos, randomizados e placebo-controlados. Ao todo, sete estudos se enquadravam nos critérios de avaliação.</w:t>
                      </w:r>
                    </w:p>
                    <w:p w14:paraId="2B4CA927"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37020433" w14:textId="77777777" w:rsidR="00CD65C2" w:rsidRDefault="00CD65C2">
      <w:pPr>
        <w:pStyle w:val="Corpo"/>
        <w:rPr>
          <w:rFonts w:hint="eastAsia"/>
          <w:color w:val="404040" w:themeColor="text1" w:themeTint="BF"/>
        </w:rPr>
      </w:pPr>
    </w:p>
    <w:p w14:paraId="6367F9DB" w14:textId="77777777" w:rsidR="00CD65C2" w:rsidRDefault="00CD65C2">
      <w:pPr>
        <w:pStyle w:val="Corpo"/>
        <w:rPr>
          <w:rFonts w:hint="eastAsia"/>
          <w:color w:val="404040" w:themeColor="text1" w:themeTint="BF"/>
        </w:rPr>
      </w:pPr>
    </w:p>
    <w:p w14:paraId="26E944E4" w14:textId="77777777" w:rsidR="00CD65C2" w:rsidRDefault="00CD65C2">
      <w:pPr>
        <w:pStyle w:val="Corpo"/>
        <w:rPr>
          <w:rFonts w:hint="eastAsia"/>
          <w:color w:val="404040" w:themeColor="text1" w:themeTint="BF"/>
        </w:rPr>
      </w:pPr>
    </w:p>
    <w:p w14:paraId="5E049BBE" w14:textId="77777777" w:rsidR="00CD65C2" w:rsidRDefault="00CD65C2">
      <w:pPr>
        <w:pStyle w:val="Corpo"/>
        <w:rPr>
          <w:rFonts w:hint="eastAsia"/>
          <w:color w:val="404040" w:themeColor="text1" w:themeTint="BF"/>
        </w:rPr>
      </w:pPr>
    </w:p>
    <w:p w14:paraId="71D7BBB6"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7C492056" w14:textId="77777777" w:rsidR="00CD65C2" w:rsidRDefault="00CD65C2">
      <w:pPr>
        <w:pStyle w:val="Corpo"/>
        <w:rPr>
          <w:rFonts w:hint="eastAsia"/>
          <w:color w:val="404040" w:themeColor="text1" w:themeTint="BF"/>
          <w:sz w:val="16"/>
          <w:szCs w:val="16"/>
        </w:rPr>
      </w:pPr>
    </w:p>
    <w:p w14:paraId="1C6A80C0" w14:textId="38C41B81" w:rsidR="00CD65C2" w:rsidRDefault="00FA41FC">
      <w:pPr>
        <w:pStyle w:val="Corpo"/>
        <w:numPr>
          <w:ilvl w:val="0"/>
          <w:numId w:val="19"/>
        </w:numPr>
        <w:spacing w:after="120"/>
        <w:rPr>
          <w:rFonts w:hint="eastAsia"/>
          <w:color w:val="404040" w:themeColor="text1" w:themeTint="BF"/>
          <w:sz w:val="24"/>
        </w:rPr>
      </w:pPr>
      <w:r>
        <w:rPr>
          <w:color w:val="404040" w:themeColor="text1" w:themeTint="BF"/>
          <w:sz w:val="24"/>
        </w:rPr>
        <w:t>As análises dos resultados mostraram que a suplementação de vitamina D em mulheres com SOPC reduziu de maneira significativa a proteína C reativa de alta sensibilidade (hs-PCR; média: -1,03 – intervalo de confiança [IC] de 95%: -1,58 a -0,49 – p&lt;0,001) e malondialdeído (média: -1,64 – IC de 95%: -2,26 a -1,02 – p &lt; 0,001);</w:t>
      </w:r>
    </w:p>
    <w:p w14:paraId="3CDA02D1" w14:textId="77777777" w:rsidR="00CD65C2" w:rsidRDefault="00FA41FC">
      <w:pPr>
        <w:pStyle w:val="Corpo"/>
        <w:numPr>
          <w:ilvl w:val="0"/>
          <w:numId w:val="19"/>
        </w:numPr>
        <w:spacing w:after="120"/>
        <w:rPr>
          <w:rFonts w:hint="eastAsia"/>
          <w:color w:val="404040" w:themeColor="text1" w:themeTint="BF"/>
          <w:sz w:val="24"/>
        </w:rPr>
      </w:pPr>
      <w:r>
        <w:rPr>
          <w:color w:val="404040" w:themeColor="text1" w:themeTint="BF"/>
          <w:sz w:val="24"/>
        </w:rPr>
        <w:t>Houve aumento significativo da capacidade antioxidante total nos pacientes tratados com vitamina D (média: +0,86 – IC de 95%: 0,08 a 1,64 – p = 0,03);</w:t>
      </w:r>
    </w:p>
    <w:p w14:paraId="12AAE731" w14:textId="77777777" w:rsidR="00CD65C2" w:rsidRDefault="00FA41FC">
      <w:pPr>
        <w:pStyle w:val="Corpo"/>
        <w:numPr>
          <w:ilvl w:val="0"/>
          <w:numId w:val="19"/>
        </w:numPr>
        <w:spacing w:after="120"/>
        <w:rPr>
          <w:rFonts w:hint="eastAsia"/>
          <w:color w:val="404040" w:themeColor="text1" w:themeTint="BF"/>
          <w:sz w:val="24"/>
        </w:rPr>
      </w:pPr>
      <w:r>
        <w:rPr>
          <w:color w:val="404040" w:themeColor="text1" w:themeTint="BF"/>
          <w:sz w:val="24"/>
        </w:rPr>
        <w:t>A suplementação de vitamina D não teve efeitos significativos nos níveis de óxido nítrico (NO) e de glutationa total (GSH).</w:t>
      </w:r>
    </w:p>
    <w:p w14:paraId="4173FF6B" w14:textId="77777777" w:rsidR="00CD65C2" w:rsidRDefault="00FA41FC">
      <w:pPr>
        <w:pStyle w:val="Corpo"/>
        <w:jc w:val="center"/>
        <w:rPr>
          <w:rFonts w:hint="eastAsia"/>
          <w:b/>
          <w:bCs/>
          <w:color w:val="404040" w:themeColor="text1" w:themeTint="BF"/>
        </w:rPr>
      </w:pPr>
      <w:r>
        <w:rPr>
          <w:b/>
          <w:bCs/>
          <w:color w:val="404040" w:themeColor="text1" w:themeTint="BF"/>
        </w:rPr>
        <w:t>Diferenças entre os grupos tratados com vitamina D ou placebo.</w:t>
      </w:r>
    </w:p>
    <w:tbl>
      <w:tblPr>
        <w:tblStyle w:val="Tabelacomgrade"/>
        <w:tblW w:w="0" w:type="auto"/>
        <w:tblLook w:val="04A0" w:firstRow="1" w:lastRow="0" w:firstColumn="1" w:lastColumn="0" w:noHBand="0" w:noVBand="1"/>
      </w:tblPr>
      <w:tblGrid>
        <w:gridCol w:w="1271"/>
        <w:gridCol w:w="4954"/>
        <w:gridCol w:w="1680"/>
        <w:gridCol w:w="1156"/>
      </w:tblGrid>
      <w:tr w:rsidR="00CD65C2" w14:paraId="0A90FB53" w14:textId="77777777">
        <w:tc>
          <w:tcPr>
            <w:tcW w:w="1271" w:type="dxa"/>
          </w:tcPr>
          <w:p w14:paraId="1A1A83B1" w14:textId="77777777" w:rsidR="00CD65C2" w:rsidRDefault="00FA41FC">
            <w:pPr>
              <w:pStyle w:val="Corpo"/>
              <w:jc w:val="center"/>
              <w:rPr>
                <w:rFonts w:hint="eastAsia"/>
                <w:b/>
                <w:bCs/>
                <w:color w:val="404040" w:themeColor="text1" w:themeTint="BF"/>
                <w:sz w:val="20"/>
                <w:szCs w:val="20"/>
              </w:rPr>
            </w:pPr>
            <w:r>
              <w:rPr>
                <w:b/>
                <w:bCs/>
                <w:color w:val="404040" w:themeColor="text1" w:themeTint="BF"/>
                <w:sz w:val="20"/>
                <w:szCs w:val="20"/>
              </w:rPr>
              <w:t>Parâmetros</w:t>
            </w:r>
          </w:p>
        </w:tc>
        <w:tc>
          <w:tcPr>
            <w:tcW w:w="4954" w:type="dxa"/>
          </w:tcPr>
          <w:p w14:paraId="063ACC49" w14:textId="77777777" w:rsidR="00CD65C2" w:rsidRDefault="00CD65C2">
            <w:pPr>
              <w:pStyle w:val="Corpo"/>
              <w:jc w:val="center"/>
              <w:rPr>
                <w:rFonts w:hint="eastAsia"/>
                <w:color w:val="404040" w:themeColor="text1" w:themeTint="BF"/>
                <w:sz w:val="20"/>
                <w:szCs w:val="20"/>
              </w:rPr>
            </w:pPr>
          </w:p>
        </w:tc>
        <w:tc>
          <w:tcPr>
            <w:tcW w:w="1680" w:type="dxa"/>
          </w:tcPr>
          <w:p w14:paraId="18BBBBBA" w14:textId="77777777" w:rsidR="00CD65C2" w:rsidRDefault="00FA41FC">
            <w:pPr>
              <w:pStyle w:val="Corpo"/>
              <w:jc w:val="center"/>
              <w:rPr>
                <w:rFonts w:hint="eastAsia"/>
                <w:color w:val="404040" w:themeColor="text1" w:themeTint="BF"/>
                <w:sz w:val="20"/>
                <w:szCs w:val="20"/>
              </w:rPr>
            </w:pPr>
            <w:r>
              <w:rPr>
                <w:color w:val="404040" w:themeColor="text1" w:themeTint="BF"/>
                <w:sz w:val="20"/>
                <w:szCs w:val="20"/>
              </w:rPr>
              <w:t>Diferença Média</w:t>
            </w:r>
          </w:p>
        </w:tc>
        <w:tc>
          <w:tcPr>
            <w:tcW w:w="1156" w:type="dxa"/>
          </w:tcPr>
          <w:p w14:paraId="751D92AD" w14:textId="77777777" w:rsidR="00CD65C2" w:rsidRDefault="00FA41FC">
            <w:pPr>
              <w:pStyle w:val="Corpo"/>
              <w:jc w:val="center"/>
              <w:rPr>
                <w:rFonts w:hint="eastAsia"/>
                <w:color w:val="404040" w:themeColor="text1" w:themeTint="BF"/>
                <w:sz w:val="20"/>
                <w:szCs w:val="20"/>
              </w:rPr>
            </w:pPr>
            <w:r>
              <w:rPr>
                <w:color w:val="404040" w:themeColor="text1" w:themeTint="BF"/>
                <w:sz w:val="20"/>
                <w:szCs w:val="20"/>
              </w:rPr>
              <w:t>Valores de p</w:t>
            </w:r>
          </w:p>
        </w:tc>
      </w:tr>
      <w:tr w:rsidR="00CD65C2" w14:paraId="0C6CD5EA" w14:textId="77777777">
        <w:tc>
          <w:tcPr>
            <w:tcW w:w="1271" w:type="dxa"/>
            <w:vMerge w:val="restart"/>
          </w:tcPr>
          <w:p w14:paraId="77065805" w14:textId="77777777" w:rsidR="00CD65C2" w:rsidRDefault="00CD65C2">
            <w:pPr>
              <w:pStyle w:val="Corpo"/>
              <w:jc w:val="center"/>
              <w:rPr>
                <w:rFonts w:hint="eastAsia"/>
                <w:b/>
                <w:bCs/>
                <w:color w:val="404040" w:themeColor="text1" w:themeTint="BF"/>
                <w:sz w:val="20"/>
                <w:szCs w:val="20"/>
              </w:rPr>
            </w:pPr>
          </w:p>
          <w:p w14:paraId="496BB2D9" w14:textId="77777777" w:rsidR="00CD65C2" w:rsidRDefault="00CD65C2">
            <w:pPr>
              <w:pStyle w:val="Corpo"/>
              <w:jc w:val="center"/>
              <w:rPr>
                <w:rFonts w:hint="eastAsia"/>
                <w:b/>
                <w:bCs/>
                <w:color w:val="404040" w:themeColor="text1" w:themeTint="BF"/>
                <w:sz w:val="20"/>
                <w:szCs w:val="20"/>
              </w:rPr>
            </w:pPr>
          </w:p>
          <w:p w14:paraId="43B91290" w14:textId="77777777" w:rsidR="00CD65C2" w:rsidRDefault="00CD65C2">
            <w:pPr>
              <w:pStyle w:val="Corpo"/>
              <w:jc w:val="center"/>
              <w:rPr>
                <w:rFonts w:hint="eastAsia"/>
                <w:b/>
                <w:bCs/>
                <w:color w:val="404040" w:themeColor="text1" w:themeTint="BF"/>
                <w:sz w:val="20"/>
                <w:szCs w:val="20"/>
              </w:rPr>
            </w:pPr>
          </w:p>
          <w:p w14:paraId="2E09EF16" w14:textId="77777777" w:rsidR="00CD65C2" w:rsidRDefault="00FA41FC">
            <w:pPr>
              <w:pStyle w:val="Corpo"/>
              <w:jc w:val="center"/>
              <w:rPr>
                <w:rFonts w:hint="eastAsia"/>
                <w:b/>
                <w:bCs/>
                <w:color w:val="404040" w:themeColor="text1" w:themeTint="BF"/>
                <w:sz w:val="20"/>
                <w:szCs w:val="20"/>
              </w:rPr>
            </w:pPr>
            <w:r>
              <w:rPr>
                <w:b/>
                <w:bCs/>
                <w:color w:val="404040" w:themeColor="text1" w:themeTint="BF"/>
                <w:sz w:val="20"/>
                <w:szCs w:val="20"/>
              </w:rPr>
              <w:t>Hs-PCR</w:t>
            </w:r>
          </w:p>
        </w:tc>
        <w:tc>
          <w:tcPr>
            <w:tcW w:w="4954" w:type="dxa"/>
            <w:vAlign w:val="center"/>
          </w:tcPr>
          <w:p w14:paraId="4E25F17D" w14:textId="77777777" w:rsidR="00CD65C2" w:rsidRDefault="00FA41FC">
            <w:pPr>
              <w:pStyle w:val="Corpo"/>
              <w:spacing w:after="0"/>
              <w:jc w:val="center"/>
              <w:rPr>
                <w:rFonts w:hint="eastAsia"/>
                <w:color w:val="404040" w:themeColor="text1" w:themeTint="BF"/>
                <w:sz w:val="20"/>
                <w:szCs w:val="20"/>
              </w:rPr>
            </w:pPr>
            <w:r>
              <w:rPr>
                <w:color w:val="404040" w:themeColor="text1" w:themeTint="BF"/>
                <w:sz w:val="20"/>
                <w:szCs w:val="20"/>
              </w:rPr>
              <w:t xml:space="preserve">Grupo tratamento (antes </w:t>
            </w:r>
            <w:r>
              <w:rPr>
                <w:i/>
                <w:color w:val="404040" w:themeColor="text1" w:themeTint="BF"/>
                <w:sz w:val="20"/>
                <w:szCs w:val="20"/>
              </w:rPr>
              <w:t>vs.</w:t>
            </w:r>
            <w:r>
              <w:rPr>
                <w:color w:val="404040" w:themeColor="text1" w:themeTint="BF"/>
                <w:sz w:val="20"/>
                <w:szCs w:val="20"/>
              </w:rPr>
              <w:t xml:space="preserve"> após o tratamento)</w:t>
            </w:r>
          </w:p>
        </w:tc>
        <w:tc>
          <w:tcPr>
            <w:tcW w:w="1680" w:type="dxa"/>
            <w:vAlign w:val="center"/>
          </w:tcPr>
          <w:p w14:paraId="20AE21BA" w14:textId="77777777" w:rsidR="00CD65C2" w:rsidRDefault="00FA41FC">
            <w:pPr>
              <w:pStyle w:val="Corpo"/>
              <w:spacing w:after="0"/>
              <w:jc w:val="center"/>
              <w:rPr>
                <w:rFonts w:hint="eastAsia"/>
                <w:color w:val="404040" w:themeColor="text1" w:themeTint="BF"/>
                <w:sz w:val="20"/>
                <w:szCs w:val="20"/>
              </w:rPr>
            </w:pPr>
            <w:r>
              <w:rPr>
                <w:color w:val="404040" w:themeColor="text1" w:themeTint="BF"/>
                <w:sz w:val="20"/>
                <w:szCs w:val="20"/>
              </w:rPr>
              <w:t>-0,30</w:t>
            </w:r>
          </w:p>
        </w:tc>
        <w:tc>
          <w:tcPr>
            <w:tcW w:w="1156" w:type="dxa"/>
            <w:vMerge w:val="restart"/>
            <w:vAlign w:val="center"/>
          </w:tcPr>
          <w:p w14:paraId="5350A3D4" w14:textId="77777777" w:rsidR="00CD65C2" w:rsidRDefault="00CD65C2">
            <w:pPr>
              <w:pStyle w:val="Corpo"/>
              <w:jc w:val="center"/>
              <w:rPr>
                <w:rFonts w:hint="eastAsia"/>
                <w:color w:val="404040" w:themeColor="text1" w:themeTint="BF"/>
                <w:sz w:val="20"/>
                <w:szCs w:val="20"/>
              </w:rPr>
            </w:pPr>
          </w:p>
          <w:p w14:paraId="57A9CBE3" w14:textId="77777777" w:rsidR="00CD65C2" w:rsidRDefault="00CD65C2">
            <w:pPr>
              <w:pStyle w:val="Corpo"/>
              <w:jc w:val="center"/>
              <w:rPr>
                <w:rFonts w:hint="eastAsia"/>
                <w:color w:val="404040" w:themeColor="text1" w:themeTint="BF"/>
                <w:sz w:val="20"/>
                <w:szCs w:val="20"/>
              </w:rPr>
            </w:pPr>
          </w:p>
          <w:p w14:paraId="27FFB56F" w14:textId="77777777" w:rsidR="00CD65C2" w:rsidRDefault="00CD65C2">
            <w:pPr>
              <w:pStyle w:val="Corpo"/>
              <w:jc w:val="center"/>
              <w:rPr>
                <w:rFonts w:hint="eastAsia"/>
                <w:color w:val="404040" w:themeColor="text1" w:themeTint="BF"/>
                <w:sz w:val="20"/>
                <w:szCs w:val="20"/>
              </w:rPr>
            </w:pPr>
          </w:p>
          <w:p w14:paraId="17E0215E" w14:textId="77777777" w:rsidR="00CD65C2" w:rsidRDefault="00FA41FC">
            <w:pPr>
              <w:pStyle w:val="Corpo"/>
              <w:jc w:val="center"/>
              <w:rPr>
                <w:rFonts w:hint="eastAsia"/>
                <w:color w:val="404040" w:themeColor="text1" w:themeTint="BF"/>
                <w:sz w:val="20"/>
                <w:szCs w:val="20"/>
              </w:rPr>
            </w:pPr>
            <w:r>
              <w:rPr>
                <w:color w:val="404040" w:themeColor="text1" w:themeTint="BF"/>
                <w:sz w:val="20"/>
                <w:szCs w:val="20"/>
              </w:rPr>
              <w:t>0,005</w:t>
            </w:r>
          </w:p>
        </w:tc>
      </w:tr>
      <w:tr w:rsidR="00CD65C2" w14:paraId="122AA80C" w14:textId="77777777">
        <w:tc>
          <w:tcPr>
            <w:tcW w:w="1271" w:type="dxa"/>
            <w:vMerge/>
          </w:tcPr>
          <w:p w14:paraId="46571F6A" w14:textId="77777777" w:rsidR="00CD65C2" w:rsidRDefault="00CD65C2">
            <w:pPr>
              <w:pStyle w:val="Corpo"/>
              <w:spacing w:line="276" w:lineRule="auto"/>
              <w:jc w:val="center"/>
              <w:rPr>
                <w:rFonts w:ascii="Calibri" w:hAnsi="Calibri" w:cs="Calibri"/>
                <w:color w:val="404040" w:themeColor="text1" w:themeTint="BF"/>
                <w:sz w:val="20"/>
                <w:szCs w:val="20"/>
              </w:rPr>
            </w:pPr>
          </w:p>
        </w:tc>
        <w:tc>
          <w:tcPr>
            <w:tcW w:w="4954" w:type="dxa"/>
            <w:vAlign w:val="center"/>
          </w:tcPr>
          <w:p w14:paraId="175D0232" w14:textId="77777777" w:rsidR="00CD65C2" w:rsidRDefault="00FA41FC">
            <w:pPr>
              <w:pStyle w:val="Corpo"/>
              <w:spacing w:after="0"/>
              <w:jc w:val="center"/>
              <w:rPr>
                <w:rFonts w:hint="eastAsia"/>
                <w:color w:val="404040" w:themeColor="text1" w:themeTint="BF"/>
                <w:sz w:val="20"/>
                <w:szCs w:val="20"/>
              </w:rPr>
            </w:pPr>
            <w:r>
              <w:rPr>
                <w:color w:val="404040" w:themeColor="text1" w:themeTint="BF"/>
                <w:sz w:val="20"/>
                <w:szCs w:val="20"/>
              </w:rPr>
              <w:t xml:space="preserve">Placebo (antes </w:t>
            </w:r>
            <w:r>
              <w:rPr>
                <w:i/>
                <w:color w:val="404040" w:themeColor="text1" w:themeTint="BF"/>
                <w:sz w:val="20"/>
                <w:szCs w:val="20"/>
              </w:rPr>
              <w:t>vs.</w:t>
            </w:r>
            <w:r>
              <w:rPr>
                <w:color w:val="404040" w:themeColor="text1" w:themeTint="BF"/>
                <w:sz w:val="20"/>
                <w:szCs w:val="20"/>
              </w:rPr>
              <w:t xml:space="preserve"> após o tratamento)</w:t>
            </w:r>
          </w:p>
        </w:tc>
        <w:tc>
          <w:tcPr>
            <w:tcW w:w="1680" w:type="dxa"/>
            <w:vAlign w:val="center"/>
          </w:tcPr>
          <w:p w14:paraId="662A0616" w14:textId="77777777" w:rsidR="00CD65C2" w:rsidRDefault="00FA41FC">
            <w:pPr>
              <w:pStyle w:val="Corpo"/>
              <w:spacing w:after="0"/>
              <w:jc w:val="center"/>
              <w:rPr>
                <w:rFonts w:hint="eastAsia"/>
                <w:color w:val="404040" w:themeColor="text1" w:themeTint="BF"/>
                <w:sz w:val="20"/>
                <w:szCs w:val="20"/>
              </w:rPr>
            </w:pPr>
            <w:r>
              <w:rPr>
                <w:color w:val="404040" w:themeColor="text1" w:themeTint="BF"/>
                <w:sz w:val="20"/>
                <w:szCs w:val="20"/>
              </w:rPr>
              <w:t>0,16</w:t>
            </w:r>
          </w:p>
        </w:tc>
        <w:tc>
          <w:tcPr>
            <w:tcW w:w="1156" w:type="dxa"/>
            <w:vMerge/>
            <w:vAlign w:val="center"/>
          </w:tcPr>
          <w:p w14:paraId="75387698" w14:textId="77777777" w:rsidR="00CD65C2" w:rsidRDefault="00CD65C2">
            <w:pPr>
              <w:pStyle w:val="Corpo"/>
              <w:jc w:val="center"/>
              <w:rPr>
                <w:rFonts w:hint="eastAsia"/>
                <w:color w:val="404040" w:themeColor="text1" w:themeTint="BF"/>
                <w:sz w:val="20"/>
                <w:szCs w:val="20"/>
              </w:rPr>
            </w:pPr>
          </w:p>
        </w:tc>
      </w:tr>
      <w:tr w:rsidR="00CD65C2" w14:paraId="4EF73E74" w14:textId="77777777">
        <w:tc>
          <w:tcPr>
            <w:tcW w:w="1271" w:type="dxa"/>
            <w:vMerge/>
          </w:tcPr>
          <w:p w14:paraId="097D8D89" w14:textId="77777777" w:rsidR="00CD65C2" w:rsidRDefault="00CD65C2">
            <w:pPr>
              <w:pStyle w:val="Corpo"/>
              <w:spacing w:line="276" w:lineRule="auto"/>
              <w:jc w:val="center"/>
              <w:rPr>
                <w:rFonts w:ascii="Calibri" w:hAnsi="Calibri" w:cs="Calibri"/>
                <w:color w:val="404040" w:themeColor="text1" w:themeTint="BF"/>
                <w:sz w:val="20"/>
                <w:szCs w:val="20"/>
              </w:rPr>
            </w:pPr>
          </w:p>
        </w:tc>
        <w:tc>
          <w:tcPr>
            <w:tcW w:w="4954" w:type="dxa"/>
            <w:vAlign w:val="center"/>
          </w:tcPr>
          <w:p w14:paraId="30AB6496" w14:textId="77777777" w:rsidR="00CD65C2" w:rsidRDefault="00FA41FC">
            <w:pPr>
              <w:pStyle w:val="Corpo"/>
              <w:spacing w:after="0"/>
              <w:jc w:val="center"/>
              <w:rPr>
                <w:rFonts w:hint="eastAsia"/>
                <w:color w:val="404040" w:themeColor="text1" w:themeTint="BF"/>
                <w:sz w:val="20"/>
                <w:szCs w:val="20"/>
              </w:rPr>
            </w:pPr>
            <w:r>
              <w:rPr>
                <w:color w:val="404040" w:themeColor="text1" w:themeTint="BF"/>
                <w:sz w:val="20"/>
                <w:szCs w:val="20"/>
              </w:rPr>
              <w:t xml:space="preserve">Alterações grupo tratamento </w:t>
            </w:r>
            <w:r>
              <w:rPr>
                <w:i/>
                <w:color w:val="404040" w:themeColor="text1" w:themeTint="BF"/>
                <w:sz w:val="20"/>
                <w:szCs w:val="20"/>
              </w:rPr>
              <w:t xml:space="preserve">vs. </w:t>
            </w:r>
            <w:r>
              <w:rPr>
                <w:color w:val="404040" w:themeColor="text1" w:themeTint="BF"/>
                <w:sz w:val="20"/>
                <w:szCs w:val="20"/>
              </w:rPr>
              <w:t>grupo placebo</w:t>
            </w:r>
          </w:p>
        </w:tc>
        <w:tc>
          <w:tcPr>
            <w:tcW w:w="1680" w:type="dxa"/>
            <w:vAlign w:val="center"/>
          </w:tcPr>
          <w:p w14:paraId="3A3EA197" w14:textId="77777777" w:rsidR="00CD65C2" w:rsidRDefault="00FA41FC">
            <w:pPr>
              <w:pStyle w:val="Corpo"/>
              <w:spacing w:after="0"/>
              <w:jc w:val="center"/>
              <w:rPr>
                <w:rFonts w:hint="eastAsia"/>
                <w:color w:val="404040" w:themeColor="text1" w:themeTint="BF"/>
                <w:sz w:val="20"/>
                <w:szCs w:val="20"/>
              </w:rPr>
            </w:pPr>
            <w:r>
              <w:rPr>
                <w:color w:val="404040" w:themeColor="text1" w:themeTint="BF"/>
                <w:sz w:val="20"/>
                <w:szCs w:val="20"/>
              </w:rPr>
              <w:t>-1,03</w:t>
            </w:r>
          </w:p>
        </w:tc>
        <w:tc>
          <w:tcPr>
            <w:tcW w:w="1156" w:type="dxa"/>
            <w:vMerge/>
            <w:vAlign w:val="center"/>
          </w:tcPr>
          <w:p w14:paraId="0FC9E231" w14:textId="77777777" w:rsidR="00CD65C2" w:rsidRDefault="00CD65C2">
            <w:pPr>
              <w:pStyle w:val="Corpo"/>
              <w:jc w:val="center"/>
              <w:rPr>
                <w:rFonts w:hint="eastAsia"/>
                <w:color w:val="404040" w:themeColor="text1" w:themeTint="BF"/>
                <w:sz w:val="20"/>
                <w:szCs w:val="20"/>
              </w:rPr>
            </w:pPr>
          </w:p>
        </w:tc>
      </w:tr>
      <w:tr w:rsidR="00CD65C2" w14:paraId="266AF2C3" w14:textId="77777777">
        <w:tc>
          <w:tcPr>
            <w:tcW w:w="1271" w:type="dxa"/>
            <w:vMerge w:val="restart"/>
          </w:tcPr>
          <w:p w14:paraId="7E23BB02" w14:textId="77777777" w:rsidR="00CD65C2" w:rsidRDefault="00CD65C2">
            <w:pPr>
              <w:pStyle w:val="Corpo"/>
              <w:jc w:val="center"/>
              <w:rPr>
                <w:rFonts w:hint="eastAsia"/>
                <w:color w:val="404040" w:themeColor="text1" w:themeTint="BF"/>
                <w:sz w:val="20"/>
                <w:szCs w:val="20"/>
              </w:rPr>
            </w:pPr>
          </w:p>
          <w:p w14:paraId="3BCA37E2" w14:textId="77777777" w:rsidR="00CD65C2" w:rsidRDefault="00FA41FC">
            <w:pPr>
              <w:pStyle w:val="Corpo"/>
              <w:jc w:val="center"/>
              <w:rPr>
                <w:rFonts w:hint="eastAsia"/>
                <w:b/>
                <w:bCs/>
                <w:color w:val="404040" w:themeColor="text1" w:themeTint="BF"/>
                <w:sz w:val="20"/>
                <w:szCs w:val="20"/>
              </w:rPr>
            </w:pPr>
            <w:r>
              <w:rPr>
                <w:b/>
                <w:bCs/>
                <w:color w:val="404040" w:themeColor="text1" w:themeTint="BF"/>
                <w:sz w:val="20"/>
                <w:szCs w:val="20"/>
              </w:rPr>
              <w:t>Capacidade Antioxidante Total</w:t>
            </w:r>
          </w:p>
        </w:tc>
        <w:tc>
          <w:tcPr>
            <w:tcW w:w="4954" w:type="dxa"/>
            <w:vAlign w:val="center"/>
          </w:tcPr>
          <w:p w14:paraId="57CEB231" w14:textId="77777777" w:rsidR="00CD65C2" w:rsidRDefault="00FA41FC">
            <w:pPr>
              <w:pStyle w:val="Corpo"/>
              <w:spacing w:after="0"/>
              <w:jc w:val="center"/>
              <w:rPr>
                <w:rFonts w:hint="eastAsia"/>
                <w:color w:val="404040" w:themeColor="text1" w:themeTint="BF"/>
                <w:sz w:val="20"/>
                <w:szCs w:val="20"/>
              </w:rPr>
            </w:pPr>
            <w:r>
              <w:rPr>
                <w:color w:val="404040" w:themeColor="text1" w:themeTint="BF"/>
                <w:sz w:val="20"/>
                <w:szCs w:val="20"/>
              </w:rPr>
              <w:t>Grupo tratamento (antes vs. após o tratamento)</w:t>
            </w:r>
          </w:p>
        </w:tc>
        <w:tc>
          <w:tcPr>
            <w:tcW w:w="1680" w:type="dxa"/>
            <w:vAlign w:val="center"/>
          </w:tcPr>
          <w:p w14:paraId="2F96DA84" w14:textId="77777777" w:rsidR="00CD65C2" w:rsidRDefault="00FA41FC">
            <w:pPr>
              <w:pStyle w:val="Corpo"/>
              <w:spacing w:after="0"/>
              <w:jc w:val="center"/>
              <w:rPr>
                <w:rFonts w:hint="eastAsia"/>
                <w:color w:val="404040" w:themeColor="text1" w:themeTint="BF"/>
                <w:sz w:val="20"/>
                <w:szCs w:val="20"/>
              </w:rPr>
            </w:pPr>
            <w:r>
              <w:rPr>
                <w:color w:val="404040" w:themeColor="text1" w:themeTint="BF"/>
                <w:sz w:val="20"/>
                <w:szCs w:val="20"/>
              </w:rPr>
              <w:t>0,31</w:t>
            </w:r>
          </w:p>
        </w:tc>
        <w:tc>
          <w:tcPr>
            <w:tcW w:w="1156" w:type="dxa"/>
            <w:vMerge w:val="restart"/>
            <w:vAlign w:val="center"/>
          </w:tcPr>
          <w:p w14:paraId="4949D631" w14:textId="77777777" w:rsidR="00CD65C2" w:rsidRDefault="00CD65C2">
            <w:pPr>
              <w:pStyle w:val="Corpo"/>
              <w:jc w:val="center"/>
              <w:rPr>
                <w:rFonts w:hint="eastAsia"/>
                <w:color w:val="404040" w:themeColor="text1" w:themeTint="BF"/>
                <w:sz w:val="20"/>
                <w:szCs w:val="20"/>
              </w:rPr>
            </w:pPr>
          </w:p>
          <w:p w14:paraId="30AAE048" w14:textId="77777777" w:rsidR="00CD65C2" w:rsidRDefault="00FA41FC">
            <w:pPr>
              <w:pStyle w:val="Corpo"/>
              <w:jc w:val="center"/>
              <w:rPr>
                <w:rFonts w:hint="eastAsia"/>
                <w:color w:val="404040" w:themeColor="text1" w:themeTint="BF"/>
                <w:sz w:val="20"/>
                <w:szCs w:val="20"/>
              </w:rPr>
            </w:pPr>
            <w:r>
              <w:rPr>
                <w:color w:val="404040" w:themeColor="text1" w:themeTint="BF"/>
                <w:sz w:val="20"/>
                <w:szCs w:val="20"/>
              </w:rPr>
              <w:t>&lt;0,001</w:t>
            </w:r>
          </w:p>
        </w:tc>
      </w:tr>
      <w:tr w:rsidR="00CD65C2" w14:paraId="5E1639A3" w14:textId="77777777">
        <w:tc>
          <w:tcPr>
            <w:tcW w:w="1271" w:type="dxa"/>
            <w:vMerge/>
          </w:tcPr>
          <w:p w14:paraId="6FEFFD0D" w14:textId="77777777" w:rsidR="00CD65C2" w:rsidRDefault="00CD65C2">
            <w:pPr>
              <w:pStyle w:val="Corpo"/>
              <w:jc w:val="center"/>
              <w:rPr>
                <w:rFonts w:hint="eastAsia"/>
                <w:color w:val="404040" w:themeColor="text1" w:themeTint="BF"/>
                <w:sz w:val="20"/>
                <w:szCs w:val="20"/>
              </w:rPr>
            </w:pPr>
          </w:p>
        </w:tc>
        <w:tc>
          <w:tcPr>
            <w:tcW w:w="4954" w:type="dxa"/>
            <w:vAlign w:val="center"/>
          </w:tcPr>
          <w:p w14:paraId="64CBD03C" w14:textId="77777777" w:rsidR="00CD65C2" w:rsidRDefault="00FA41FC">
            <w:pPr>
              <w:pStyle w:val="Corpo"/>
              <w:spacing w:after="0"/>
              <w:jc w:val="center"/>
              <w:rPr>
                <w:rFonts w:hint="eastAsia"/>
                <w:color w:val="404040" w:themeColor="text1" w:themeTint="BF"/>
                <w:sz w:val="20"/>
                <w:szCs w:val="20"/>
              </w:rPr>
            </w:pPr>
            <w:r>
              <w:rPr>
                <w:color w:val="404040" w:themeColor="text1" w:themeTint="BF"/>
                <w:sz w:val="20"/>
                <w:szCs w:val="20"/>
              </w:rPr>
              <w:t xml:space="preserve">Placebo (antes </w:t>
            </w:r>
            <w:r>
              <w:rPr>
                <w:i/>
                <w:color w:val="404040" w:themeColor="text1" w:themeTint="BF"/>
                <w:sz w:val="20"/>
                <w:szCs w:val="20"/>
              </w:rPr>
              <w:t>vs.</w:t>
            </w:r>
            <w:r>
              <w:rPr>
                <w:color w:val="404040" w:themeColor="text1" w:themeTint="BF"/>
                <w:sz w:val="20"/>
                <w:szCs w:val="20"/>
              </w:rPr>
              <w:t xml:space="preserve"> após o tratamento)</w:t>
            </w:r>
          </w:p>
        </w:tc>
        <w:tc>
          <w:tcPr>
            <w:tcW w:w="1680" w:type="dxa"/>
            <w:vAlign w:val="center"/>
          </w:tcPr>
          <w:p w14:paraId="7A007904" w14:textId="77777777" w:rsidR="00CD65C2" w:rsidRDefault="00FA41FC">
            <w:pPr>
              <w:pStyle w:val="Corpo"/>
              <w:spacing w:after="0"/>
              <w:jc w:val="center"/>
              <w:rPr>
                <w:rFonts w:hint="eastAsia"/>
                <w:color w:val="404040" w:themeColor="text1" w:themeTint="BF"/>
                <w:sz w:val="20"/>
                <w:szCs w:val="20"/>
              </w:rPr>
            </w:pPr>
            <w:r>
              <w:rPr>
                <w:color w:val="404040" w:themeColor="text1" w:themeTint="BF"/>
                <w:sz w:val="20"/>
                <w:szCs w:val="20"/>
              </w:rPr>
              <w:t>-0,13</w:t>
            </w:r>
          </w:p>
        </w:tc>
        <w:tc>
          <w:tcPr>
            <w:tcW w:w="1156" w:type="dxa"/>
            <w:vMerge/>
          </w:tcPr>
          <w:p w14:paraId="7F2F8BE1" w14:textId="77777777" w:rsidR="00CD65C2" w:rsidRDefault="00CD65C2">
            <w:pPr>
              <w:pStyle w:val="Corpo"/>
              <w:jc w:val="center"/>
              <w:rPr>
                <w:rFonts w:hint="eastAsia"/>
                <w:color w:val="404040" w:themeColor="text1" w:themeTint="BF"/>
                <w:sz w:val="20"/>
                <w:szCs w:val="20"/>
              </w:rPr>
            </w:pPr>
          </w:p>
        </w:tc>
      </w:tr>
      <w:tr w:rsidR="00CD65C2" w14:paraId="06160E20" w14:textId="77777777">
        <w:trPr>
          <w:trHeight w:val="395"/>
        </w:trPr>
        <w:tc>
          <w:tcPr>
            <w:tcW w:w="1271" w:type="dxa"/>
            <w:vMerge/>
          </w:tcPr>
          <w:p w14:paraId="15AE08A5" w14:textId="77777777" w:rsidR="00CD65C2" w:rsidRDefault="00CD65C2">
            <w:pPr>
              <w:pStyle w:val="Corpo"/>
              <w:jc w:val="center"/>
              <w:rPr>
                <w:rFonts w:hint="eastAsia"/>
                <w:color w:val="404040" w:themeColor="text1" w:themeTint="BF"/>
                <w:sz w:val="20"/>
                <w:szCs w:val="20"/>
              </w:rPr>
            </w:pPr>
          </w:p>
        </w:tc>
        <w:tc>
          <w:tcPr>
            <w:tcW w:w="4954" w:type="dxa"/>
            <w:vAlign w:val="center"/>
          </w:tcPr>
          <w:p w14:paraId="508E6108" w14:textId="77777777" w:rsidR="00CD65C2" w:rsidRDefault="00FA41FC">
            <w:pPr>
              <w:pStyle w:val="Corpo"/>
              <w:spacing w:after="0"/>
              <w:jc w:val="center"/>
              <w:rPr>
                <w:rFonts w:hint="eastAsia"/>
                <w:color w:val="404040" w:themeColor="text1" w:themeTint="BF"/>
                <w:sz w:val="20"/>
                <w:szCs w:val="20"/>
              </w:rPr>
            </w:pPr>
            <w:r>
              <w:rPr>
                <w:color w:val="404040" w:themeColor="text1" w:themeTint="BF"/>
                <w:sz w:val="20"/>
                <w:szCs w:val="20"/>
              </w:rPr>
              <w:t xml:space="preserve">Alterações grupo tratamento </w:t>
            </w:r>
            <w:r>
              <w:rPr>
                <w:i/>
                <w:color w:val="404040" w:themeColor="text1" w:themeTint="BF"/>
                <w:sz w:val="20"/>
                <w:szCs w:val="20"/>
              </w:rPr>
              <w:t>vs.</w:t>
            </w:r>
            <w:r>
              <w:rPr>
                <w:color w:val="404040" w:themeColor="text1" w:themeTint="BF"/>
                <w:sz w:val="20"/>
                <w:szCs w:val="20"/>
              </w:rPr>
              <w:t xml:space="preserve"> grupo placebo</w:t>
            </w:r>
          </w:p>
        </w:tc>
        <w:tc>
          <w:tcPr>
            <w:tcW w:w="1680" w:type="dxa"/>
            <w:vAlign w:val="center"/>
          </w:tcPr>
          <w:p w14:paraId="012D4780" w14:textId="77777777" w:rsidR="00CD65C2" w:rsidRDefault="00FA41FC">
            <w:pPr>
              <w:pStyle w:val="Corpo"/>
              <w:spacing w:after="0"/>
              <w:jc w:val="center"/>
              <w:rPr>
                <w:rFonts w:hint="eastAsia"/>
                <w:color w:val="404040" w:themeColor="text1" w:themeTint="BF"/>
                <w:sz w:val="20"/>
                <w:szCs w:val="20"/>
              </w:rPr>
            </w:pPr>
            <w:r>
              <w:rPr>
                <w:color w:val="404040" w:themeColor="text1" w:themeTint="BF"/>
                <w:sz w:val="20"/>
                <w:szCs w:val="20"/>
              </w:rPr>
              <w:t>0,86</w:t>
            </w:r>
          </w:p>
        </w:tc>
        <w:tc>
          <w:tcPr>
            <w:tcW w:w="1156" w:type="dxa"/>
            <w:vMerge/>
          </w:tcPr>
          <w:p w14:paraId="411CB9F0" w14:textId="77777777" w:rsidR="00CD65C2" w:rsidRDefault="00CD65C2">
            <w:pPr>
              <w:pStyle w:val="Corpo"/>
              <w:jc w:val="center"/>
              <w:rPr>
                <w:rFonts w:hint="eastAsia"/>
                <w:color w:val="404040" w:themeColor="text1" w:themeTint="BF"/>
                <w:sz w:val="20"/>
                <w:szCs w:val="20"/>
              </w:rPr>
            </w:pPr>
          </w:p>
        </w:tc>
      </w:tr>
    </w:tbl>
    <w:p w14:paraId="172889B7" w14:textId="77777777" w:rsidR="00CD65C2" w:rsidRDefault="00CD65C2">
      <w:pPr>
        <w:pStyle w:val="Corpo"/>
        <w:spacing w:after="120"/>
        <w:rPr>
          <w:rFonts w:hint="eastAsia"/>
          <w:color w:val="404040" w:themeColor="text1" w:themeTint="BF"/>
          <w:sz w:val="24"/>
        </w:rPr>
      </w:pPr>
    </w:p>
    <w:p w14:paraId="0937EBC7"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 xml:space="preserve">Conclusão: </w:t>
      </w:r>
    </w:p>
    <w:p w14:paraId="415CF0E8"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2592D64A" w14:textId="565FFCCD" w:rsidR="00CD65C2" w:rsidRDefault="00FA41FC">
      <w:pPr>
        <w:pStyle w:val="Corpo"/>
        <w:jc w:val="center"/>
        <w:rPr>
          <w:rFonts w:hint="eastAsia"/>
          <w:b/>
          <w:i/>
          <w:color w:val="404040" w:themeColor="text1" w:themeTint="BF"/>
        </w:rPr>
      </w:pPr>
      <w:r>
        <w:rPr>
          <w:b/>
          <w:i/>
          <w:color w:val="404040" w:themeColor="text1" w:themeTint="BF"/>
        </w:rPr>
        <w:t>Os resultados deste estudo de revisão demonstraram que a vitamina D apresenta resultados positivos nos níveis de hs-PCR, malondialdeído e na capacidade antioxidante total.</w:t>
      </w:r>
    </w:p>
    <w:p w14:paraId="0D339ED7" w14:textId="77777777" w:rsidR="00CD65C2" w:rsidRDefault="00CD65C2">
      <w:pPr>
        <w:pStyle w:val="Corpo"/>
        <w:rPr>
          <w:rFonts w:hint="eastAsia"/>
          <w:color w:val="404040" w:themeColor="text1" w:themeTint="BF"/>
        </w:rPr>
      </w:pPr>
    </w:p>
    <w:p w14:paraId="10615C4D" w14:textId="77777777" w:rsidR="00CD65C2" w:rsidRDefault="00FA41FC">
      <w:pPr>
        <w:pStyle w:val="Ttulo1"/>
        <w:jc w:val="center"/>
        <w:rPr>
          <w:rFonts w:hint="eastAsia"/>
        </w:rPr>
      </w:pPr>
      <w:bookmarkStart w:id="26" w:name="_Toc165537178"/>
      <w:r>
        <w:t>Formulário</w:t>
      </w:r>
      <w:bookmarkEnd w:id="26"/>
    </w:p>
    <w:p w14:paraId="021EA050" w14:textId="77777777" w:rsidR="00CD65C2" w:rsidRDefault="00CD65C2">
      <w:pPr>
        <w:pStyle w:val="Corpo"/>
        <w:rPr>
          <w:rFonts w:hint="eastAsia"/>
          <w:b/>
          <w:i/>
          <w:color w:val="404040" w:themeColor="text1" w:themeTint="BF"/>
        </w:rPr>
      </w:pPr>
    </w:p>
    <w:p w14:paraId="6BF8C239" w14:textId="77777777" w:rsidR="00CD65C2" w:rsidRDefault="00CD65C2">
      <w:pPr>
        <w:pStyle w:val="Corpo"/>
        <w:rPr>
          <w:rFonts w:hint="eastAsia"/>
          <w:b/>
          <w:i/>
          <w:color w:val="404040" w:themeColor="text1" w:themeTint="BF"/>
        </w:rPr>
      </w:pPr>
    </w:p>
    <w:p w14:paraId="41400882" w14:textId="77777777" w:rsidR="00CD65C2" w:rsidRDefault="00CD65C2">
      <w:pPr>
        <w:pStyle w:val="Corpo"/>
        <w:rPr>
          <w:rFonts w:hint="eastAsia"/>
          <w:b/>
          <w:i/>
          <w:color w:val="404040" w:themeColor="text1" w:themeTint="BF"/>
          <w:sz w:val="16"/>
          <w:szCs w:val="16"/>
        </w:rPr>
      </w:pPr>
    </w:p>
    <w:p w14:paraId="5093411C" w14:textId="77777777" w:rsidR="00CD65C2" w:rsidRDefault="00FA41FC">
      <w:pPr>
        <w:pStyle w:val="Titulo"/>
        <w:rPr>
          <w:rFonts w:hint="eastAsia"/>
          <w:b/>
          <w:i/>
          <w:color w:val="404040" w:themeColor="text1" w:themeTint="BF"/>
          <w:sz w:val="23"/>
          <w:szCs w:val="24"/>
        </w:rPr>
      </w:pPr>
      <w:r>
        <w:rPr>
          <w:b/>
          <w:i/>
          <w:color w:val="404040" w:themeColor="text1" w:themeTint="BF"/>
          <w:sz w:val="23"/>
          <w:szCs w:val="24"/>
        </w:rPr>
        <w:t>Uso de Vitamina D Melhora os Parâmetros Antioxidantes e Anti-Inflamatórios</w:t>
      </w:r>
    </w:p>
    <w:p w14:paraId="3C35BFDD" w14:textId="77777777" w:rsidR="00CD65C2" w:rsidRDefault="00CD65C2">
      <w:pPr>
        <w:pStyle w:val="Titulo"/>
        <w:rPr>
          <w:rFonts w:hint="eastAsia"/>
          <w:b/>
          <w:i/>
          <w:color w:val="404040" w:themeColor="text1" w:themeTint="BF"/>
          <w:sz w:val="10"/>
          <w:szCs w:val="10"/>
        </w:rPr>
      </w:pPr>
    </w:p>
    <w:p w14:paraId="750E6250" w14:textId="77777777" w:rsidR="00CD65C2" w:rsidRDefault="00CD65C2">
      <w:pPr>
        <w:pStyle w:val="Titulo"/>
        <w:rPr>
          <w:rFonts w:hint="eastAsia"/>
          <w:b/>
          <w:i/>
          <w:color w:val="404040" w:themeColor="text1" w:themeTint="BF"/>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4EA86EA7"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43DE9FE2" w14:textId="77777777" w:rsidR="00CD65C2" w:rsidRDefault="00FA41FC">
            <w:pPr>
              <w:pStyle w:val="Corpo"/>
              <w:jc w:val="center"/>
              <w:rPr>
                <w:rFonts w:hint="eastAsia"/>
                <w:b/>
                <w:color w:val="FFFFFF" w:themeColor="background1"/>
              </w:rPr>
            </w:pPr>
            <w:r>
              <w:rPr>
                <w:b/>
                <w:color w:val="FFFFFF" w:themeColor="background1"/>
                <w:sz w:val="22"/>
              </w:rPr>
              <w:t xml:space="preserve">Cápsulas de </w:t>
            </w:r>
            <w:r>
              <w:rPr>
                <w:b/>
                <w:iCs/>
                <w:color w:val="FFFFFF" w:themeColor="background1"/>
                <w:sz w:val="22"/>
              </w:rPr>
              <w:t>Vitamina D3</w:t>
            </w:r>
          </w:p>
        </w:tc>
      </w:tr>
      <w:tr w:rsidR="00CD65C2" w14:paraId="44942B07"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EA9D66F" w14:textId="77777777" w:rsidR="00CD65C2" w:rsidRDefault="00FA41FC">
            <w:pPr>
              <w:pStyle w:val="Corpo"/>
              <w:jc w:val="center"/>
              <w:rPr>
                <w:rFonts w:hint="eastAsia"/>
                <w:color w:val="404040" w:themeColor="text1" w:themeTint="BF"/>
              </w:rPr>
            </w:pPr>
            <w:r>
              <w:rPr>
                <w:color w:val="404040" w:themeColor="text1" w:themeTint="BF"/>
              </w:rPr>
              <w:t>Vitamina D3...................................1000 UI</w:t>
            </w:r>
          </w:p>
        </w:tc>
      </w:tr>
      <w:tr w:rsidR="00CD65C2" w14:paraId="50EDABF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343890F" w14:textId="3B72359D" w:rsidR="00CD65C2" w:rsidRDefault="00FA41FC">
            <w:pPr>
              <w:pStyle w:val="Corpo"/>
              <w:jc w:val="center"/>
              <w:rPr>
                <w:rFonts w:hint="eastAsia"/>
                <w:color w:val="404040" w:themeColor="text1" w:themeTint="BF"/>
              </w:rPr>
            </w:pPr>
            <w:r>
              <w:rPr>
                <w:color w:val="404040" w:themeColor="text1" w:themeTint="BF"/>
              </w:rPr>
              <w:t>Excipiente q.s.p. ........................1 Cápsula</w:t>
            </w:r>
          </w:p>
        </w:tc>
      </w:tr>
    </w:tbl>
    <w:p w14:paraId="48E9E577" w14:textId="77777777" w:rsidR="00CD65C2" w:rsidRDefault="00FA41FC">
      <w:pPr>
        <w:pStyle w:val="Corpo"/>
        <w:ind w:right="4818"/>
        <w:jc w:val="center"/>
        <w:rPr>
          <w:rFonts w:hint="eastAsia"/>
          <w:color w:val="404040" w:themeColor="text1" w:themeTint="BF"/>
          <w:sz w:val="22"/>
          <w:szCs w:val="22"/>
        </w:rPr>
      </w:pPr>
      <w:r>
        <w:rPr>
          <w:noProof/>
          <w:color w:val="404040" w:themeColor="text1" w:themeTint="BF"/>
          <w:lang w:eastAsia="pt-BR"/>
        </w:rPr>
        <mc:AlternateContent>
          <mc:Choice Requires="wps">
            <w:drawing>
              <wp:anchor distT="45720" distB="45720" distL="114300" distR="114300" simplePos="0" relativeHeight="251704320" behindDoc="0" locked="0" layoutInCell="1" allowOverlap="1">
                <wp:simplePos x="0" y="0"/>
                <wp:positionH relativeFrom="column">
                  <wp:posOffset>-3810</wp:posOffset>
                </wp:positionH>
                <wp:positionV relativeFrom="paragraph">
                  <wp:posOffset>601345</wp:posOffset>
                </wp:positionV>
                <wp:extent cx="5629275" cy="2533650"/>
                <wp:effectExtent l="0" t="0" r="9525"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2533650"/>
                        </a:xfrm>
                        <a:prstGeom prst="rect">
                          <a:avLst/>
                        </a:prstGeom>
                        <a:solidFill>
                          <a:schemeClr val="bg1">
                            <a:lumMod val="85000"/>
                          </a:schemeClr>
                        </a:solidFill>
                        <a:ln w="9525">
                          <a:noFill/>
                          <a:miter lim="800000"/>
                        </a:ln>
                      </wps:spPr>
                      <wps:txbx>
                        <w:txbxContent>
                          <w:p w14:paraId="1D723395" w14:textId="5355F8C7" w:rsidR="00FA41FC" w:rsidRDefault="00FA41FC">
                            <w:pPr>
                              <w:jc w:val="both"/>
                              <w:rPr>
                                <w:rFonts w:ascii="Swis721 Th BT" w:hAnsi="Swis721 Th BT"/>
                              </w:rPr>
                            </w:pPr>
                            <w:r>
                              <w:rPr>
                                <w:rFonts w:ascii="Swis721 Th BT" w:hAnsi="Swis721 Th BT"/>
                              </w:rPr>
                              <w:t xml:space="preserve">Um estudo conduzido por Sohaei </w:t>
                            </w:r>
                            <w:r>
                              <w:rPr>
                                <w:rFonts w:ascii="Swis721 Th BT" w:hAnsi="Swis721 Th BT"/>
                                <w:i/>
                              </w:rPr>
                              <w:t>et al</w:t>
                            </w:r>
                            <w:r>
                              <w:rPr>
                                <w:rFonts w:ascii="Swis721 Th BT" w:hAnsi="Swis721 Th BT"/>
                              </w:rPr>
                              <w:t xml:space="preserve">. (2019) avaliou os efeitos da suplementação de curcumina no controle glicêmico, no perfil lipídico e nos níveis séricos de proteína C reativa (hs-PCR) em mulheres com SOPC. Para isso, 60 mulheres foram selecionadas para participarem deste estudo clínico, randomizado, duplo-cego e controlado por placebo. Elas foram divididas em dois grupos para receberem por seis semanas a seguinte posologia: grupo 1 (n=30), curcumina (500 mg) duas vezes ao dia; grupo 2 (n = 30), placebo. Foram avaliados os níveis de colesterol LDL, triglicerídeos, colesterol HDL, razão LDL/HDL, colesterol e triglicerídeos/HDL. Em relação aos níveis de glicose, foram medidos os níveis de glicose em jejum (FBS), níveis de insulina, </w:t>
                            </w:r>
                            <w:r>
                              <w:rPr>
                                <w:rFonts w:ascii="Swis721 Th BT" w:hAnsi="Swis721 Th BT"/>
                                <w:i/>
                              </w:rPr>
                              <w:t>Homeostasis Model of Assessment Insulin Resistance</w:t>
                            </w:r>
                            <w:r>
                              <w:rPr>
                                <w:rFonts w:ascii="Swis721 Th BT" w:hAnsi="Swis721 Th BT"/>
                              </w:rPr>
                              <w:t xml:space="preserve"> (HOMA-IR), </w:t>
                            </w:r>
                            <w:r>
                              <w:rPr>
                                <w:rFonts w:ascii="Swis721 Th BT" w:hAnsi="Swis721 Th BT"/>
                                <w:i/>
                              </w:rPr>
                              <w:t>Quantitative Insulin Sensitivity Check Index</w:t>
                            </w:r>
                            <w:r>
                              <w:rPr>
                                <w:rFonts w:ascii="Swis721 Th BT" w:hAnsi="Swis721 Th BT"/>
                              </w:rPr>
                              <w:t xml:space="preserve"> (QUICKI) e hs-PCR. A concentração insulínica (p = 0,020) e o QUICKI (p = 0,003) foram melhorados de maneira significativa, enquanto o HOMA-IR (p = 0,067) melhorou marginalmente no grupo curcumina. A suplementação de curcumina pode ser benéfica na melhora dos níveis insulínicos e do QUICKI. </w:t>
                            </w:r>
                          </w:p>
                          <w:p w14:paraId="4131A4A2" w14:textId="77777777" w:rsidR="00FA41FC" w:rsidRDefault="00FA41FC"/>
                        </w:txbxContent>
                      </wps:txbx>
                      <wps:bodyPr rot="0" vert="horz" wrap="square" lIns="91440" tIns="45720" rIns="91440" bIns="45720" anchor="t" anchorCtr="0">
                        <a:noAutofit/>
                      </wps:bodyPr>
                    </wps:wsp>
                  </a:graphicData>
                </a:graphic>
              </wp:anchor>
            </w:drawing>
          </mc:Choice>
          <mc:Fallback>
            <w:pict>
              <v:shape id="Caixa de Texto 2" o:spid="_x0000_s1055" type="#_x0000_t202" style="position:absolute;left:0;text-align:left;margin-left:-.3pt;margin-top:47.35pt;width:443.25pt;height:199.5pt;z-index:25170432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" fillcolor="#d8d8d8 [2732]" stroked="f">
                <v:textbox>
                  <w:txbxContent>
                    <w:p w14:paraId="1D723395" w14:textId="5355F8C7" w:rsidR="00FA41FC" w:rsidRDefault="00FA41FC">
                      <w:pPr>
                        <w:jc w:val="both"/>
                        <w:rPr>
                          <w:rFonts w:ascii="Swis721 Th BT" w:hAnsi="Swis721 Th BT"/>
                        </w:rPr>
                      </w:pPr>
                      <w:r>
                        <w:rPr>
                          <w:rFonts w:ascii="Swis721 Th BT" w:hAnsi="Swis721 Th BT"/>
                        </w:rPr>
                        <w:t xml:space="preserve">Um estudo conduzido por Sohaei </w:t>
                      </w:r>
                      <w:r>
                        <w:rPr>
                          <w:rFonts w:ascii="Swis721 Th BT" w:hAnsi="Swis721 Th BT"/>
                          <w:i/>
                        </w:rPr>
                        <w:t>et al</w:t>
                      </w:r>
                      <w:r>
                        <w:rPr>
                          <w:rFonts w:ascii="Swis721 Th BT" w:hAnsi="Swis721 Th BT"/>
                        </w:rPr>
                        <w:t xml:space="preserve">. (2019) avaliou os efeitos da suplementação de curcumina no controle glicêmico, no perfil lipídico e nos níveis séricos de proteína C reativa (hs-PCR) em mulheres com SOPC. Para isso, 60 mulheres foram selecionadas para participarem deste estudo clínico, randomizado, duplo-cego e controlado por placebo. Elas foram divididas em dois grupos para receberem por seis semanas a seguinte posologia: grupo 1 (n=30), curcumina (500 mg) duas vezes ao dia; grupo 2 (n = 30), placebo. Foram avaliados os níveis de colesterol LDL, triglicerídeos, colesterol HDL, razão LDL/HDL, colesterol e triglicerídeos/HDL. Em relação aos níveis de glicose, foram medidos os níveis de glicose em jejum (FBS), níveis de insulina, </w:t>
                      </w:r>
                      <w:r>
                        <w:rPr>
                          <w:rFonts w:ascii="Swis721 Th BT" w:hAnsi="Swis721 Th BT"/>
                          <w:i/>
                        </w:rPr>
                        <w:t>Homeostasis Model of Assessment Insulin Resistance</w:t>
                      </w:r>
                      <w:r>
                        <w:rPr>
                          <w:rFonts w:ascii="Swis721 Th BT" w:hAnsi="Swis721 Th BT"/>
                        </w:rPr>
                        <w:t xml:space="preserve"> (HOMA-IR), </w:t>
                      </w:r>
                      <w:r>
                        <w:rPr>
                          <w:rFonts w:ascii="Swis721 Th BT" w:hAnsi="Swis721 Th BT"/>
                          <w:i/>
                        </w:rPr>
                        <w:t>Quantitative Insulin Sensitivity Check Index</w:t>
                      </w:r>
                      <w:r>
                        <w:rPr>
                          <w:rFonts w:ascii="Swis721 Th BT" w:hAnsi="Swis721 Th BT"/>
                        </w:rPr>
                        <w:t xml:space="preserve"> (QUICKI) e hs-PCR. A concentração insulínica (p = 0,020) e o QUICKI (p = 0,003) foram melhorados de maneira significativa, enquanto o HOMA-IR (p = 0,067) melhorou marginalmente no grupo curcumina. A suplementação de curcumina pode ser benéfica na melhora dos níveis insulínicos e do QUICKI. </w:t>
                      </w:r>
                    </w:p>
                    <w:p w14:paraId="4131A4A2" w14:textId="77777777" w:rsidR="00FA41FC" w:rsidRDefault="00FA41FC"/>
                  </w:txbxContent>
                </v:textbox>
                <w10:wrap type="square"/>
              </v:shape>
            </w:pict>
          </mc:Fallback>
        </mc:AlternateContent>
      </w:r>
      <w:r>
        <w:rPr>
          <w:color w:val="404040" w:themeColor="text1" w:themeTint="BF"/>
          <w:sz w:val="22"/>
          <w:szCs w:val="22"/>
        </w:rPr>
        <w:t>Administrar 1 cápsula ao dia ou conforme orientação médica.</w:t>
      </w:r>
    </w:p>
    <w:p w14:paraId="2885BBF6" w14:textId="77777777" w:rsidR="00CD65C2" w:rsidRDefault="00CD65C2">
      <w:pPr>
        <w:pStyle w:val="SemEspaamento"/>
      </w:pPr>
    </w:p>
    <w:p w14:paraId="2D888F6E" w14:textId="77777777" w:rsidR="00CD65C2" w:rsidRDefault="00CD65C2">
      <w:pPr>
        <w:pStyle w:val="SemEspaamento"/>
      </w:pPr>
    </w:p>
    <w:p w14:paraId="6AF3383D" w14:textId="77777777" w:rsidR="00CD65C2" w:rsidRDefault="00CD65C2">
      <w:pPr>
        <w:pStyle w:val="SemEspaamento"/>
      </w:pPr>
    </w:p>
    <w:p w14:paraId="0FC16EBB" w14:textId="77777777" w:rsidR="00CD65C2" w:rsidRDefault="00CD65C2">
      <w:pPr>
        <w:pStyle w:val="SemEspaamento"/>
      </w:pPr>
    </w:p>
    <w:p w14:paraId="0AC1A513" w14:textId="77777777" w:rsidR="00CD65C2" w:rsidRDefault="00CD65C2">
      <w:pPr>
        <w:pStyle w:val="SemEspaamento"/>
      </w:pPr>
    </w:p>
    <w:p w14:paraId="41E672AA" w14:textId="77777777" w:rsidR="00CD65C2" w:rsidRDefault="00CD65C2">
      <w:pPr>
        <w:pStyle w:val="SemEspaamento"/>
      </w:pPr>
    </w:p>
    <w:p w14:paraId="40C9B667" w14:textId="77777777" w:rsidR="00CD65C2" w:rsidRDefault="00CD65C2">
      <w:pPr>
        <w:pStyle w:val="SemEspaamento"/>
      </w:pPr>
    </w:p>
    <w:p w14:paraId="156774AC" w14:textId="77777777" w:rsidR="00CD65C2" w:rsidRDefault="00CD65C2">
      <w:pPr>
        <w:pStyle w:val="SemEspaamento"/>
      </w:pPr>
    </w:p>
    <w:p w14:paraId="3CF3A980" w14:textId="77777777" w:rsidR="00CD65C2" w:rsidRDefault="00CD65C2">
      <w:pPr>
        <w:pStyle w:val="SemEspaamento"/>
      </w:pPr>
    </w:p>
    <w:p w14:paraId="6ABA641F" w14:textId="77777777" w:rsidR="00CD65C2" w:rsidRDefault="00CD65C2">
      <w:pPr>
        <w:pStyle w:val="SemEspaamento"/>
      </w:pPr>
    </w:p>
    <w:p w14:paraId="0B9FE430" w14:textId="77777777" w:rsidR="00CD65C2" w:rsidRDefault="00CD65C2">
      <w:pPr>
        <w:pStyle w:val="SemEspaamento"/>
      </w:pPr>
    </w:p>
    <w:p w14:paraId="1001C0A2" w14:textId="77777777" w:rsidR="00CD65C2" w:rsidRDefault="00CD65C2">
      <w:pPr>
        <w:pStyle w:val="SemEspaamento"/>
      </w:pPr>
    </w:p>
    <w:p w14:paraId="2E47CD5C" w14:textId="77777777" w:rsidR="00CD65C2" w:rsidRDefault="00CD65C2">
      <w:pPr>
        <w:pStyle w:val="SemEspaamento"/>
      </w:pPr>
    </w:p>
    <w:p w14:paraId="139E1957" w14:textId="77777777" w:rsidR="00CD65C2" w:rsidRDefault="00CD65C2">
      <w:pPr>
        <w:pStyle w:val="SemEspaamento"/>
      </w:pPr>
    </w:p>
    <w:p w14:paraId="333EED0E" w14:textId="77777777" w:rsidR="00CD65C2" w:rsidRDefault="00CD65C2">
      <w:pPr>
        <w:pStyle w:val="SemEspaamento"/>
      </w:pPr>
    </w:p>
    <w:p w14:paraId="101912BF" w14:textId="277FAC84" w:rsidR="00CD65C2" w:rsidRDefault="00FA41FC">
      <w:pPr>
        <w:pStyle w:val="Ttulo1"/>
        <w:jc w:val="center"/>
        <w:rPr>
          <w:rFonts w:hint="eastAsia"/>
        </w:rPr>
      </w:pPr>
      <w:bookmarkStart w:id="27" w:name="_Toc165537179"/>
      <w:r>
        <w:t>Vitamina E e Ômega 3</w:t>
      </w:r>
      <w:bookmarkEnd w:id="27"/>
    </w:p>
    <w:p w14:paraId="2CF0E901" w14:textId="77777777" w:rsidR="00CD65C2" w:rsidRPr="00D1428E" w:rsidRDefault="00FA41FC">
      <w:pPr>
        <w:pStyle w:val="Corpo"/>
        <w:spacing w:after="120"/>
        <w:jc w:val="center"/>
        <w:rPr>
          <w:rFonts w:hint="eastAsia"/>
          <w:b/>
          <w:color w:val="0070C0"/>
          <w:sz w:val="40"/>
        </w:rPr>
      </w:pPr>
      <w:r w:rsidRPr="00D1428E">
        <w:rPr>
          <w:b/>
          <w:color w:val="0070C0"/>
          <w:sz w:val="40"/>
        </w:rPr>
        <w:t>Aumenta a Capacidade Antioxidante Total e Reduz a Inflamação</w:t>
      </w:r>
    </w:p>
    <w:p w14:paraId="31278702" w14:textId="77777777" w:rsidR="00CD65C2" w:rsidRDefault="00CD65C2">
      <w:pPr>
        <w:pStyle w:val="Corpo"/>
        <w:spacing w:after="120"/>
        <w:rPr>
          <w:rFonts w:hint="eastAsia"/>
          <w:color w:val="404040" w:themeColor="text1" w:themeTint="BF"/>
          <w:sz w:val="24"/>
        </w:rPr>
      </w:pPr>
    </w:p>
    <w:p w14:paraId="547321AE" w14:textId="6018CAA2" w:rsidR="00CD65C2" w:rsidRDefault="00FA41FC">
      <w:pPr>
        <w:pStyle w:val="Corpo"/>
        <w:spacing w:after="120"/>
        <w:rPr>
          <w:rFonts w:hint="eastAsia"/>
          <w:color w:val="404040" w:themeColor="text1" w:themeTint="BF"/>
          <w:sz w:val="24"/>
        </w:rPr>
      </w:pPr>
      <w:r>
        <w:rPr>
          <w:color w:val="404040" w:themeColor="text1" w:themeTint="BF"/>
          <w:sz w:val="24"/>
        </w:rPr>
        <w:t xml:space="preserve">Um estudo conduzido por Sadeghi </w:t>
      </w:r>
      <w:r>
        <w:rPr>
          <w:i/>
          <w:iCs/>
          <w:color w:val="404040" w:themeColor="text1" w:themeTint="BF"/>
          <w:sz w:val="24"/>
        </w:rPr>
        <w:t>et al.</w:t>
      </w:r>
      <w:r>
        <w:rPr>
          <w:color w:val="404040" w:themeColor="text1" w:themeTint="BF"/>
          <w:sz w:val="24"/>
        </w:rPr>
        <w:t xml:space="preserve"> (2020) teve como objetivo determinar os efeitos da suplementação de ômega 3 e vitamina E no estresse oxidativo em mulheres obesas com a síndrome dos ovários policísticos (SOPC).</w:t>
      </w:r>
    </w:p>
    <w:p w14:paraId="5FDFF4C3"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09440" behindDoc="0" locked="0" layoutInCell="1" allowOverlap="1">
                <wp:simplePos x="0" y="0"/>
                <wp:positionH relativeFrom="margin">
                  <wp:posOffset>5715</wp:posOffset>
                </wp:positionH>
                <wp:positionV relativeFrom="paragraph">
                  <wp:posOffset>95885</wp:posOffset>
                </wp:positionV>
                <wp:extent cx="5724525" cy="666750"/>
                <wp:effectExtent l="0" t="0" r="28575" b="19050"/>
                <wp:wrapNone/>
                <wp:docPr id="192" name="Caixa de texto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666750"/>
                        </a:xfrm>
                        <a:prstGeom prst="rect">
                          <a:avLst/>
                        </a:prstGeom>
                        <a:solidFill>
                          <a:schemeClr val="bg1">
                            <a:lumMod val="100000"/>
                            <a:lumOff val="0"/>
                          </a:schemeClr>
                        </a:solidFill>
                        <a:ln w="9525">
                          <a:solidFill>
                            <a:srgbClr val="0070C0"/>
                          </a:solidFill>
                          <a:miter lim="800000"/>
                        </a:ln>
                      </wps:spPr>
                      <wps:txbx>
                        <w:txbxContent>
                          <w:p w14:paraId="00BEC2DB" w14:textId="21EE0BE5" w:rsidR="00FA41FC" w:rsidRDefault="00FA41FC">
                            <w:pPr>
                              <w:jc w:val="center"/>
                              <w:rPr>
                                <w:rFonts w:ascii="Swis721 Th BT" w:hAnsi="Swis721 Th BT"/>
                                <w:sz w:val="23"/>
                                <w:szCs w:val="23"/>
                              </w:rPr>
                            </w:pPr>
                            <w:r>
                              <w:rPr>
                                <w:rFonts w:ascii="Swis721 Th BT" w:hAnsi="Swis721 Th BT"/>
                                <w:sz w:val="23"/>
                                <w:szCs w:val="23"/>
                              </w:rPr>
                              <w:t>Assim, 62 pacientes com SOPC e IMC maior que 25 foram selecionadas para participarem deste estudo clínico, duplo-cego, placebo-controlado e randomizado. Elas foram divididas em dois grupos para receberem por oito semanas a seguinte posologia:</w:t>
                            </w:r>
                          </w:p>
                          <w:p w14:paraId="3145EC14"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192" o:spid="_x0000_s1056" type="#_x0000_t202" style="position:absolute;left:0;text-align:left;margin-left:.45pt;margin-top:7.55pt;width:450.75pt;height:52.5pt;z-index:2517094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" fillcolor="white [3212]" strokecolor="#0070c0">
                <v:textbox>
                  <w:txbxContent>
                    <w:p w14:paraId="00BEC2DB" w14:textId="21EE0BE5" w:rsidR="00FA41FC" w:rsidRDefault="00FA41FC">
                      <w:pPr>
                        <w:jc w:val="center"/>
                        <w:rPr>
                          <w:rFonts w:ascii="Swis721 Th BT" w:hAnsi="Swis721 Th BT"/>
                          <w:sz w:val="23"/>
                          <w:szCs w:val="23"/>
                        </w:rPr>
                      </w:pPr>
                      <w:r>
                        <w:rPr>
                          <w:rFonts w:ascii="Swis721 Th BT" w:hAnsi="Swis721 Th BT"/>
                          <w:sz w:val="23"/>
                          <w:szCs w:val="23"/>
                        </w:rPr>
                        <w:t>Assim, 62 pacientes com SOPC e IMC maior que 25 foram selecionadas para participarem deste estudo clínico, duplo-cego, placebo-controlado e randomizado. Elas foram divididas em dois grupos para receberem por oito semanas a seguinte posologia:</w:t>
                      </w:r>
                    </w:p>
                    <w:p w14:paraId="3145EC14"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627E8EA9" w14:textId="77777777" w:rsidR="00CD65C2" w:rsidRDefault="00CD65C2">
      <w:pPr>
        <w:pStyle w:val="Corpo"/>
        <w:rPr>
          <w:rFonts w:hint="eastAsia"/>
          <w:color w:val="404040" w:themeColor="text1" w:themeTint="BF"/>
        </w:rPr>
      </w:pPr>
    </w:p>
    <w:p w14:paraId="2C33D51B" w14:textId="77777777" w:rsidR="00CD65C2" w:rsidRDefault="00CD65C2">
      <w:pPr>
        <w:pStyle w:val="Corpo"/>
        <w:rPr>
          <w:rFonts w:hint="eastAsia"/>
          <w:color w:val="404040" w:themeColor="text1" w:themeTint="BF"/>
        </w:rPr>
      </w:pPr>
    </w:p>
    <w:p w14:paraId="5B833796" w14:textId="77777777" w:rsidR="00CD65C2" w:rsidRDefault="00CD65C2">
      <w:pPr>
        <w:pStyle w:val="Corpo"/>
        <w:rPr>
          <w:rFonts w:hint="eastAsia"/>
          <w:color w:val="404040" w:themeColor="text1" w:themeTint="BF"/>
        </w:rPr>
      </w:pPr>
    </w:p>
    <w:p w14:paraId="53F859F8"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707392"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193" name="Triângulo isósceles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93" o:spid="_x0000_s1026" o:spt="5" type="#_x0000_t5" style="position:absolute;left:0pt;flip:y;margin-left:65.25pt;margin-top:0.85pt;height:10.9pt;width:17.85pt;z-index:251707392;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rg23W&#10;AAAACAEAAA8AAAAAAAAAAQAgAAAAIgAAAGRycy9kb3ducmV2LnhtbFBLAQIUABQAAAAIAIdO4kBX&#10;gvSOWwIAAKcEAAAOAAAAAAAAAAEAIAAAACUBAABkcnMvZTJvRG9jLnhtbFBLBQYAAAAABgAGAFkB&#10;AADyBQ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706368" behindDoc="0" locked="0" layoutInCell="1" allowOverlap="1">
                <wp:simplePos x="0" y="0"/>
                <wp:positionH relativeFrom="column">
                  <wp:posOffset>4664710</wp:posOffset>
                </wp:positionH>
                <wp:positionV relativeFrom="paragraph">
                  <wp:posOffset>10795</wp:posOffset>
                </wp:positionV>
                <wp:extent cx="226695" cy="138430"/>
                <wp:effectExtent l="0" t="0" r="1905" b="0"/>
                <wp:wrapNone/>
                <wp:docPr id="194" name="Triângulo isósceles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94" o:spid="_x0000_s1026" o:spt="5" type="#_x0000_t5" style="position:absolute;left:0pt;flip:y;margin-left:367.3pt;margin-top:0.85pt;height:10.9pt;width:17.85pt;z-index:251706368;mso-width-relative:page;mso-height-relative:page;" fillcolor="#D9D9D9 [3212]" filled="t" stroked="f" coordsize="21600,21600" o:gfxdata="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rIplbW&#10;AAAACAEAAA8AAAAAAAAAAQAgAAAAIgAAAGRycy9kb3ducmV2LnhtbFBLAQIUABQAAAAIAIdO4kA8&#10;qT24WwIAAKcEAAAOAAAAAAAAAAEAIAAAACUBAABkcnMvZTJvRG9jLnhtbFBLBQYAAAAABgAGAFkB&#10;AADyBQAAAAA=&#10;" adj="10800">
                <v:fill on="t" focussize="0,0"/>
                <v:stroke on="f"/>
                <v:imagedata o:title=""/>
                <o:lock v:ext="edit" aspectratio="f"/>
              </v:shape>
            </w:pict>
          </mc:Fallback>
        </mc:AlternateContent>
      </w:r>
    </w:p>
    <w:p w14:paraId="79A06F2F"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708416" behindDoc="0" locked="0" layoutInCell="1" allowOverlap="1">
                <wp:simplePos x="0" y="0"/>
                <wp:positionH relativeFrom="column">
                  <wp:posOffset>3839845</wp:posOffset>
                </wp:positionH>
                <wp:positionV relativeFrom="paragraph">
                  <wp:posOffset>88900</wp:posOffset>
                </wp:positionV>
                <wp:extent cx="1905000" cy="870585"/>
                <wp:effectExtent l="0" t="0" r="19050" b="24765"/>
                <wp:wrapNone/>
                <wp:docPr id="196" name="Caixa de texto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870585"/>
                        </a:xfrm>
                        <a:prstGeom prst="rect">
                          <a:avLst/>
                        </a:prstGeom>
                        <a:solidFill>
                          <a:srgbClr val="0070C0"/>
                        </a:solidFill>
                        <a:ln w="9525">
                          <a:solidFill>
                            <a:srgbClr val="0070C0"/>
                          </a:solidFill>
                          <a:miter lim="800000"/>
                        </a:ln>
                      </wps:spPr>
                      <wps:txbx>
                        <w:txbxContent>
                          <w:p w14:paraId="50529C5C"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C45594E" w14:textId="77777777" w:rsidR="00FA41FC" w:rsidRDefault="00FA41FC">
                            <w:pPr>
                              <w:spacing w:after="0" w:line="240" w:lineRule="auto"/>
                              <w:jc w:val="center"/>
                              <w:rPr>
                                <w:rFonts w:ascii="Swis721 Th BT" w:hAnsi="Swis721 Th BT"/>
                                <w:b/>
                                <w:color w:val="FFFFFF" w:themeColor="background1"/>
                                <w:sz w:val="23"/>
                                <w:szCs w:val="23"/>
                              </w:rPr>
                            </w:pPr>
                          </w:p>
                          <w:p w14:paraId="5B7FBDAE" w14:textId="77777777" w:rsidR="00FA41FC" w:rsidRDefault="00FA41FC">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196" o:spid="_x0000_s1057" type="#_x0000_t202" style="position:absolute;left:0;text-align:left;margin-left:302.35pt;margin-top:7pt;width:150pt;height:68.5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" fillcolor="#0070c0" strokecolor="#0070c0">
                <v:textbox>
                  <w:txbxContent>
                    <w:p w14:paraId="50529C5C"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C45594E" w14:textId="77777777" w:rsidR="00FA41FC" w:rsidRDefault="00FA41FC">
                      <w:pPr>
                        <w:spacing w:after="0" w:line="240" w:lineRule="auto"/>
                        <w:jc w:val="center"/>
                        <w:rPr>
                          <w:rFonts w:ascii="Swis721 Th BT" w:hAnsi="Swis721 Th BT"/>
                          <w:b/>
                          <w:color w:val="FFFFFF" w:themeColor="background1"/>
                          <w:sz w:val="23"/>
                          <w:szCs w:val="23"/>
                        </w:rPr>
                      </w:pPr>
                    </w:p>
                    <w:p w14:paraId="5B7FBDAE" w14:textId="77777777" w:rsidR="00FA41FC" w:rsidRDefault="00FA41FC">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705344" behindDoc="0" locked="0" layoutInCell="1" allowOverlap="1">
                <wp:simplePos x="0" y="0"/>
                <wp:positionH relativeFrom="column">
                  <wp:posOffset>-1905</wp:posOffset>
                </wp:positionH>
                <wp:positionV relativeFrom="paragraph">
                  <wp:posOffset>88900</wp:posOffset>
                </wp:positionV>
                <wp:extent cx="1913890" cy="870585"/>
                <wp:effectExtent l="0" t="0" r="10160" b="24765"/>
                <wp:wrapNone/>
                <wp:docPr id="195" name="Caixa de texto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870857"/>
                        </a:xfrm>
                        <a:prstGeom prst="rect">
                          <a:avLst/>
                        </a:prstGeom>
                        <a:solidFill>
                          <a:srgbClr val="0070C0"/>
                        </a:solidFill>
                        <a:ln w="9525">
                          <a:solidFill>
                            <a:srgbClr val="0070C0"/>
                          </a:solidFill>
                          <a:miter lim="800000"/>
                        </a:ln>
                      </wps:spPr>
                      <wps:txbx>
                        <w:txbxContent>
                          <w:p w14:paraId="51DEB4D7" w14:textId="444B1EB7" w:rsidR="00FA41FC" w:rsidRDefault="00FA41FC">
                            <w:pPr>
                              <w:pStyle w:val="Corpo"/>
                              <w:jc w:val="center"/>
                              <w:rPr>
                                <w:rFonts w:hint="eastAsia"/>
                                <w:color w:val="FFFFFF" w:themeColor="background1"/>
                              </w:rPr>
                            </w:pPr>
                            <w:r>
                              <w:rPr>
                                <w:b/>
                                <w:color w:val="FFFFFF" w:themeColor="background1"/>
                                <w:szCs w:val="23"/>
                              </w:rPr>
                              <w:t xml:space="preserve">Grupo 1 </w:t>
                            </w:r>
                            <w:r>
                              <w:rPr>
                                <w:b/>
                                <w:color w:val="FFFFFF" w:themeColor="background1"/>
                                <w:szCs w:val="23"/>
                              </w:rPr>
                              <w:br/>
                            </w:r>
                            <w:r>
                              <w:rPr>
                                <w:color w:val="FFFFFF" w:themeColor="background1"/>
                              </w:rPr>
                              <w:t>Ômega 3 – 2 g/dia</w:t>
                            </w:r>
                          </w:p>
                          <w:p w14:paraId="67CC8F91" w14:textId="77777777" w:rsidR="00FA41FC" w:rsidRDefault="00FA41FC">
                            <w:pPr>
                              <w:pStyle w:val="Corpo"/>
                              <w:jc w:val="center"/>
                              <w:rPr>
                                <w:rFonts w:hint="eastAsia"/>
                                <w:color w:val="FFFFFF" w:themeColor="background1"/>
                              </w:rPr>
                            </w:pPr>
                            <w:r>
                              <w:rPr>
                                <w:color w:val="FFFFFF" w:themeColor="background1"/>
                              </w:rPr>
                              <w:t>+</w:t>
                            </w:r>
                          </w:p>
                          <w:p w14:paraId="2DACAA5C" w14:textId="77777777" w:rsidR="00FA41FC" w:rsidRDefault="00FA41FC">
                            <w:pPr>
                              <w:pStyle w:val="Corpo"/>
                              <w:jc w:val="center"/>
                              <w:rPr>
                                <w:rFonts w:hint="eastAsia"/>
                                <w:color w:val="FFFFFF" w:themeColor="background1"/>
                              </w:rPr>
                            </w:pPr>
                            <w:r>
                              <w:rPr>
                                <w:color w:val="FFFFFF" w:themeColor="background1"/>
                              </w:rPr>
                              <w:t>Vitamina E 400 UI/dia</w:t>
                            </w:r>
                          </w:p>
                          <w:p w14:paraId="5410487D"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195" o:spid="_x0000_s1058" type="#_x0000_t202" style="position:absolute;left:0;text-align:left;margin-left:-.15pt;margin-top:7pt;width:150.7pt;height:68.5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" fillcolor="#0070c0" strokecolor="#0070c0">
                <v:textbox>
                  <w:txbxContent>
                    <w:p w14:paraId="51DEB4D7" w14:textId="444B1EB7" w:rsidR="00FA41FC" w:rsidRDefault="00FA41FC">
                      <w:pPr>
                        <w:pStyle w:val="Corpo"/>
                        <w:jc w:val="center"/>
                        <w:rPr>
                          <w:rFonts w:hint="eastAsia"/>
                          <w:color w:val="FFFFFF" w:themeColor="background1"/>
                        </w:rPr>
                      </w:pPr>
                      <w:r>
                        <w:rPr>
                          <w:b/>
                          <w:color w:val="FFFFFF" w:themeColor="background1"/>
                          <w:szCs w:val="23"/>
                        </w:rPr>
                        <w:t xml:space="preserve">Grupo 1 </w:t>
                      </w:r>
                      <w:r>
                        <w:rPr>
                          <w:b/>
                          <w:color w:val="FFFFFF" w:themeColor="background1"/>
                          <w:szCs w:val="23"/>
                        </w:rPr>
                        <w:br/>
                      </w:r>
                      <w:r>
                        <w:rPr>
                          <w:color w:val="FFFFFF" w:themeColor="background1"/>
                        </w:rPr>
                        <w:t>Ômega 3 – 2 g/dia</w:t>
                      </w:r>
                    </w:p>
                    <w:p w14:paraId="67CC8F91" w14:textId="77777777" w:rsidR="00FA41FC" w:rsidRDefault="00FA41FC">
                      <w:pPr>
                        <w:pStyle w:val="Corpo"/>
                        <w:jc w:val="center"/>
                        <w:rPr>
                          <w:rFonts w:hint="eastAsia"/>
                          <w:color w:val="FFFFFF" w:themeColor="background1"/>
                        </w:rPr>
                      </w:pPr>
                      <w:r>
                        <w:rPr>
                          <w:color w:val="FFFFFF" w:themeColor="background1"/>
                        </w:rPr>
                        <w:t>+</w:t>
                      </w:r>
                    </w:p>
                    <w:p w14:paraId="2DACAA5C" w14:textId="77777777" w:rsidR="00FA41FC" w:rsidRDefault="00FA41FC">
                      <w:pPr>
                        <w:pStyle w:val="Corpo"/>
                        <w:jc w:val="center"/>
                        <w:rPr>
                          <w:rFonts w:hint="eastAsia"/>
                          <w:color w:val="FFFFFF" w:themeColor="background1"/>
                        </w:rPr>
                      </w:pPr>
                      <w:r>
                        <w:rPr>
                          <w:color w:val="FFFFFF" w:themeColor="background1"/>
                        </w:rPr>
                        <w:t>Vitamina E 400 UI/dia</w:t>
                      </w:r>
                    </w:p>
                    <w:p w14:paraId="5410487D"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p>
    <w:p w14:paraId="0FB9BEAD" w14:textId="77777777" w:rsidR="00CD65C2" w:rsidRDefault="00CD65C2">
      <w:pPr>
        <w:pStyle w:val="Corpo"/>
        <w:rPr>
          <w:rFonts w:hint="eastAsia"/>
          <w:color w:val="404040" w:themeColor="text1" w:themeTint="BF"/>
        </w:rPr>
      </w:pPr>
    </w:p>
    <w:p w14:paraId="63D4AF76" w14:textId="77777777" w:rsidR="00CD65C2" w:rsidRDefault="00CD65C2">
      <w:pPr>
        <w:pStyle w:val="Corpo"/>
        <w:rPr>
          <w:rFonts w:hint="eastAsia"/>
          <w:color w:val="404040" w:themeColor="text1" w:themeTint="BF"/>
        </w:rPr>
      </w:pPr>
    </w:p>
    <w:p w14:paraId="715C400B" w14:textId="77777777" w:rsidR="00CD65C2" w:rsidRDefault="00CD65C2">
      <w:pPr>
        <w:pStyle w:val="Corpo"/>
        <w:rPr>
          <w:rFonts w:hint="eastAsia"/>
          <w:color w:val="404040" w:themeColor="text1" w:themeTint="BF"/>
        </w:rPr>
      </w:pPr>
    </w:p>
    <w:p w14:paraId="7B11E1B3" w14:textId="77777777" w:rsidR="00CD65C2" w:rsidRDefault="00CD65C2">
      <w:pPr>
        <w:pStyle w:val="Corpo"/>
        <w:spacing w:before="120"/>
        <w:rPr>
          <w:rFonts w:hint="eastAsia"/>
          <w:color w:val="404040" w:themeColor="text1" w:themeTint="BF"/>
          <w:sz w:val="20"/>
        </w:rPr>
      </w:pPr>
    </w:p>
    <w:p w14:paraId="780C8C08" w14:textId="77777777" w:rsidR="00CD65C2" w:rsidRDefault="00FA41FC">
      <w:pPr>
        <w:pStyle w:val="Corpo"/>
        <w:numPr>
          <w:ilvl w:val="0"/>
          <w:numId w:val="20"/>
        </w:numPr>
        <w:spacing w:line="276" w:lineRule="auto"/>
        <w:rPr>
          <w:rFonts w:hint="eastAsia"/>
          <w:color w:val="404040" w:themeColor="text1" w:themeTint="BF"/>
          <w:sz w:val="20"/>
          <w:szCs w:val="20"/>
        </w:rPr>
      </w:pPr>
      <w:r>
        <w:rPr>
          <w:color w:val="404040" w:themeColor="text1" w:themeTint="BF"/>
          <w:sz w:val="20"/>
          <w:szCs w:val="20"/>
        </w:rPr>
        <w:t xml:space="preserve">No início e no término do estudo, a capacidade antioxidante total, os níveis de glutationa, a atividade da catalase, a concentração de malondialdeído e a ingestão calórica foram avaliadas. </w:t>
      </w:r>
    </w:p>
    <w:p w14:paraId="1465006D" w14:textId="77777777" w:rsidR="00CD65C2" w:rsidRDefault="00CD65C2">
      <w:pPr>
        <w:pStyle w:val="Corpo"/>
        <w:rPr>
          <w:rFonts w:hint="eastAsia"/>
          <w:b/>
          <w:color w:val="339966"/>
          <w:sz w:val="25"/>
          <w:szCs w:val="25"/>
          <w14:textFill>
            <w14:solidFill>
              <w14:srgbClr w14:val="339966">
                <w14:lumMod w14:val="75000"/>
                <w14:lumOff w14:val="25000"/>
              </w14:srgbClr>
            </w14:solidFill>
          </w14:textFill>
        </w:rPr>
      </w:pPr>
    </w:p>
    <w:p w14:paraId="01CE1045"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5952E328" w14:textId="77777777" w:rsidR="00CD65C2" w:rsidRDefault="00CD65C2">
      <w:pPr>
        <w:pStyle w:val="Corpo"/>
        <w:rPr>
          <w:rFonts w:hint="eastAsia"/>
          <w:color w:val="404040" w:themeColor="text1" w:themeTint="BF"/>
          <w:sz w:val="16"/>
          <w:szCs w:val="16"/>
        </w:rPr>
      </w:pPr>
    </w:p>
    <w:p w14:paraId="5BE1694C" w14:textId="50A4410A" w:rsidR="00CD65C2" w:rsidRDefault="00FA41FC">
      <w:pPr>
        <w:pStyle w:val="Corpo"/>
        <w:numPr>
          <w:ilvl w:val="0"/>
          <w:numId w:val="21"/>
        </w:numPr>
        <w:spacing w:after="120"/>
        <w:rPr>
          <w:rFonts w:hint="eastAsia"/>
          <w:color w:val="404040" w:themeColor="text1" w:themeTint="BF"/>
          <w:sz w:val="24"/>
        </w:rPr>
      </w:pPr>
      <w:r>
        <w:rPr>
          <w:color w:val="404040" w:themeColor="text1" w:themeTint="BF"/>
          <w:sz w:val="24"/>
        </w:rPr>
        <w:t xml:space="preserve">A cossuplementação de ômega 3 e vitamina E aumentou de maneira significativa a capacidade antioxidante total (mg/dl; 1,15 </w:t>
      </w:r>
      <w:r>
        <w:rPr>
          <w:i/>
          <w:iCs/>
          <w:color w:val="404040" w:themeColor="text1" w:themeTint="BF"/>
          <w:sz w:val="24"/>
        </w:rPr>
        <w:t>vs</w:t>
      </w:r>
      <w:r>
        <w:rPr>
          <w:color w:val="404040" w:themeColor="text1" w:themeTint="BF"/>
          <w:sz w:val="24"/>
        </w:rPr>
        <w:t xml:space="preserve">. -0,6 – p &lt; 0,001) e a atividade da catalase (IU/L; 1,19 </w:t>
      </w:r>
      <w:r>
        <w:rPr>
          <w:i/>
          <w:iCs/>
          <w:color w:val="404040" w:themeColor="text1" w:themeTint="BF"/>
          <w:sz w:val="24"/>
        </w:rPr>
        <w:t>vs</w:t>
      </w:r>
      <w:r>
        <w:rPr>
          <w:color w:val="404040" w:themeColor="text1" w:themeTint="BF"/>
          <w:sz w:val="24"/>
        </w:rPr>
        <w:t>. 0,12 – p &lt; 0,001);</w:t>
      </w:r>
    </w:p>
    <w:p w14:paraId="71916B70" w14:textId="48600CE0" w:rsidR="00CD65C2" w:rsidRDefault="00FA41FC">
      <w:pPr>
        <w:pStyle w:val="Corpo"/>
        <w:numPr>
          <w:ilvl w:val="0"/>
          <w:numId w:val="21"/>
        </w:numPr>
        <w:spacing w:after="120"/>
        <w:rPr>
          <w:rFonts w:hint="eastAsia"/>
          <w:color w:val="404040" w:themeColor="text1" w:themeTint="BF"/>
          <w:sz w:val="24"/>
        </w:rPr>
      </w:pPr>
      <w:r>
        <w:rPr>
          <w:color w:val="404040" w:themeColor="text1" w:themeTint="BF"/>
          <w:sz w:val="24"/>
        </w:rPr>
        <w:t>Também foram aumentados os níveis de glutationa (</w:t>
      </w:r>
      <w:r>
        <w:rPr>
          <w:rFonts w:ascii="Calibri" w:hAnsi="Calibri" w:cs="Calibri"/>
          <w:color w:val="404040" w:themeColor="text1" w:themeTint="BF"/>
          <w:sz w:val="24"/>
        </w:rPr>
        <w:t>μ</w:t>
      </w:r>
      <w:r>
        <w:rPr>
          <w:color w:val="404040" w:themeColor="text1" w:themeTint="BF"/>
          <w:sz w:val="24"/>
        </w:rPr>
        <w:t xml:space="preserve">mol/L; 1,5 </w:t>
      </w:r>
      <w:r>
        <w:rPr>
          <w:i/>
          <w:iCs/>
          <w:color w:val="404040" w:themeColor="text1" w:themeTint="BF"/>
          <w:sz w:val="24"/>
        </w:rPr>
        <w:t>vs</w:t>
      </w:r>
      <w:r>
        <w:rPr>
          <w:color w:val="404040" w:themeColor="text1" w:themeTint="BF"/>
          <w:sz w:val="24"/>
        </w:rPr>
        <w:t>. 0,23 – p = 0,028);</w:t>
      </w:r>
    </w:p>
    <w:p w14:paraId="72D397ED" w14:textId="27DACAF6" w:rsidR="00CD65C2" w:rsidRDefault="00FA41FC">
      <w:pPr>
        <w:pStyle w:val="Corpo"/>
        <w:numPr>
          <w:ilvl w:val="0"/>
          <w:numId w:val="21"/>
        </w:numPr>
        <w:spacing w:after="120"/>
        <w:rPr>
          <w:rFonts w:hint="eastAsia"/>
          <w:color w:val="404040" w:themeColor="text1" w:themeTint="BF"/>
          <w:sz w:val="24"/>
        </w:rPr>
      </w:pPr>
      <w:r>
        <w:rPr>
          <w:color w:val="404040" w:themeColor="text1" w:themeTint="BF"/>
          <w:sz w:val="24"/>
        </w:rPr>
        <w:t xml:space="preserve">Houve significativa diminuição dos níveis de malondialdeído (nmol/L; -0,34 </w:t>
      </w:r>
      <w:r>
        <w:rPr>
          <w:i/>
          <w:iCs/>
          <w:color w:val="404040" w:themeColor="text1" w:themeTint="BF"/>
          <w:sz w:val="24"/>
        </w:rPr>
        <w:t>vs.</w:t>
      </w:r>
      <w:r>
        <w:rPr>
          <w:color w:val="404040" w:themeColor="text1" w:themeTint="BF"/>
          <w:sz w:val="24"/>
        </w:rPr>
        <w:t xml:space="preserve"> 0,57 – p = 0,0088). Todos esses dados foram feitos em comparação com as pacientes tratadas com placebo.</w:t>
      </w:r>
    </w:p>
    <w:p w14:paraId="3A786332" w14:textId="77777777" w:rsidR="00CD65C2" w:rsidRDefault="00CD65C2">
      <w:pPr>
        <w:pStyle w:val="Corpo"/>
        <w:spacing w:after="120"/>
        <w:ind w:left="786"/>
        <w:rPr>
          <w:rFonts w:hint="eastAsia"/>
          <w:color w:val="404040" w:themeColor="text1" w:themeTint="BF"/>
          <w:sz w:val="24"/>
        </w:rPr>
      </w:pPr>
    </w:p>
    <w:p w14:paraId="378257FF"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1E769B85" w14:textId="77777777" w:rsidR="00CD65C2" w:rsidRDefault="00CD65C2">
      <w:pPr>
        <w:pStyle w:val="Corpo"/>
        <w:rPr>
          <w:rFonts w:hint="eastAsia"/>
          <w:b/>
          <w:color w:val="339966"/>
          <w:sz w:val="16"/>
          <w:szCs w:val="16"/>
          <w14:textFill>
            <w14:solidFill>
              <w14:srgbClr w14:val="339966">
                <w14:lumMod w14:val="75000"/>
                <w14:lumOff w14:val="25000"/>
              </w14:srgbClr>
            </w14:solidFill>
          </w14:textFill>
        </w:rPr>
      </w:pPr>
    </w:p>
    <w:p w14:paraId="4738F48A" w14:textId="0FA91430" w:rsidR="00CD65C2" w:rsidRDefault="00FA41FC">
      <w:pPr>
        <w:pStyle w:val="Corpo"/>
        <w:jc w:val="center"/>
        <w:rPr>
          <w:rFonts w:hint="eastAsia"/>
          <w:b/>
          <w:i/>
          <w:color w:val="404040" w:themeColor="text1" w:themeTint="BF"/>
        </w:rPr>
      </w:pPr>
      <w:r>
        <w:rPr>
          <w:b/>
          <w:i/>
          <w:color w:val="404040" w:themeColor="text1" w:themeTint="BF"/>
        </w:rPr>
        <w:t>A suplementação de ômega 3 e vitamina E apresenta efeitos benéficos na capacidade antioxidante total, concentração de malondialdeído, nos níveis de glutationa e também na atividade da catalase.</w:t>
      </w:r>
    </w:p>
    <w:p w14:paraId="6F0A26F3" w14:textId="77777777" w:rsidR="00CD65C2" w:rsidRDefault="00CD65C2">
      <w:pPr>
        <w:pStyle w:val="Corpo"/>
        <w:jc w:val="center"/>
        <w:rPr>
          <w:rFonts w:hint="eastAsia"/>
          <w:b/>
          <w:i/>
          <w:color w:val="404040" w:themeColor="text1" w:themeTint="BF"/>
        </w:rPr>
      </w:pPr>
    </w:p>
    <w:p w14:paraId="738529CA" w14:textId="77777777" w:rsidR="00CD65C2" w:rsidRDefault="00FA41FC">
      <w:pPr>
        <w:pStyle w:val="Ttulo1"/>
        <w:jc w:val="center"/>
        <w:rPr>
          <w:rFonts w:hint="eastAsia"/>
        </w:rPr>
      </w:pPr>
      <w:bookmarkStart w:id="28" w:name="_Toc165537180"/>
      <w:r>
        <w:t>Formulário</w:t>
      </w:r>
      <w:bookmarkEnd w:id="28"/>
    </w:p>
    <w:p w14:paraId="56A131C7" w14:textId="77777777" w:rsidR="00CD65C2" w:rsidRDefault="00CD65C2">
      <w:pPr>
        <w:pStyle w:val="Corpo"/>
        <w:rPr>
          <w:rFonts w:hint="eastAsia"/>
          <w:b/>
          <w:i/>
          <w:color w:val="404040" w:themeColor="text1" w:themeTint="BF"/>
        </w:rPr>
      </w:pPr>
    </w:p>
    <w:p w14:paraId="00FF81D4" w14:textId="77777777" w:rsidR="00CD65C2" w:rsidRDefault="00CD65C2">
      <w:pPr>
        <w:pStyle w:val="Corpo"/>
        <w:rPr>
          <w:rFonts w:hint="eastAsia"/>
          <w:b/>
          <w:i/>
          <w:color w:val="404040" w:themeColor="text1" w:themeTint="BF"/>
        </w:rPr>
      </w:pPr>
    </w:p>
    <w:p w14:paraId="65245005" w14:textId="64784097" w:rsidR="00CD65C2" w:rsidRDefault="00FA41FC">
      <w:pPr>
        <w:pStyle w:val="Corpo"/>
        <w:rPr>
          <w:rFonts w:hint="eastAsia"/>
          <w:b/>
          <w:i/>
          <w:color w:val="404040" w:themeColor="text1" w:themeTint="BF"/>
          <w:sz w:val="24"/>
        </w:rPr>
      </w:pPr>
      <w:r>
        <w:rPr>
          <w:b/>
          <w:i/>
          <w:color w:val="404040" w:themeColor="text1" w:themeTint="BF"/>
          <w:sz w:val="24"/>
        </w:rPr>
        <w:t>Ômega 3 e Vitamina E em Mulheres com SOPC</w:t>
      </w:r>
    </w:p>
    <w:p w14:paraId="3D1EBDE3"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227C4479"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5F678C3F" w14:textId="7452C1CF" w:rsidR="00CD65C2" w:rsidRDefault="00FA41FC">
            <w:pPr>
              <w:pStyle w:val="Corpo"/>
              <w:jc w:val="center"/>
              <w:rPr>
                <w:rFonts w:hint="eastAsia"/>
                <w:b/>
                <w:color w:val="FFFFFF" w:themeColor="background1"/>
                <w:szCs w:val="23"/>
              </w:rPr>
            </w:pPr>
            <w:r>
              <w:rPr>
                <w:b/>
                <w:color w:val="FFFFFF" w:themeColor="background1"/>
                <w:szCs w:val="23"/>
              </w:rPr>
              <w:t>Cápsulas de Ômega 3</w:t>
            </w:r>
          </w:p>
        </w:tc>
      </w:tr>
      <w:tr w:rsidR="00CD65C2" w14:paraId="1BDE7D82"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45BABE7" w14:textId="25E2240D" w:rsidR="00CD65C2" w:rsidRDefault="00FA41FC">
            <w:pPr>
              <w:pStyle w:val="Corpo"/>
              <w:jc w:val="center"/>
              <w:rPr>
                <w:rFonts w:hint="eastAsia"/>
                <w:color w:val="404040" w:themeColor="text1" w:themeTint="BF"/>
              </w:rPr>
            </w:pPr>
            <w:r>
              <w:rPr>
                <w:iCs/>
                <w:color w:val="404040" w:themeColor="text1" w:themeTint="BF"/>
              </w:rPr>
              <w:t>Ômega 3</w:t>
            </w:r>
            <w:r>
              <w:rPr>
                <w:color w:val="404040" w:themeColor="text1" w:themeTint="BF"/>
              </w:rPr>
              <w:t>...............................................2 g</w:t>
            </w:r>
          </w:p>
        </w:tc>
      </w:tr>
      <w:tr w:rsidR="00CD65C2" w14:paraId="26F2C00B"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181ADBB" w14:textId="6F8DD851" w:rsidR="00CD65C2" w:rsidRDefault="00FA41FC">
            <w:pPr>
              <w:pStyle w:val="Corpo"/>
              <w:jc w:val="center"/>
              <w:rPr>
                <w:rFonts w:hint="eastAsia"/>
                <w:color w:val="404040" w:themeColor="text1" w:themeTint="BF"/>
              </w:rPr>
            </w:pPr>
            <w:r>
              <w:rPr>
                <w:color w:val="404040" w:themeColor="text1" w:themeTint="BF"/>
              </w:rPr>
              <w:t>Excipiente q.s.p. ........................1 Cápsula</w:t>
            </w:r>
          </w:p>
        </w:tc>
      </w:tr>
    </w:tbl>
    <w:p w14:paraId="49BE290F" w14:textId="77777777" w:rsidR="00CD65C2" w:rsidRDefault="00FA41FC">
      <w:pPr>
        <w:pStyle w:val="Corpo"/>
        <w:ind w:right="4762"/>
        <w:jc w:val="center"/>
        <w:rPr>
          <w:rFonts w:hint="eastAsia"/>
          <w:color w:val="404040" w:themeColor="text1" w:themeTint="BF"/>
          <w:sz w:val="22"/>
          <w:szCs w:val="22"/>
        </w:rPr>
      </w:pPr>
      <w:r>
        <w:rPr>
          <w:color w:val="404040" w:themeColor="text1" w:themeTint="BF"/>
          <w:sz w:val="22"/>
          <w:szCs w:val="22"/>
        </w:rPr>
        <w:t>Administrar 1 cápsula ao dia ou conforme orientação médica.</w:t>
      </w:r>
    </w:p>
    <w:p w14:paraId="1F39EDBB" w14:textId="77777777" w:rsidR="00CD65C2" w:rsidRDefault="00CD65C2">
      <w:pPr>
        <w:spacing w:after="20" w:line="240" w:lineRule="auto"/>
        <w:jc w:val="both"/>
        <w:rPr>
          <w:rFonts w:ascii="Swis721 Th BT" w:eastAsia="MS Mincho" w:hAnsi="Swis721 Th BT" w:hint="eastAsia"/>
          <w:b/>
          <w:i/>
          <w:color w:val="404040" w:themeColor="text1" w:themeTint="BF"/>
          <w:sz w:val="24"/>
          <w:szCs w:val="24"/>
        </w:rPr>
      </w:pPr>
    </w:p>
    <w:p w14:paraId="0C61EB24" w14:textId="77777777" w:rsidR="00CD65C2" w:rsidRDefault="00FA41FC">
      <w:pPr>
        <w:pStyle w:val="Corpo"/>
        <w:rPr>
          <w:rFonts w:hint="eastAsia"/>
          <w:b/>
          <w:i/>
          <w:color w:val="404040" w:themeColor="text1" w:themeTint="BF"/>
          <w:sz w:val="24"/>
        </w:rPr>
      </w:pPr>
      <w:r>
        <w:rPr>
          <w:b/>
          <w:i/>
          <w:color w:val="404040" w:themeColor="text1" w:themeTint="BF"/>
          <w:sz w:val="24"/>
        </w:rPr>
        <w:t xml:space="preserve">                               +</w:t>
      </w:r>
    </w:p>
    <w:p w14:paraId="23866D24"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1962C291"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7715C63B" w14:textId="77777777" w:rsidR="00CD65C2" w:rsidRDefault="00FA41FC">
            <w:pPr>
              <w:pStyle w:val="Corpo"/>
              <w:jc w:val="center"/>
              <w:rPr>
                <w:rFonts w:hint="eastAsia"/>
                <w:b/>
                <w:color w:val="FFFFFF" w:themeColor="background1"/>
              </w:rPr>
            </w:pPr>
            <w:r>
              <w:rPr>
                <w:b/>
                <w:color w:val="FFFFFF" w:themeColor="background1"/>
              </w:rPr>
              <w:t>Cápsulas de Vitamina E</w:t>
            </w:r>
          </w:p>
        </w:tc>
      </w:tr>
      <w:tr w:rsidR="00CD65C2" w14:paraId="2AA6DB15"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CCEF556" w14:textId="77777777" w:rsidR="00CD65C2" w:rsidRDefault="00FA41FC">
            <w:pPr>
              <w:pStyle w:val="Corpo"/>
              <w:jc w:val="center"/>
              <w:rPr>
                <w:rFonts w:hint="eastAsia"/>
                <w:color w:val="404040" w:themeColor="text1" w:themeTint="BF"/>
              </w:rPr>
            </w:pPr>
            <w:r>
              <w:rPr>
                <w:color w:val="404040" w:themeColor="text1" w:themeTint="BF"/>
              </w:rPr>
              <w:t>Vitamina E.........................................400 UI</w:t>
            </w:r>
          </w:p>
        </w:tc>
      </w:tr>
      <w:tr w:rsidR="00CD65C2" w14:paraId="5C381FCA"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E2F6B66" w14:textId="2FB09436" w:rsidR="00CD65C2" w:rsidRDefault="00FA41FC">
            <w:pPr>
              <w:pStyle w:val="Corpo"/>
              <w:jc w:val="center"/>
              <w:rPr>
                <w:rFonts w:hint="eastAsia"/>
                <w:color w:val="404040" w:themeColor="text1" w:themeTint="BF"/>
              </w:rPr>
            </w:pPr>
            <w:r>
              <w:rPr>
                <w:color w:val="404040" w:themeColor="text1" w:themeTint="BF"/>
              </w:rPr>
              <w:t>Excipiente q.s.p. ........................1 Cápsula</w:t>
            </w:r>
          </w:p>
        </w:tc>
      </w:tr>
    </w:tbl>
    <w:p w14:paraId="70286C42" w14:textId="77777777" w:rsidR="00CD65C2" w:rsidRDefault="00FA41FC">
      <w:pPr>
        <w:pStyle w:val="Corpo"/>
        <w:ind w:right="4762"/>
        <w:jc w:val="center"/>
        <w:rPr>
          <w:rFonts w:hint="eastAsia"/>
          <w:color w:val="404040" w:themeColor="text1" w:themeTint="BF"/>
          <w:sz w:val="22"/>
          <w:szCs w:val="22"/>
        </w:rPr>
      </w:pPr>
      <w:r>
        <w:rPr>
          <w:color w:val="404040" w:themeColor="text1" w:themeTint="BF"/>
          <w:sz w:val="22"/>
          <w:szCs w:val="22"/>
        </w:rPr>
        <w:t>Administrar 1 cápsula ao dia ou conforme orientação médica.</w:t>
      </w:r>
    </w:p>
    <w:p w14:paraId="59CE250C" w14:textId="77777777" w:rsidR="00CD65C2" w:rsidRDefault="00CD65C2">
      <w:pPr>
        <w:pStyle w:val="SemEspaamento"/>
      </w:pPr>
    </w:p>
    <w:p w14:paraId="54702DFA" w14:textId="77777777" w:rsidR="00CD65C2" w:rsidRDefault="00CD65C2">
      <w:pPr>
        <w:pStyle w:val="SemEspaamento"/>
      </w:pPr>
    </w:p>
    <w:p w14:paraId="6EA0A9E2" w14:textId="77777777" w:rsidR="00CD65C2" w:rsidRDefault="00CD65C2">
      <w:pPr>
        <w:pStyle w:val="SemEspaamento"/>
      </w:pPr>
    </w:p>
    <w:p w14:paraId="24A229AE" w14:textId="77777777" w:rsidR="00CD65C2" w:rsidRDefault="00CD65C2">
      <w:pPr>
        <w:pStyle w:val="SemEspaamento"/>
      </w:pPr>
    </w:p>
    <w:p w14:paraId="7C25C54F" w14:textId="77777777" w:rsidR="00CD65C2" w:rsidRDefault="00CD65C2">
      <w:pPr>
        <w:pStyle w:val="SemEspaamento"/>
      </w:pPr>
    </w:p>
    <w:p w14:paraId="500F6461" w14:textId="77777777" w:rsidR="00CD65C2" w:rsidRDefault="00CD65C2">
      <w:pPr>
        <w:pStyle w:val="SemEspaamento"/>
      </w:pPr>
    </w:p>
    <w:p w14:paraId="798AC0AA" w14:textId="77777777" w:rsidR="00CD65C2" w:rsidRDefault="00CD65C2">
      <w:pPr>
        <w:pStyle w:val="SemEspaamento"/>
      </w:pPr>
    </w:p>
    <w:p w14:paraId="5B0E3B62" w14:textId="77777777" w:rsidR="00CD65C2" w:rsidRDefault="00CD65C2">
      <w:pPr>
        <w:pStyle w:val="SemEspaamento"/>
      </w:pPr>
    </w:p>
    <w:p w14:paraId="4C0901BB" w14:textId="77777777" w:rsidR="00CD65C2" w:rsidRDefault="00CD65C2">
      <w:pPr>
        <w:pStyle w:val="SemEspaamento"/>
      </w:pPr>
    </w:p>
    <w:p w14:paraId="109448B0" w14:textId="77777777" w:rsidR="00CD65C2" w:rsidRDefault="00CD65C2">
      <w:pPr>
        <w:pStyle w:val="SemEspaamento"/>
      </w:pPr>
    </w:p>
    <w:p w14:paraId="23B5550A" w14:textId="77777777" w:rsidR="00CD65C2" w:rsidRDefault="00CD65C2">
      <w:pPr>
        <w:pStyle w:val="SemEspaamento"/>
      </w:pPr>
    </w:p>
    <w:p w14:paraId="7E8C36F2" w14:textId="77777777" w:rsidR="00CD65C2" w:rsidRDefault="00CD65C2">
      <w:pPr>
        <w:pStyle w:val="SemEspaamento"/>
      </w:pPr>
    </w:p>
    <w:p w14:paraId="6424EBB5" w14:textId="77777777" w:rsidR="00CD65C2" w:rsidRDefault="00CD65C2">
      <w:pPr>
        <w:pStyle w:val="SemEspaamento"/>
      </w:pPr>
    </w:p>
    <w:p w14:paraId="77735A17" w14:textId="77777777" w:rsidR="00CD65C2" w:rsidRDefault="00CD65C2">
      <w:pPr>
        <w:pStyle w:val="SemEspaamento"/>
      </w:pPr>
    </w:p>
    <w:p w14:paraId="1F540E4E" w14:textId="77777777" w:rsidR="00CD65C2" w:rsidRDefault="00CD65C2">
      <w:pPr>
        <w:pStyle w:val="SemEspaamento"/>
      </w:pPr>
    </w:p>
    <w:p w14:paraId="76B59A2D" w14:textId="77777777" w:rsidR="00CD65C2" w:rsidRDefault="00CD65C2">
      <w:pPr>
        <w:pStyle w:val="SemEspaamento"/>
      </w:pPr>
    </w:p>
    <w:p w14:paraId="2FE8BA5E" w14:textId="77777777" w:rsidR="00CD65C2" w:rsidRDefault="00CD65C2">
      <w:pPr>
        <w:pStyle w:val="SemEspaamento"/>
      </w:pPr>
    </w:p>
    <w:p w14:paraId="0E42721B" w14:textId="77777777" w:rsidR="00CD65C2" w:rsidRDefault="00CD65C2">
      <w:pPr>
        <w:pStyle w:val="SemEspaamento"/>
      </w:pPr>
    </w:p>
    <w:p w14:paraId="26203400" w14:textId="77777777" w:rsidR="00CD65C2" w:rsidRDefault="00CD65C2">
      <w:pPr>
        <w:pStyle w:val="SemEspaamento"/>
      </w:pPr>
    </w:p>
    <w:p w14:paraId="3C77B4B3" w14:textId="77777777" w:rsidR="00CD65C2" w:rsidRDefault="00CD65C2">
      <w:pPr>
        <w:pStyle w:val="SemEspaamento"/>
      </w:pPr>
    </w:p>
    <w:p w14:paraId="575C028E" w14:textId="77777777" w:rsidR="00CD65C2" w:rsidRDefault="00FA41FC">
      <w:pPr>
        <w:pStyle w:val="Ttulo1"/>
        <w:jc w:val="center"/>
        <w:rPr>
          <w:rFonts w:hint="eastAsia"/>
        </w:rPr>
      </w:pPr>
      <w:bookmarkStart w:id="29" w:name="_Toc165537181"/>
      <w:r>
        <w:t>Magnésio</w:t>
      </w:r>
      <w:bookmarkEnd w:id="29"/>
    </w:p>
    <w:p w14:paraId="7FDADF05" w14:textId="77777777" w:rsidR="00CD65C2" w:rsidRPr="00D1428E" w:rsidRDefault="00FA41FC">
      <w:pPr>
        <w:pStyle w:val="Corpo"/>
        <w:jc w:val="center"/>
        <w:rPr>
          <w:rFonts w:hint="eastAsia"/>
          <w:b/>
          <w:color w:val="0070C0"/>
          <w:sz w:val="40"/>
        </w:rPr>
      </w:pPr>
      <w:r w:rsidRPr="00D1428E">
        <w:rPr>
          <w:b/>
          <w:color w:val="0070C0"/>
          <w:sz w:val="40"/>
        </w:rPr>
        <w:t>Reduz o IMC e Níveis de Testosterona e Aumenta o DHEA</w:t>
      </w:r>
    </w:p>
    <w:p w14:paraId="0AAAB011" w14:textId="77777777" w:rsidR="00CD65C2" w:rsidRDefault="00CD65C2">
      <w:pPr>
        <w:pStyle w:val="Corpo"/>
        <w:rPr>
          <w:rFonts w:hint="eastAsia"/>
          <w:color w:val="404040" w:themeColor="text1" w:themeTint="BF"/>
          <w:sz w:val="24"/>
        </w:rPr>
      </w:pPr>
    </w:p>
    <w:p w14:paraId="5131295B" w14:textId="2432ADF7" w:rsidR="00CD65C2" w:rsidRDefault="00FA41FC">
      <w:pPr>
        <w:pStyle w:val="Corpo"/>
        <w:rPr>
          <w:rFonts w:hint="eastAsia"/>
          <w:color w:val="404040" w:themeColor="text1" w:themeTint="BF"/>
          <w:sz w:val="24"/>
        </w:rPr>
      </w:pPr>
      <w:r>
        <w:rPr>
          <w:color w:val="404040" w:themeColor="text1" w:themeTint="BF"/>
          <w:sz w:val="24"/>
        </w:rPr>
        <w:t xml:space="preserve">Este estudo paralelo, randomizado, duplo-cego e placebo-controlado teve como objetivo investigar os efeitos da suplementação de magnésio no perfil metabólico e níveis de hormônios sexuais em mulheres com SOPC </w:t>
      </w:r>
      <w:r>
        <w:rPr>
          <w:color w:val="404040" w:themeColor="text1" w:themeTint="BF"/>
          <w:sz w:val="24"/>
        </w:rPr>
        <w:fldChar w:fldCharType="begin">
          <w:fldData xml:space="preserve">PEVuZE5vdGU+PENpdGU+PEF1dGhvcj5GYXJzaW5lamFkLU1hcmo8L0F1dGhvcj48WWVhcj4yMDIw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</w:fldData>
        </w:fldChar>
      </w:r>
      <w:r>
        <w:rPr>
          <w:color w:val="404040" w:themeColor="text1" w:themeTint="BF"/>
          <w:sz w:val="24"/>
        </w:rPr>
        <w:instrText xml:space="preserve"> ADDIN EN.CITE </w:instrText>
      </w:r>
      <w:r>
        <w:rPr>
          <w:color w:val="404040" w:themeColor="text1" w:themeTint="BF"/>
          <w:sz w:val="24"/>
        </w:rPr>
        <w:fldChar w:fldCharType="begin">
          <w:fldData xml:space="preserve">PEVuZE5vdGU+PENpdGU+PEF1dGhvcj5GYXJzaW5lamFkLU1hcmo8L0F1dGhvcj48WWVhcj4yMDIw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</w:fldData>
        </w:fldChar>
      </w:r>
      <w:r>
        <w:rPr>
          <w:color w:val="404040" w:themeColor="text1" w:themeTint="BF"/>
          <w:sz w:val="24"/>
        </w:rPr>
        <w:instrText xml:space="preserve"> ADDIN EN.CITE.DATA </w:instrText>
      </w:r>
      <w:r>
        <w:rPr>
          <w:color w:val="404040" w:themeColor="text1" w:themeTint="BF"/>
          <w:sz w:val="24"/>
        </w:rPr>
      </w:r>
      <w:r>
        <w:rPr>
          <w:color w:val="404040" w:themeColor="text1" w:themeTint="BF"/>
          <w:sz w:val="24"/>
        </w:rPr>
        <w:fldChar w:fldCharType="end"/>
      </w:r>
      <w:r>
        <w:rPr>
          <w:color w:val="404040" w:themeColor="text1" w:themeTint="BF"/>
          <w:sz w:val="24"/>
        </w:rPr>
      </w:r>
      <w:r>
        <w:rPr>
          <w:color w:val="404040" w:themeColor="text1" w:themeTint="BF"/>
          <w:sz w:val="24"/>
        </w:rPr>
        <w:fldChar w:fldCharType="separate"/>
      </w:r>
      <w:r>
        <w:rPr>
          <w:color w:val="404040" w:themeColor="text1" w:themeTint="BF"/>
          <w:sz w:val="24"/>
        </w:rPr>
        <w:t>(FARSINEJAD-MARJ; AZADBAKHT; MARDANIAN; SANEEI</w:t>
      </w:r>
      <w:r>
        <w:rPr>
          <w:i/>
          <w:color w:val="404040" w:themeColor="text1" w:themeTint="BF"/>
          <w:sz w:val="24"/>
        </w:rPr>
        <w:t xml:space="preserve"> et al.</w:t>
      </w:r>
      <w:r>
        <w:rPr>
          <w:color w:val="404040" w:themeColor="text1" w:themeTint="BF"/>
          <w:sz w:val="24"/>
        </w:rPr>
        <w:t>, 2020)</w:t>
      </w:r>
      <w:r>
        <w:rPr>
          <w:color w:val="404040" w:themeColor="text1" w:themeTint="BF"/>
          <w:sz w:val="24"/>
        </w:rPr>
        <w:fldChar w:fldCharType="end"/>
      </w:r>
      <w:r>
        <w:rPr>
          <w:color w:val="404040" w:themeColor="text1" w:themeTint="BF"/>
          <w:sz w:val="24"/>
        </w:rPr>
        <w:t>.</w:t>
      </w:r>
    </w:p>
    <w:p w14:paraId="660C7634"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15584" behindDoc="0" locked="0" layoutInCell="1" allowOverlap="1">
                <wp:simplePos x="0" y="0"/>
                <wp:positionH relativeFrom="margin">
                  <wp:posOffset>5080</wp:posOffset>
                </wp:positionH>
                <wp:positionV relativeFrom="paragraph">
                  <wp:posOffset>96520</wp:posOffset>
                </wp:positionV>
                <wp:extent cx="5724525" cy="518160"/>
                <wp:effectExtent l="0" t="0" r="28575" b="15240"/>
                <wp:wrapNone/>
                <wp:docPr id="198" name="Caixa de texto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0070C0"/>
                          </a:solidFill>
                          <a:miter lim="800000"/>
                        </a:ln>
                      </wps:spPr>
                      <wps:txbx>
                        <w:txbxContent>
                          <w:p w14:paraId="7741BC0A" w14:textId="10E63A1C" w:rsidR="00FA41FC" w:rsidRDefault="00FA41FC">
                            <w:pPr>
                              <w:jc w:val="center"/>
                              <w:rPr>
                                <w:rFonts w:ascii="Swis721 Th BT" w:hAnsi="Swis721 Th BT"/>
                                <w:sz w:val="23"/>
                                <w:szCs w:val="23"/>
                              </w:rPr>
                            </w:pPr>
                            <w:r>
                              <w:rPr>
                                <w:rFonts w:ascii="Swis721 Th BT" w:hAnsi="Swis721 Th BT"/>
                                <w:sz w:val="23"/>
                                <w:szCs w:val="23"/>
                              </w:rPr>
                              <w:t xml:space="preserve">Para isso, 60 mulheres com idade entre 20-45 anos e SOPC foram recrutadas para receberem durante oito semanas: </w:t>
                            </w:r>
                          </w:p>
                          <w:p w14:paraId="2FD7C278"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198" o:spid="_x0000_s1059" type="#_x0000_t202" style="position:absolute;left:0;text-align:left;margin-left:.4pt;margin-top:7.6pt;width:450.75pt;height:40.8pt;z-index:2517155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" fillcolor="white [3212]" strokecolor="#0070c0">
                <v:textbox>
                  <w:txbxContent>
                    <w:p w14:paraId="7741BC0A" w14:textId="10E63A1C" w:rsidR="00FA41FC" w:rsidRDefault="00FA41FC">
                      <w:pPr>
                        <w:jc w:val="center"/>
                        <w:rPr>
                          <w:rFonts w:ascii="Swis721 Th BT" w:hAnsi="Swis721 Th BT"/>
                          <w:sz w:val="23"/>
                          <w:szCs w:val="23"/>
                        </w:rPr>
                      </w:pPr>
                      <w:r>
                        <w:rPr>
                          <w:rFonts w:ascii="Swis721 Th BT" w:hAnsi="Swis721 Th BT"/>
                          <w:sz w:val="23"/>
                          <w:szCs w:val="23"/>
                        </w:rPr>
                        <w:t xml:space="preserve">Para isso, 60 mulheres com idade entre 20-45 anos e SOPC foram recrutadas para receberem durante oito semanas: </w:t>
                      </w:r>
                    </w:p>
                    <w:p w14:paraId="2FD7C278"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034C52BC" w14:textId="77777777" w:rsidR="00CD65C2" w:rsidRDefault="00CD65C2">
      <w:pPr>
        <w:pStyle w:val="Corpo"/>
        <w:rPr>
          <w:rFonts w:hint="eastAsia"/>
          <w:color w:val="404040" w:themeColor="text1" w:themeTint="BF"/>
        </w:rPr>
      </w:pPr>
    </w:p>
    <w:p w14:paraId="220EA14F"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712512" behindDoc="0" locked="0" layoutInCell="1" allowOverlap="1">
                <wp:simplePos x="0" y="0"/>
                <wp:positionH relativeFrom="column">
                  <wp:posOffset>4664710</wp:posOffset>
                </wp:positionH>
                <wp:positionV relativeFrom="paragraph">
                  <wp:posOffset>107950</wp:posOffset>
                </wp:positionV>
                <wp:extent cx="226695" cy="138430"/>
                <wp:effectExtent l="0" t="0" r="1905" b="0"/>
                <wp:wrapNone/>
                <wp:docPr id="200" name="Triângulo isósceles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00" o:spid="_x0000_s1026" o:spt="5" type="#_x0000_t5" style="position:absolute;left:0pt;flip:y;margin-left:367.3pt;margin-top:8.5pt;height:10.9pt;width:17.85pt;z-index:251712512;mso-width-relative:page;mso-height-relative:page;" fillcolor="#D9D9D9 [3212]" filled="t" stroked="f" coordsize="21600,21600" o:gfxdata="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d5H66NYA&#10;AAAJAQAADwAAAAAAAAABACAAAAAiAAAAZHJzL2Rvd25yZXYueG1sUEsBAhQAFAAAAAgAh07iQJ1e&#10;SDdaAgAApwQAAA4AAAAAAAAAAQAgAAAAJQEAAGRycy9lMm9Eb2MueG1sUEsFBgAAAAAGAAYAWQEA&#10;APEFA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713536" behindDoc="0" locked="0" layoutInCell="1" allowOverlap="1">
                <wp:simplePos x="0" y="0"/>
                <wp:positionH relativeFrom="column">
                  <wp:posOffset>828675</wp:posOffset>
                </wp:positionH>
                <wp:positionV relativeFrom="paragraph">
                  <wp:posOffset>107950</wp:posOffset>
                </wp:positionV>
                <wp:extent cx="226695" cy="138430"/>
                <wp:effectExtent l="0" t="0" r="1905" b="0"/>
                <wp:wrapNone/>
                <wp:docPr id="199" name="Triângulo isósceles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99" o:spid="_x0000_s1026" o:spt="5" type="#_x0000_t5" style="position:absolute;left:0pt;flip:y;margin-left:65.25pt;margin-top:8.5pt;height:10.9pt;width:17.85pt;z-index:251713536;mso-width-relative:page;mso-height-relative:page;" fillcolor="#D9D9D9 [3212]" filled="t" stroked="f" coordsize="21600,21600" o:gfxdata="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bJW1jW&#10;AAAACQEAAA8AAAAAAAAAAQAgAAAAIgAAAGRycy9kb3ducmV2LnhtbFBLAQIUABQAAAAIAIdO4kDO&#10;WsyOWwIAAKcEAAAOAAAAAAAAAAEAIAAAACUBAABkcnMvZTJvRG9jLnhtbFBLBQYAAAAABgAGAFkB&#10;AADyBQAAAAA=&#10;" adj="10800">
                <v:fill on="t" focussize="0,0"/>
                <v:stroke on="f"/>
                <v:imagedata o:title=""/>
                <o:lock v:ext="edit" aspectratio="f"/>
              </v:shape>
            </w:pict>
          </mc:Fallback>
        </mc:AlternateContent>
      </w:r>
    </w:p>
    <w:p w14:paraId="264F1138"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711488" behindDoc="0" locked="0" layoutInCell="1" allowOverlap="1">
                <wp:simplePos x="0" y="0"/>
                <wp:positionH relativeFrom="column">
                  <wp:posOffset>-5715</wp:posOffset>
                </wp:positionH>
                <wp:positionV relativeFrom="paragraph">
                  <wp:posOffset>88900</wp:posOffset>
                </wp:positionV>
                <wp:extent cx="1913890" cy="781685"/>
                <wp:effectExtent l="0" t="0" r="10160" b="18415"/>
                <wp:wrapNone/>
                <wp:docPr id="201" name="Caixa de texto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51CD7F15"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Óxido de Magnésio 250 mg</w:t>
                            </w:r>
                            <w:r>
                              <w:rPr>
                                <w:rFonts w:ascii="Swis721 Th BT" w:hAnsi="Swis721 Th BT"/>
                                <w:color w:val="FFFFFF" w:themeColor="background1"/>
                                <w:szCs w:val="23"/>
                              </w:rPr>
                              <w:t xml:space="preserve"> </w:t>
                            </w:r>
                          </w:p>
                          <w:p w14:paraId="53912F21"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Carbonato de Cálcio 47 mg</w:t>
                            </w:r>
                          </w:p>
                          <w:p w14:paraId="03C9F16A"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Dose Diária</w:t>
                            </w:r>
                          </w:p>
                          <w:p w14:paraId="753F1C9D"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201" o:spid="_x0000_s1060" type="#_x0000_t202" style="position:absolute;left:0;text-align:left;margin-left:-.45pt;margin-top:7pt;width:150.7pt;height:61.5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" fillcolor="#0070c0" strokecolor="#0070c0">
                <v:textbox>
                  <w:txbxContent>
                    <w:p w14:paraId="51CD7F15"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Óxido de Magnésio 250 mg</w:t>
                      </w:r>
                      <w:r>
                        <w:rPr>
                          <w:rFonts w:ascii="Swis721 Th BT" w:hAnsi="Swis721 Th BT"/>
                          <w:color w:val="FFFFFF" w:themeColor="background1"/>
                          <w:szCs w:val="23"/>
                        </w:rPr>
                        <w:t xml:space="preserve"> </w:t>
                      </w:r>
                    </w:p>
                    <w:p w14:paraId="53912F21"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Carbonato de Cálcio 47 mg</w:t>
                      </w:r>
                    </w:p>
                    <w:p w14:paraId="03C9F16A"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Dose Diária</w:t>
                      </w:r>
                    </w:p>
                    <w:p w14:paraId="753F1C9D"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714560" behindDoc="0" locked="0" layoutInCell="1" allowOverlap="1">
                <wp:simplePos x="0" y="0"/>
                <wp:positionH relativeFrom="column">
                  <wp:posOffset>3839210</wp:posOffset>
                </wp:positionH>
                <wp:positionV relativeFrom="paragraph">
                  <wp:posOffset>88900</wp:posOffset>
                </wp:positionV>
                <wp:extent cx="1905000" cy="781685"/>
                <wp:effectExtent l="0" t="0" r="19050" b="18415"/>
                <wp:wrapNone/>
                <wp:docPr id="202" name="Caixa de texto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011E0929"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785229F5" w14:textId="77777777" w:rsidR="00FA41FC" w:rsidRDefault="00FA41FC">
                            <w:pPr>
                              <w:spacing w:after="0" w:line="240" w:lineRule="auto"/>
                              <w:jc w:val="center"/>
                              <w:rPr>
                                <w:rFonts w:ascii="Swis721 Th BT" w:hAnsi="Swis721 Th BT"/>
                                <w:b/>
                                <w:color w:val="FFFFFF" w:themeColor="background1"/>
                                <w:sz w:val="23"/>
                                <w:szCs w:val="23"/>
                              </w:rPr>
                            </w:pPr>
                          </w:p>
                          <w:p w14:paraId="03208176" w14:textId="77777777" w:rsidR="00FA41FC" w:rsidRDefault="00FA41FC">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202" o:spid="_x0000_s1061" type="#_x0000_t202" style="position:absolute;left:0;text-align:left;margin-left:302.3pt;margin-top:7pt;width:150pt;height:61.5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" fillcolor="#0070c0" strokecolor="#0070c0">
                <v:textbox>
                  <w:txbxContent>
                    <w:p w14:paraId="011E0929"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785229F5" w14:textId="77777777" w:rsidR="00FA41FC" w:rsidRDefault="00FA41FC">
                      <w:pPr>
                        <w:spacing w:after="0" w:line="240" w:lineRule="auto"/>
                        <w:jc w:val="center"/>
                        <w:rPr>
                          <w:rFonts w:ascii="Swis721 Th BT" w:hAnsi="Swis721 Th BT"/>
                          <w:b/>
                          <w:color w:val="FFFFFF" w:themeColor="background1"/>
                          <w:sz w:val="23"/>
                          <w:szCs w:val="23"/>
                        </w:rPr>
                      </w:pPr>
                    </w:p>
                    <w:p w14:paraId="03208176" w14:textId="77777777" w:rsidR="00FA41FC" w:rsidRDefault="00FA41FC">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14:paraId="111348A3" w14:textId="77777777" w:rsidR="00CD65C2" w:rsidRDefault="00CD65C2">
      <w:pPr>
        <w:pStyle w:val="Corpo"/>
        <w:rPr>
          <w:rFonts w:hint="eastAsia"/>
          <w:color w:val="404040" w:themeColor="text1" w:themeTint="BF"/>
        </w:rPr>
      </w:pPr>
    </w:p>
    <w:p w14:paraId="2BD6549C" w14:textId="77777777" w:rsidR="00CD65C2" w:rsidRDefault="00CD65C2">
      <w:pPr>
        <w:pStyle w:val="Corpo"/>
        <w:rPr>
          <w:rFonts w:hint="eastAsia"/>
          <w:color w:val="404040" w:themeColor="text1" w:themeTint="BF"/>
        </w:rPr>
      </w:pPr>
    </w:p>
    <w:p w14:paraId="5878A269" w14:textId="77777777" w:rsidR="00CD65C2" w:rsidRDefault="00CD65C2">
      <w:pPr>
        <w:pStyle w:val="Corpo"/>
        <w:rPr>
          <w:rFonts w:hint="eastAsia"/>
          <w:color w:val="404040" w:themeColor="text1" w:themeTint="BF"/>
        </w:rPr>
      </w:pPr>
    </w:p>
    <w:p w14:paraId="26FB89C3" w14:textId="77777777" w:rsidR="00CD65C2" w:rsidRDefault="00CD65C2">
      <w:pPr>
        <w:pStyle w:val="Corpo"/>
        <w:spacing w:before="120"/>
        <w:rPr>
          <w:rFonts w:hint="eastAsia"/>
          <w:color w:val="404040" w:themeColor="text1" w:themeTint="BF"/>
          <w:sz w:val="20"/>
        </w:rPr>
      </w:pPr>
    </w:p>
    <w:p w14:paraId="1AE0BBBC"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3A8ED01F" w14:textId="77777777" w:rsidR="00CD65C2" w:rsidRDefault="00CD65C2">
      <w:pPr>
        <w:pStyle w:val="Corpo"/>
        <w:rPr>
          <w:rFonts w:hint="eastAsia"/>
          <w:color w:val="404040" w:themeColor="text1" w:themeTint="BF"/>
          <w:sz w:val="16"/>
          <w:szCs w:val="16"/>
        </w:rPr>
      </w:pPr>
    </w:p>
    <w:p w14:paraId="13D31147" w14:textId="77777777" w:rsidR="00CD65C2" w:rsidRDefault="00FA41FC">
      <w:pPr>
        <w:pStyle w:val="Corpo"/>
        <w:numPr>
          <w:ilvl w:val="0"/>
          <w:numId w:val="5"/>
        </w:numPr>
        <w:spacing w:after="0"/>
        <w:rPr>
          <w:rFonts w:hint="eastAsia"/>
          <w:color w:val="404040" w:themeColor="text1" w:themeTint="BF"/>
          <w:szCs w:val="23"/>
        </w:rPr>
      </w:pPr>
      <w:r>
        <w:rPr>
          <w:color w:val="404040" w:themeColor="text1" w:themeTint="BF"/>
          <w:szCs w:val="23"/>
        </w:rPr>
        <w:t xml:space="preserve">A suplementação de magnésio em mulheres com SOPC promoveu efeitos favoráveis no IMC comparado com o placebo (alterações desde a linha de base no grupo 1: - 0,31 ± 0,07 </w:t>
      </w:r>
      <w:r>
        <w:rPr>
          <w:i/>
          <w:iCs/>
          <w:color w:val="404040" w:themeColor="text1" w:themeTint="BF"/>
          <w:szCs w:val="23"/>
        </w:rPr>
        <w:t>vs</w:t>
      </w:r>
      <w:r>
        <w:rPr>
          <w:color w:val="404040" w:themeColor="text1" w:themeTint="BF"/>
          <w:szCs w:val="23"/>
        </w:rPr>
        <w:t>. 0,07 ± 0,09 kg/m</w:t>
      </w:r>
      <w:r>
        <w:rPr>
          <w:color w:val="404040" w:themeColor="text1" w:themeTint="BF"/>
          <w:szCs w:val="23"/>
          <w:vertAlign w:val="superscript"/>
        </w:rPr>
        <w:t>2</w:t>
      </w:r>
      <w:r>
        <w:rPr>
          <w:color w:val="404040" w:themeColor="text1" w:themeTint="BF"/>
          <w:szCs w:val="23"/>
        </w:rPr>
        <w:t xml:space="preserve"> no grupo 2);</w:t>
      </w:r>
    </w:p>
    <w:p w14:paraId="234A865E" w14:textId="4748A81C" w:rsidR="00CD65C2" w:rsidRDefault="00FA41FC">
      <w:pPr>
        <w:pStyle w:val="Corpo"/>
        <w:numPr>
          <w:ilvl w:val="0"/>
          <w:numId w:val="5"/>
        </w:numPr>
        <w:spacing w:after="0"/>
        <w:rPr>
          <w:rFonts w:hint="eastAsia"/>
          <w:color w:val="404040" w:themeColor="text1" w:themeTint="BF"/>
          <w:szCs w:val="23"/>
        </w:rPr>
      </w:pPr>
      <w:r>
        <w:rPr>
          <w:color w:val="404040" w:themeColor="text1" w:themeTint="BF"/>
          <w:szCs w:val="23"/>
        </w:rPr>
        <w:t xml:space="preserve">A suplementação preveniu o aumento da circunferência da cintura no grupo 1 comparado ao controle (0,02 </w:t>
      </w:r>
      <w:r>
        <w:rPr>
          <w:i/>
          <w:iCs/>
          <w:color w:val="404040" w:themeColor="text1" w:themeTint="BF"/>
          <w:szCs w:val="23"/>
        </w:rPr>
        <w:t>vs.</w:t>
      </w:r>
      <w:r>
        <w:rPr>
          <w:color w:val="404040" w:themeColor="text1" w:themeTint="BF"/>
          <w:szCs w:val="23"/>
        </w:rPr>
        <w:t xml:space="preserve"> 1,15 cm);</w:t>
      </w:r>
    </w:p>
    <w:p w14:paraId="7D11991D" w14:textId="77777777" w:rsidR="00CD65C2" w:rsidRDefault="00FA41FC">
      <w:pPr>
        <w:pStyle w:val="Corpo"/>
        <w:numPr>
          <w:ilvl w:val="0"/>
          <w:numId w:val="5"/>
        </w:numPr>
        <w:spacing w:after="0"/>
        <w:rPr>
          <w:rFonts w:hint="eastAsia"/>
          <w:color w:val="404040" w:themeColor="text1" w:themeTint="BF"/>
          <w:szCs w:val="23"/>
        </w:rPr>
      </w:pPr>
      <w:r>
        <w:rPr>
          <w:color w:val="404040" w:themeColor="text1" w:themeTint="BF"/>
          <w:szCs w:val="23"/>
        </w:rPr>
        <w:t>Nenhum efeito significativo nos parâmetros glicêmicos e perfil lipídico foram observados após a suplementação de magnésio;</w:t>
      </w:r>
    </w:p>
    <w:p w14:paraId="272BECFD" w14:textId="77777777" w:rsidR="00CD65C2" w:rsidRDefault="00FA41FC">
      <w:pPr>
        <w:pStyle w:val="Corpo"/>
        <w:numPr>
          <w:ilvl w:val="0"/>
          <w:numId w:val="5"/>
        </w:numPr>
        <w:spacing w:after="0"/>
        <w:rPr>
          <w:rFonts w:hint="eastAsia"/>
          <w:color w:val="404040" w:themeColor="text1" w:themeTint="BF"/>
          <w:szCs w:val="23"/>
        </w:rPr>
      </w:pPr>
      <w:r>
        <w:rPr>
          <w:color w:val="404040" w:themeColor="text1" w:themeTint="BF"/>
          <w:szCs w:val="23"/>
        </w:rPr>
        <w:t>Um aumento significativo nos níveis séricos de LH foi observado no grupo 1, enquanto houve diminuição no grupo 2;</w:t>
      </w:r>
    </w:p>
    <w:p w14:paraId="5B2F7EB3" w14:textId="77777777" w:rsidR="00CD65C2" w:rsidRDefault="00FA41FC">
      <w:pPr>
        <w:pStyle w:val="Corpo"/>
        <w:numPr>
          <w:ilvl w:val="0"/>
          <w:numId w:val="5"/>
        </w:numPr>
        <w:spacing w:after="0"/>
        <w:rPr>
          <w:rFonts w:hint="eastAsia"/>
          <w:color w:val="404040" w:themeColor="text1" w:themeTint="BF"/>
          <w:szCs w:val="23"/>
        </w:rPr>
      </w:pPr>
      <w:r>
        <w:rPr>
          <w:color w:val="404040" w:themeColor="text1" w:themeTint="BF"/>
          <w:szCs w:val="23"/>
        </w:rPr>
        <w:t xml:space="preserve">Embora tenha sido observada uma diminuição significativa nos níveis séricos de testosterona nos grupos 1 e 2, uma diferença marginalmente significativa nos níveis séricos de testosterona foi encontrada (51,65 </w:t>
      </w:r>
      <w:r>
        <w:rPr>
          <w:i/>
          <w:iCs/>
          <w:color w:val="404040" w:themeColor="text1" w:themeTint="BF"/>
          <w:szCs w:val="23"/>
        </w:rPr>
        <w:t>vs</w:t>
      </w:r>
      <w:r>
        <w:rPr>
          <w:color w:val="404040" w:themeColor="text1" w:themeTint="BF"/>
          <w:szCs w:val="23"/>
        </w:rPr>
        <w:t xml:space="preserve">. 47,80 no grupo 1, 43,41 </w:t>
      </w:r>
      <w:r>
        <w:rPr>
          <w:i/>
          <w:iCs/>
          <w:color w:val="404040" w:themeColor="text1" w:themeTint="BF"/>
          <w:szCs w:val="23"/>
        </w:rPr>
        <w:t>vs</w:t>
      </w:r>
      <w:r>
        <w:rPr>
          <w:color w:val="404040" w:themeColor="text1" w:themeTint="BF"/>
          <w:szCs w:val="23"/>
        </w:rPr>
        <w:t xml:space="preserve">. 39,46 no placebo); </w:t>
      </w:r>
    </w:p>
    <w:p w14:paraId="481C7C3B" w14:textId="77777777" w:rsidR="00CD65C2" w:rsidRDefault="00FA41FC">
      <w:pPr>
        <w:pStyle w:val="Corpo"/>
        <w:numPr>
          <w:ilvl w:val="0"/>
          <w:numId w:val="5"/>
        </w:numPr>
        <w:spacing w:after="0"/>
        <w:rPr>
          <w:rFonts w:hint="eastAsia"/>
          <w:color w:val="404040" w:themeColor="text1" w:themeTint="BF"/>
          <w:szCs w:val="23"/>
        </w:rPr>
      </w:pPr>
      <w:r>
        <w:rPr>
          <w:color w:val="404040" w:themeColor="text1" w:themeTint="BF"/>
          <w:szCs w:val="23"/>
        </w:rPr>
        <w:t xml:space="preserve">Houve aumento significativo na dehidroepiandrosterona (DHEA) sérica (136,32 </w:t>
      </w:r>
      <w:r>
        <w:rPr>
          <w:i/>
          <w:iCs/>
          <w:color w:val="404040" w:themeColor="text1" w:themeTint="BF"/>
          <w:szCs w:val="23"/>
        </w:rPr>
        <w:t>vs</w:t>
      </w:r>
      <w:r>
        <w:rPr>
          <w:color w:val="404040" w:themeColor="text1" w:themeTint="BF"/>
          <w:szCs w:val="23"/>
        </w:rPr>
        <w:t xml:space="preserve">. 172,37 no grupo 1, 102,74 </w:t>
      </w:r>
      <w:r>
        <w:rPr>
          <w:i/>
          <w:iCs/>
          <w:color w:val="404040" w:themeColor="text1" w:themeTint="BF"/>
          <w:szCs w:val="23"/>
        </w:rPr>
        <w:t>vs</w:t>
      </w:r>
      <w:r>
        <w:rPr>
          <w:color w:val="404040" w:themeColor="text1" w:themeTint="BF"/>
          <w:szCs w:val="23"/>
        </w:rPr>
        <w:t>.120,15 no placebo);</w:t>
      </w:r>
    </w:p>
    <w:p w14:paraId="07D6D029" w14:textId="77777777" w:rsidR="00CD65C2" w:rsidRDefault="00FA41FC">
      <w:pPr>
        <w:pStyle w:val="Corpo"/>
        <w:numPr>
          <w:ilvl w:val="0"/>
          <w:numId w:val="5"/>
        </w:numPr>
        <w:spacing w:after="0"/>
        <w:rPr>
          <w:rFonts w:hint="eastAsia"/>
          <w:color w:val="404040" w:themeColor="text1" w:themeTint="BF"/>
          <w:szCs w:val="23"/>
        </w:rPr>
      </w:pPr>
      <w:r>
        <w:rPr>
          <w:color w:val="404040" w:themeColor="text1" w:themeTint="BF"/>
          <w:szCs w:val="23"/>
        </w:rPr>
        <w:t>A suplementação de magnésio não promoveu efeitos significativos em FSH, 17OH-progesterona, globulina ligadora de hormônio sexual (SHBG) e índice de androgênio livre (FAI).</w:t>
      </w:r>
    </w:p>
    <w:p w14:paraId="56FC5783" w14:textId="77777777" w:rsidR="00CD65C2" w:rsidRDefault="00CD65C2">
      <w:pPr>
        <w:pStyle w:val="Corpo"/>
        <w:spacing w:after="120"/>
        <w:ind w:left="786"/>
        <w:rPr>
          <w:rFonts w:hint="eastAsia"/>
          <w:color w:val="404040" w:themeColor="text1" w:themeTint="BF"/>
          <w:sz w:val="24"/>
        </w:rPr>
      </w:pPr>
    </w:p>
    <w:p w14:paraId="29B61349"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490E9110" w14:textId="77777777" w:rsidR="00CD65C2" w:rsidRDefault="00FA41FC">
      <w:pPr>
        <w:pStyle w:val="Corpo"/>
        <w:jc w:val="center"/>
        <w:rPr>
          <w:rFonts w:hint="eastAsia"/>
          <w:color w:val="404040" w:themeColor="text1" w:themeTint="BF"/>
        </w:rPr>
      </w:pPr>
      <w:r>
        <w:rPr>
          <w:b/>
          <w:i/>
          <w:color w:val="404040" w:themeColor="text1" w:themeTint="BF"/>
        </w:rPr>
        <w:t>A suplementação de magnésio reduziu o IMC e níveis de testosterona, e aumentou as concentrações de DHEA em mulheres com SOPC. Além disso, o magnésio pode aumentar os níveis de LH.</w:t>
      </w:r>
    </w:p>
    <w:p w14:paraId="4EDFFFD5" w14:textId="77777777" w:rsidR="00CD65C2" w:rsidRDefault="00FA41FC">
      <w:pPr>
        <w:pStyle w:val="Ttulo1"/>
        <w:jc w:val="center"/>
        <w:rPr>
          <w:rFonts w:hint="eastAsia"/>
        </w:rPr>
      </w:pPr>
      <w:bookmarkStart w:id="30" w:name="_Toc165537182"/>
      <w:r>
        <w:t>Formulário</w:t>
      </w:r>
      <w:bookmarkEnd w:id="30"/>
    </w:p>
    <w:p w14:paraId="0266733D" w14:textId="77777777" w:rsidR="00CD65C2" w:rsidRDefault="00CD65C2">
      <w:pPr>
        <w:pStyle w:val="Corpo"/>
        <w:rPr>
          <w:rFonts w:hint="eastAsia"/>
          <w:b/>
          <w:i/>
          <w:color w:val="404040" w:themeColor="text1" w:themeTint="BF"/>
        </w:rPr>
      </w:pPr>
    </w:p>
    <w:p w14:paraId="2F5F8B02" w14:textId="77777777" w:rsidR="00CD65C2" w:rsidRDefault="00CD65C2">
      <w:pPr>
        <w:pStyle w:val="Corpo"/>
        <w:rPr>
          <w:rFonts w:hint="eastAsia"/>
          <w:b/>
          <w:i/>
          <w:color w:val="404040" w:themeColor="text1" w:themeTint="BF"/>
        </w:rPr>
      </w:pPr>
    </w:p>
    <w:p w14:paraId="7F6486C5" w14:textId="77777777" w:rsidR="00CD65C2" w:rsidRDefault="00FA41FC">
      <w:pPr>
        <w:pStyle w:val="Corpo"/>
        <w:rPr>
          <w:rFonts w:hint="eastAsia"/>
          <w:b/>
          <w:i/>
          <w:color w:val="404040" w:themeColor="text1" w:themeTint="BF"/>
          <w:sz w:val="24"/>
        </w:rPr>
      </w:pPr>
      <w:r>
        <w:rPr>
          <w:b/>
          <w:i/>
          <w:color w:val="404040" w:themeColor="text1" w:themeTint="BF"/>
          <w:sz w:val="24"/>
        </w:rPr>
        <w:t>Redução de IMC e Níveis de Testosterona e Aumento de DHEA na SOPC</w:t>
      </w:r>
    </w:p>
    <w:p w14:paraId="4E932981"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29F2B846"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7EAC101A" w14:textId="77777777" w:rsidR="00CD65C2" w:rsidRDefault="00FA41FC">
            <w:pPr>
              <w:pStyle w:val="Corpo"/>
              <w:jc w:val="center"/>
              <w:rPr>
                <w:rFonts w:hint="eastAsia"/>
                <w:b/>
                <w:color w:val="FFFFFF" w:themeColor="background1"/>
              </w:rPr>
            </w:pPr>
            <w:r>
              <w:rPr>
                <w:b/>
                <w:color w:val="FFFFFF" w:themeColor="background1"/>
                <w:sz w:val="22"/>
              </w:rPr>
              <w:t>Suplementação de Magnésio</w:t>
            </w:r>
          </w:p>
        </w:tc>
      </w:tr>
      <w:tr w:rsidR="00CD65C2" w14:paraId="4E00F42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F940E99" w14:textId="77777777" w:rsidR="00CD65C2" w:rsidRDefault="00FA41FC">
            <w:pPr>
              <w:pStyle w:val="Corpo"/>
              <w:rPr>
                <w:rFonts w:hint="eastAsia"/>
                <w:color w:val="404040" w:themeColor="text1" w:themeTint="BF"/>
              </w:rPr>
            </w:pPr>
            <w:r>
              <w:rPr>
                <w:color w:val="404040" w:themeColor="text1" w:themeTint="BF"/>
              </w:rPr>
              <w:t>Óxido de Magnésio.........................250 mg</w:t>
            </w:r>
          </w:p>
        </w:tc>
      </w:tr>
      <w:tr w:rsidR="00CD65C2" w14:paraId="0CE6778C"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5A242B9" w14:textId="77777777" w:rsidR="00CD65C2" w:rsidRDefault="00FA41FC">
            <w:pPr>
              <w:pStyle w:val="Corpo"/>
              <w:rPr>
                <w:rFonts w:hint="eastAsia"/>
                <w:color w:val="404040" w:themeColor="text1" w:themeTint="BF"/>
              </w:rPr>
            </w:pPr>
            <w:r>
              <w:rPr>
                <w:color w:val="404040" w:themeColor="text1" w:themeTint="BF"/>
              </w:rPr>
              <w:t>Carbonato de Cálcio.........................47 mg</w:t>
            </w:r>
          </w:p>
        </w:tc>
      </w:tr>
      <w:tr w:rsidR="00CD65C2" w14:paraId="03FE70AE"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084DC27" w14:textId="496609AC" w:rsidR="00CD65C2" w:rsidRDefault="00FA41FC">
            <w:pPr>
              <w:pStyle w:val="Corpo"/>
              <w:rPr>
                <w:rFonts w:hint="eastAsia"/>
                <w:color w:val="404040" w:themeColor="text1" w:themeTint="BF"/>
              </w:rPr>
            </w:pPr>
            <w:r>
              <w:rPr>
                <w:color w:val="404040" w:themeColor="text1" w:themeTint="BF"/>
              </w:rPr>
              <w:t>Excipiente q.s.p. ........................1 Cápsula</w:t>
            </w:r>
          </w:p>
        </w:tc>
      </w:tr>
    </w:tbl>
    <w:p w14:paraId="533572A4" w14:textId="77777777" w:rsidR="00CD65C2" w:rsidRDefault="00FA41FC">
      <w:pPr>
        <w:pStyle w:val="Corpo"/>
        <w:ind w:right="4762"/>
        <w:jc w:val="center"/>
        <w:rPr>
          <w:rFonts w:hint="eastAsia"/>
          <w:color w:val="404040" w:themeColor="text1" w:themeTint="BF"/>
          <w:sz w:val="22"/>
          <w:szCs w:val="22"/>
        </w:rPr>
      </w:pPr>
      <w:r>
        <w:rPr>
          <w:color w:val="404040" w:themeColor="text1" w:themeTint="BF"/>
          <w:sz w:val="22"/>
          <w:szCs w:val="22"/>
        </w:rPr>
        <w:t>Administrar 1 cápsula ao dia ou conforme orientação médica.</w:t>
      </w:r>
    </w:p>
    <w:p w14:paraId="447BE217" w14:textId="77777777" w:rsidR="00CD65C2" w:rsidRDefault="00CD65C2">
      <w:pPr>
        <w:pStyle w:val="SemEspaamento"/>
      </w:pPr>
    </w:p>
    <w:p w14:paraId="5F9D6525" w14:textId="77777777" w:rsidR="00CD65C2" w:rsidRDefault="00CD65C2">
      <w:pPr>
        <w:pStyle w:val="SemEspaamento"/>
      </w:pPr>
    </w:p>
    <w:p w14:paraId="343E1FA6" w14:textId="77777777" w:rsidR="00CD65C2" w:rsidRDefault="00CD65C2">
      <w:pPr>
        <w:pStyle w:val="SemEspaamento"/>
      </w:pPr>
    </w:p>
    <w:p w14:paraId="4E50E9A9" w14:textId="77777777" w:rsidR="00CD65C2" w:rsidRDefault="00CD65C2">
      <w:pPr>
        <w:pStyle w:val="SemEspaamento"/>
      </w:pPr>
    </w:p>
    <w:p w14:paraId="1120E7BE" w14:textId="77777777" w:rsidR="00CD65C2" w:rsidRDefault="00CD65C2">
      <w:pPr>
        <w:pStyle w:val="SemEspaamento"/>
      </w:pPr>
    </w:p>
    <w:p w14:paraId="3667145A" w14:textId="77777777" w:rsidR="00CD65C2" w:rsidRDefault="00CD65C2">
      <w:pPr>
        <w:pStyle w:val="SemEspaamento"/>
      </w:pPr>
    </w:p>
    <w:p w14:paraId="2B84A09B" w14:textId="77777777" w:rsidR="00CD65C2" w:rsidRDefault="00CD65C2">
      <w:pPr>
        <w:pStyle w:val="SemEspaamento"/>
      </w:pPr>
    </w:p>
    <w:p w14:paraId="1A1220F8" w14:textId="77777777" w:rsidR="00CD65C2" w:rsidRDefault="00CD65C2">
      <w:pPr>
        <w:pStyle w:val="SemEspaamento"/>
      </w:pPr>
    </w:p>
    <w:p w14:paraId="44878896" w14:textId="77777777" w:rsidR="00CD65C2" w:rsidRDefault="00CD65C2">
      <w:pPr>
        <w:pStyle w:val="SemEspaamento"/>
      </w:pPr>
    </w:p>
    <w:p w14:paraId="1E8FA8B4" w14:textId="77777777" w:rsidR="00CD65C2" w:rsidRDefault="00CD65C2">
      <w:pPr>
        <w:pStyle w:val="SemEspaamento"/>
      </w:pPr>
    </w:p>
    <w:p w14:paraId="0847BC70" w14:textId="77777777" w:rsidR="00CD65C2" w:rsidRDefault="00CD65C2">
      <w:pPr>
        <w:pStyle w:val="SemEspaamento"/>
      </w:pPr>
    </w:p>
    <w:p w14:paraId="4314CD42" w14:textId="77777777" w:rsidR="00CD65C2" w:rsidRDefault="00CD65C2">
      <w:pPr>
        <w:pStyle w:val="SemEspaamento"/>
      </w:pPr>
    </w:p>
    <w:p w14:paraId="10133C24" w14:textId="77777777" w:rsidR="00CD65C2" w:rsidRDefault="00CD65C2">
      <w:pPr>
        <w:pStyle w:val="SemEspaamento"/>
      </w:pPr>
    </w:p>
    <w:p w14:paraId="4CF6D86A" w14:textId="77777777" w:rsidR="00CD65C2" w:rsidRDefault="00CD65C2">
      <w:pPr>
        <w:pStyle w:val="SemEspaamento"/>
      </w:pPr>
    </w:p>
    <w:p w14:paraId="34D94236" w14:textId="77777777" w:rsidR="00CD65C2" w:rsidRDefault="00CD65C2">
      <w:pPr>
        <w:pStyle w:val="SemEspaamento"/>
      </w:pPr>
    </w:p>
    <w:p w14:paraId="0DCDD415" w14:textId="77777777" w:rsidR="00CD65C2" w:rsidRDefault="00CD65C2">
      <w:pPr>
        <w:pStyle w:val="SemEspaamento"/>
      </w:pPr>
    </w:p>
    <w:p w14:paraId="2C4DE187" w14:textId="77777777" w:rsidR="00CD65C2" w:rsidRDefault="00CD65C2">
      <w:pPr>
        <w:pStyle w:val="SemEspaamento"/>
      </w:pPr>
    </w:p>
    <w:p w14:paraId="42D1BEDA" w14:textId="77777777" w:rsidR="00CD65C2" w:rsidRDefault="00CD65C2">
      <w:pPr>
        <w:pStyle w:val="SemEspaamento"/>
      </w:pPr>
    </w:p>
    <w:p w14:paraId="03937DA0" w14:textId="77777777" w:rsidR="00CD65C2" w:rsidRDefault="00CD65C2">
      <w:pPr>
        <w:pStyle w:val="SemEspaamento"/>
      </w:pPr>
    </w:p>
    <w:p w14:paraId="4C472117" w14:textId="77777777" w:rsidR="00CD65C2" w:rsidRDefault="00CD65C2">
      <w:pPr>
        <w:pStyle w:val="SemEspaamento"/>
      </w:pPr>
    </w:p>
    <w:p w14:paraId="5FCD5183" w14:textId="77777777" w:rsidR="00CD65C2" w:rsidRDefault="00CD65C2">
      <w:pPr>
        <w:pStyle w:val="SemEspaamento"/>
      </w:pPr>
    </w:p>
    <w:p w14:paraId="62BCE67B" w14:textId="77777777" w:rsidR="00CD65C2" w:rsidRDefault="00CD65C2">
      <w:pPr>
        <w:pStyle w:val="SemEspaamento"/>
      </w:pPr>
    </w:p>
    <w:p w14:paraId="03E2D900" w14:textId="77777777" w:rsidR="00CD65C2" w:rsidRDefault="00CD65C2">
      <w:pPr>
        <w:pStyle w:val="SemEspaamento"/>
      </w:pPr>
    </w:p>
    <w:p w14:paraId="30AB8016" w14:textId="77777777" w:rsidR="00CD65C2" w:rsidRDefault="00CD65C2">
      <w:pPr>
        <w:pStyle w:val="SemEspaamento"/>
      </w:pPr>
    </w:p>
    <w:p w14:paraId="3E5D907A" w14:textId="77777777" w:rsidR="00CD65C2" w:rsidRDefault="00CD65C2">
      <w:pPr>
        <w:pStyle w:val="SemEspaamento"/>
      </w:pPr>
    </w:p>
    <w:p w14:paraId="267C72E9" w14:textId="77777777" w:rsidR="00CD65C2" w:rsidRDefault="00CD65C2">
      <w:pPr>
        <w:pStyle w:val="SemEspaamento"/>
      </w:pPr>
    </w:p>
    <w:p w14:paraId="0F511F47" w14:textId="77777777" w:rsidR="00CD65C2" w:rsidRDefault="00CD65C2">
      <w:pPr>
        <w:pStyle w:val="SemEspaamento"/>
      </w:pPr>
    </w:p>
    <w:p w14:paraId="362996F9" w14:textId="77777777" w:rsidR="00CD65C2" w:rsidRDefault="00CD65C2">
      <w:pPr>
        <w:pStyle w:val="SemEspaamento"/>
      </w:pPr>
    </w:p>
    <w:p w14:paraId="7491A06D" w14:textId="77777777" w:rsidR="00CD65C2" w:rsidRDefault="00CD65C2">
      <w:pPr>
        <w:pStyle w:val="SemEspaamento"/>
      </w:pPr>
    </w:p>
    <w:p w14:paraId="11C46ADD" w14:textId="77777777" w:rsidR="00CD65C2" w:rsidRDefault="00CD65C2">
      <w:pPr>
        <w:pStyle w:val="SemEspaamento"/>
      </w:pPr>
    </w:p>
    <w:p w14:paraId="37445E1A" w14:textId="77777777" w:rsidR="00CD65C2" w:rsidRDefault="00FA41FC">
      <w:pPr>
        <w:pStyle w:val="Ttulo1"/>
        <w:jc w:val="center"/>
        <w:rPr>
          <w:rFonts w:hint="eastAsia"/>
        </w:rPr>
      </w:pPr>
      <w:bookmarkStart w:id="31" w:name="_Toc165537183"/>
      <w:r>
        <w:t>Ácido Elágico</w:t>
      </w:r>
      <w:bookmarkEnd w:id="31"/>
    </w:p>
    <w:p w14:paraId="54DADFAA" w14:textId="77777777" w:rsidR="00CD65C2" w:rsidRPr="00D1428E" w:rsidRDefault="00FA41FC">
      <w:pPr>
        <w:pStyle w:val="Corpo"/>
        <w:jc w:val="center"/>
        <w:rPr>
          <w:rFonts w:hint="eastAsia"/>
          <w:b/>
          <w:color w:val="0070C0"/>
          <w:sz w:val="40"/>
        </w:rPr>
      </w:pPr>
      <w:r w:rsidRPr="00D1428E">
        <w:rPr>
          <w:b/>
          <w:color w:val="0070C0"/>
          <w:sz w:val="40"/>
        </w:rPr>
        <w:t>Melhora Parâmetros Relacionados com a SOPC</w:t>
      </w:r>
    </w:p>
    <w:p w14:paraId="6BC35CE3" w14:textId="77777777" w:rsidR="00CD65C2" w:rsidRDefault="00CD65C2">
      <w:pPr>
        <w:pStyle w:val="Corpo"/>
        <w:rPr>
          <w:rFonts w:hint="eastAsia"/>
          <w:color w:val="404040" w:themeColor="text1" w:themeTint="BF"/>
          <w:sz w:val="24"/>
        </w:rPr>
      </w:pPr>
    </w:p>
    <w:p w14:paraId="40CF7264" w14:textId="77777777" w:rsidR="00CD65C2" w:rsidRDefault="00FA41FC">
      <w:pPr>
        <w:pStyle w:val="Corpo"/>
        <w:rPr>
          <w:rFonts w:hint="eastAsia"/>
          <w:color w:val="404040" w:themeColor="text1" w:themeTint="BF"/>
          <w:sz w:val="24"/>
        </w:rPr>
      </w:pPr>
      <w:r>
        <w:rPr>
          <w:color w:val="404040" w:themeColor="text1" w:themeTint="BF"/>
          <w:sz w:val="24"/>
        </w:rPr>
        <w:t xml:space="preserve">Um estudo conduzido por Kazemi </w:t>
      </w:r>
      <w:r>
        <w:rPr>
          <w:i/>
          <w:iCs/>
          <w:color w:val="404040" w:themeColor="text1" w:themeTint="BF"/>
          <w:sz w:val="24"/>
        </w:rPr>
        <w:t>et al</w:t>
      </w:r>
      <w:r>
        <w:rPr>
          <w:color w:val="404040" w:themeColor="text1" w:themeTint="BF"/>
          <w:sz w:val="24"/>
        </w:rPr>
        <w:t xml:space="preserve">. (2021) avaliou os efeitos antioxidantes do ácido elágico na resistência à insulina, estresse oxidativo e nos níveis de hormônios sexuais de pacientes com a síndrome dos ovários policísticos (SOPC). </w:t>
      </w:r>
    </w:p>
    <w:p w14:paraId="71643EF7"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20704" behindDoc="0" locked="0" layoutInCell="1" allowOverlap="1">
                <wp:simplePos x="0" y="0"/>
                <wp:positionH relativeFrom="margin">
                  <wp:posOffset>5715</wp:posOffset>
                </wp:positionH>
                <wp:positionV relativeFrom="paragraph">
                  <wp:posOffset>95250</wp:posOffset>
                </wp:positionV>
                <wp:extent cx="5724525" cy="638175"/>
                <wp:effectExtent l="0" t="0" r="28575" b="28575"/>
                <wp:wrapNone/>
                <wp:docPr id="203" name="Caixa de texto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638175"/>
                        </a:xfrm>
                        <a:prstGeom prst="rect">
                          <a:avLst/>
                        </a:prstGeom>
                        <a:solidFill>
                          <a:schemeClr val="bg1">
                            <a:lumMod val="100000"/>
                            <a:lumOff val="0"/>
                          </a:schemeClr>
                        </a:solidFill>
                        <a:ln w="9525">
                          <a:solidFill>
                            <a:srgbClr val="0070C0"/>
                          </a:solidFill>
                          <a:miter lim="800000"/>
                        </a:ln>
                      </wps:spPr>
                      <wps:txbx>
                        <w:txbxContent>
                          <w:p w14:paraId="11F5D0F1" w14:textId="770FFF23" w:rsidR="00FA41FC" w:rsidRDefault="00FA41FC">
                            <w:pPr>
                              <w:jc w:val="center"/>
                              <w:rPr>
                                <w:rFonts w:ascii="Swis721 Th BT" w:hAnsi="Swis721 Th BT"/>
                                <w:sz w:val="23"/>
                                <w:szCs w:val="23"/>
                              </w:rPr>
                            </w:pPr>
                            <w:r>
                              <w:rPr>
                                <w:rFonts w:ascii="Swis721 Th BT" w:hAnsi="Swis721 Th BT"/>
                                <w:sz w:val="23"/>
                                <w:szCs w:val="23"/>
                              </w:rPr>
                              <w:t>Para isso, 60 pacientes foram selecionadas para participarem deste estudo clínico, randomizado, duplo-cego e placebo-controlado. Elas foram divididas em dois grupos para receberem a seguinte posologia durante oito semanas</w:t>
                            </w:r>
                          </w:p>
                          <w:p w14:paraId="1E5D5CAF"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203" o:spid="_x0000_s1062" type="#_x0000_t202" style="position:absolute;left:0;text-align:left;margin-left:.45pt;margin-top:7.5pt;width:450.75pt;height:50.25pt;z-index:2517207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" fillcolor="white [3212]" strokecolor="#0070c0">
                <v:textbox>
                  <w:txbxContent>
                    <w:p w14:paraId="11F5D0F1" w14:textId="770FFF23" w:rsidR="00FA41FC" w:rsidRDefault="00FA41FC">
                      <w:pPr>
                        <w:jc w:val="center"/>
                        <w:rPr>
                          <w:rFonts w:ascii="Swis721 Th BT" w:hAnsi="Swis721 Th BT"/>
                          <w:sz w:val="23"/>
                          <w:szCs w:val="23"/>
                        </w:rPr>
                      </w:pPr>
                      <w:r>
                        <w:rPr>
                          <w:rFonts w:ascii="Swis721 Th BT" w:hAnsi="Swis721 Th BT"/>
                          <w:sz w:val="23"/>
                          <w:szCs w:val="23"/>
                        </w:rPr>
                        <w:t>Para isso, 60 pacientes foram selecionadas para participarem deste estudo clínico, randomizado, duplo-cego e placebo-controlado. Elas foram divididas em dois grupos para receberem a seguinte posologia durante oito semanas</w:t>
                      </w:r>
                    </w:p>
                    <w:p w14:paraId="1E5D5CAF"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7EB962B6" w14:textId="77777777" w:rsidR="00CD65C2" w:rsidRDefault="00CD65C2">
      <w:pPr>
        <w:pStyle w:val="Corpo"/>
        <w:rPr>
          <w:rFonts w:hint="eastAsia"/>
          <w:color w:val="404040" w:themeColor="text1" w:themeTint="BF"/>
        </w:rPr>
      </w:pPr>
    </w:p>
    <w:p w14:paraId="290CE8B7" w14:textId="77777777" w:rsidR="00CD65C2" w:rsidRDefault="00CD65C2">
      <w:pPr>
        <w:pStyle w:val="Corpo"/>
        <w:rPr>
          <w:rFonts w:hint="eastAsia"/>
          <w:color w:val="404040" w:themeColor="text1" w:themeTint="BF"/>
        </w:rPr>
      </w:pPr>
    </w:p>
    <w:p w14:paraId="6F486D0C"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717632" behindDoc="0" locked="0" layoutInCell="1" allowOverlap="1">
                <wp:simplePos x="0" y="0"/>
                <wp:positionH relativeFrom="column">
                  <wp:posOffset>4664710</wp:posOffset>
                </wp:positionH>
                <wp:positionV relativeFrom="paragraph">
                  <wp:posOffset>107950</wp:posOffset>
                </wp:positionV>
                <wp:extent cx="226695" cy="138430"/>
                <wp:effectExtent l="0" t="0" r="1905" b="0"/>
                <wp:wrapNone/>
                <wp:docPr id="204" name="Triângulo isósceles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04" o:spid="_x0000_s1026" o:spt="5" type="#_x0000_t5" style="position:absolute;left:0pt;flip:y;margin-left:367.3pt;margin-top:8.5pt;height:10.9pt;width:17.85pt;z-index:251717632;mso-width-relative:page;mso-height-relative:page;" fillcolor="#D9D9D9 [3212]" filled="t" stroked="f" coordsize="21600,21600" o:gfxdata="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eR+ujW&#10;AAAACQEAAA8AAAAAAAAAAQAgAAAAIgAAAGRycy9kb3ducmV2LnhtbFBLAQIUABQAAAAIAIdO4kDS&#10;0OJaWwIAAKcEAAAOAAAAAAAAAAEAIAAAACUBAABkcnMvZTJvRG9jLnhtbFBLBQYAAAAABgAGAFkB&#10;AADyBQ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718656" behindDoc="0" locked="0" layoutInCell="1" allowOverlap="1">
                <wp:simplePos x="0" y="0"/>
                <wp:positionH relativeFrom="column">
                  <wp:posOffset>828675</wp:posOffset>
                </wp:positionH>
                <wp:positionV relativeFrom="paragraph">
                  <wp:posOffset>107950</wp:posOffset>
                </wp:positionV>
                <wp:extent cx="226695" cy="138430"/>
                <wp:effectExtent l="0" t="0" r="1905" b="0"/>
                <wp:wrapNone/>
                <wp:docPr id="205" name="Triângulo isósceles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05" o:spid="_x0000_s1026" o:spt="5" type="#_x0000_t5" style="position:absolute;left:0pt;flip:y;margin-left:65.25pt;margin-top:8.5pt;height:10.9pt;width:17.85pt;z-index:251718656;mso-width-relative:page;mso-height-relative:page;" fillcolor="#D9D9D9 [3212]" filled="t" stroked="f" coordsize="21600,21600" o:gfxdata="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bJW1jW&#10;AAAACQEAAA8AAAAAAAAAAQAgAAAAIgAAAGRycy9kb3ducmV2LnhtbFBLAQIUABQAAAAIAIdO4kDx&#10;sezaWwIAAKcEAAAOAAAAAAAAAAEAIAAAACUBAABkcnMvZTJvRG9jLnhtbFBLBQYAAAAABgAGAFkB&#10;AADyBQAAAAA=&#10;" adj="10800">
                <v:fill on="t" focussize="0,0"/>
                <v:stroke on="f"/>
                <v:imagedata o:title=""/>
                <o:lock v:ext="edit" aspectratio="f"/>
              </v:shape>
            </w:pict>
          </mc:Fallback>
        </mc:AlternateContent>
      </w:r>
    </w:p>
    <w:p w14:paraId="488C6AE2"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716608" behindDoc="0" locked="0" layoutInCell="1" allowOverlap="1">
                <wp:simplePos x="0" y="0"/>
                <wp:positionH relativeFrom="column">
                  <wp:posOffset>-5715</wp:posOffset>
                </wp:positionH>
                <wp:positionV relativeFrom="paragraph">
                  <wp:posOffset>88900</wp:posOffset>
                </wp:positionV>
                <wp:extent cx="1913890" cy="781685"/>
                <wp:effectExtent l="0" t="0" r="10160" b="18415"/>
                <wp:wrapNone/>
                <wp:docPr id="206" name="Caixa de texto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2CAAC998"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Ácido elágico</w:t>
                            </w:r>
                          </w:p>
                          <w:p w14:paraId="2F0484DE"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200 mg ao dia </w:t>
                            </w:r>
                          </w:p>
                          <w:p w14:paraId="5B69F869"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206" o:spid="_x0000_s1063" type="#_x0000_t202" style="position:absolute;left:0;text-align:left;margin-left:-.45pt;margin-top:7pt;width:150.7pt;height:61.5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" fillcolor="#0070c0" strokecolor="#0070c0">
                <v:textbox>
                  <w:txbxContent>
                    <w:p w14:paraId="2CAAC998"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Ácido elágico</w:t>
                      </w:r>
                    </w:p>
                    <w:p w14:paraId="2F0484DE"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200 mg ao dia </w:t>
                      </w:r>
                    </w:p>
                    <w:p w14:paraId="5B69F869"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719680" behindDoc="0" locked="0" layoutInCell="1" allowOverlap="1">
                <wp:simplePos x="0" y="0"/>
                <wp:positionH relativeFrom="column">
                  <wp:posOffset>3839210</wp:posOffset>
                </wp:positionH>
                <wp:positionV relativeFrom="paragraph">
                  <wp:posOffset>88900</wp:posOffset>
                </wp:positionV>
                <wp:extent cx="1905000" cy="781685"/>
                <wp:effectExtent l="0" t="0" r="19050" b="18415"/>
                <wp:wrapNone/>
                <wp:docPr id="207" name="Caixa de texto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1AFB397B"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32D8ED57" w14:textId="77777777" w:rsidR="00FA41FC" w:rsidRDefault="00FA41FC">
                            <w:pPr>
                              <w:spacing w:after="0" w:line="240" w:lineRule="auto"/>
                              <w:jc w:val="center"/>
                              <w:rPr>
                                <w:rFonts w:ascii="Swis721 Th BT" w:hAnsi="Swis721 Th BT"/>
                                <w:b/>
                                <w:color w:val="FFFFFF" w:themeColor="background1"/>
                                <w:sz w:val="23"/>
                                <w:szCs w:val="23"/>
                              </w:rPr>
                            </w:pPr>
                          </w:p>
                          <w:p w14:paraId="4715EB49" w14:textId="77777777" w:rsidR="00FA41FC" w:rsidRDefault="00FA41FC">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207" o:spid="_x0000_s1064" type="#_x0000_t202" style="position:absolute;left:0;text-align:left;margin-left:302.3pt;margin-top:7pt;width:150pt;height:61.5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" fillcolor="#0070c0" strokecolor="#0070c0">
                <v:textbox>
                  <w:txbxContent>
                    <w:p w14:paraId="1AFB397B"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32D8ED57" w14:textId="77777777" w:rsidR="00FA41FC" w:rsidRDefault="00FA41FC">
                      <w:pPr>
                        <w:spacing w:after="0" w:line="240" w:lineRule="auto"/>
                        <w:jc w:val="center"/>
                        <w:rPr>
                          <w:rFonts w:ascii="Swis721 Th BT" w:hAnsi="Swis721 Th BT"/>
                          <w:b/>
                          <w:color w:val="FFFFFF" w:themeColor="background1"/>
                          <w:sz w:val="23"/>
                          <w:szCs w:val="23"/>
                        </w:rPr>
                      </w:pPr>
                    </w:p>
                    <w:p w14:paraId="4715EB49" w14:textId="77777777" w:rsidR="00FA41FC" w:rsidRDefault="00FA41FC">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14:paraId="2EF030B4" w14:textId="77777777" w:rsidR="00CD65C2" w:rsidRDefault="00CD65C2">
      <w:pPr>
        <w:pStyle w:val="Corpo"/>
        <w:rPr>
          <w:rFonts w:hint="eastAsia"/>
          <w:color w:val="404040" w:themeColor="text1" w:themeTint="BF"/>
        </w:rPr>
      </w:pPr>
    </w:p>
    <w:p w14:paraId="4F89336B" w14:textId="77777777" w:rsidR="00CD65C2" w:rsidRDefault="00CD65C2">
      <w:pPr>
        <w:pStyle w:val="Corpo"/>
        <w:rPr>
          <w:rFonts w:hint="eastAsia"/>
          <w:color w:val="404040" w:themeColor="text1" w:themeTint="BF"/>
        </w:rPr>
      </w:pPr>
    </w:p>
    <w:p w14:paraId="5D867B64" w14:textId="77777777" w:rsidR="00CD65C2" w:rsidRDefault="00CD65C2">
      <w:pPr>
        <w:pStyle w:val="Corpo"/>
        <w:rPr>
          <w:rFonts w:hint="eastAsia"/>
          <w:color w:val="404040" w:themeColor="text1" w:themeTint="BF"/>
        </w:rPr>
      </w:pPr>
    </w:p>
    <w:p w14:paraId="0B389E46" w14:textId="77777777" w:rsidR="00CD65C2" w:rsidRDefault="00CD65C2">
      <w:pPr>
        <w:pStyle w:val="Corpo"/>
        <w:rPr>
          <w:rFonts w:hint="eastAsia"/>
          <w:color w:val="404040" w:themeColor="text1" w:themeTint="BF"/>
        </w:rPr>
      </w:pPr>
    </w:p>
    <w:p w14:paraId="161C88F9" w14:textId="55E3C13A" w:rsidR="00CD65C2" w:rsidRDefault="00FA41FC">
      <w:pPr>
        <w:pStyle w:val="Corpo"/>
        <w:numPr>
          <w:ilvl w:val="0"/>
          <w:numId w:val="22"/>
        </w:numPr>
        <w:rPr>
          <w:rFonts w:hint="eastAsia"/>
          <w:color w:val="404040" w:themeColor="text1" w:themeTint="BF"/>
          <w:sz w:val="20"/>
          <w:szCs w:val="20"/>
        </w:rPr>
      </w:pPr>
      <w:r>
        <w:rPr>
          <w:color w:val="404040" w:themeColor="text1" w:themeTint="BF"/>
          <w:sz w:val="20"/>
          <w:szCs w:val="20"/>
        </w:rPr>
        <w:t>As medidas de avaliação consistiram em análises realizadas através dos níveis de glicose em jejum (FBS), níveis de insulina, resistência à insulina (RI), colesterol total (CT), triglicerídeos (TG), colesterol LDL, colesterol HDL, capacidade antioxidante total (CAT), TNF-</w:t>
      </w:r>
      <w:r>
        <w:rPr>
          <w:rFonts w:ascii="Calibri" w:hAnsi="Calibri" w:cs="Calibri"/>
          <w:color w:val="404040" w:themeColor="text1" w:themeTint="BF"/>
          <w:sz w:val="20"/>
          <w:szCs w:val="20"/>
        </w:rPr>
        <w:t>α</w:t>
      </w:r>
      <w:r>
        <w:rPr>
          <w:color w:val="404040" w:themeColor="text1" w:themeTint="BF"/>
          <w:sz w:val="20"/>
          <w:szCs w:val="20"/>
        </w:rPr>
        <w:t>, malondialde</w:t>
      </w:r>
      <w:r>
        <w:rPr>
          <w:rFonts w:cs="Swis721 Th BT"/>
          <w:color w:val="404040" w:themeColor="text1" w:themeTint="BF"/>
          <w:sz w:val="20"/>
          <w:szCs w:val="20"/>
        </w:rPr>
        <w:t>í</w:t>
      </w:r>
      <w:r>
        <w:rPr>
          <w:color w:val="404040" w:themeColor="text1" w:themeTint="BF"/>
          <w:sz w:val="20"/>
          <w:szCs w:val="20"/>
        </w:rPr>
        <w:t>do (MDA), prote</w:t>
      </w:r>
      <w:r>
        <w:rPr>
          <w:rFonts w:cs="Swis721 Th BT"/>
          <w:color w:val="404040" w:themeColor="text1" w:themeTint="BF"/>
          <w:sz w:val="20"/>
          <w:szCs w:val="20"/>
        </w:rPr>
        <w:t>í</w:t>
      </w:r>
      <w:r>
        <w:rPr>
          <w:color w:val="404040" w:themeColor="text1" w:themeTint="BF"/>
          <w:sz w:val="20"/>
          <w:szCs w:val="20"/>
        </w:rPr>
        <w:t xml:space="preserve">na C reativa (PCR), hormônios sexuais e hormônio anti-mulleriano (HAM). Todos esses parâmetros foram avaliados antes e após o tratamento. </w:t>
      </w:r>
    </w:p>
    <w:p w14:paraId="5FBF6C02" w14:textId="77777777" w:rsidR="00CD65C2" w:rsidRDefault="00CD65C2">
      <w:pPr>
        <w:pStyle w:val="Corpo"/>
        <w:rPr>
          <w:rFonts w:hint="eastAsia"/>
          <w:color w:val="404040" w:themeColor="text1" w:themeTint="BF"/>
        </w:rPr>
      </w:pPr>
    </w:p>
    <w:p w14:paraId="4D9F615E"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7667286A" w14:textId="77777777" w:rsidR="00CD65C2" w:rsidRDefault="00CD65C2">
      <w:pPr>
        <w:pStyle w:val="Corpo"/>
        <w:rPr>
          <w:rFonts w:hint="eastAsia"/>
          <w:color w:val="404040" w:themeColor="text1" w:themeTint="BF"/>
          <w:sz w:val="16"/>
          <w:szCs w:val="16"/>
        </w:rPr>
      </w:pPr>
    </w:p>
    <w:p w14:paraId="6E865F78" w14:textId="77777777" w:rsidR="00CD65C2" w:rsidRDefault="00FA41FC">
      <w:pPr>
        <w:pStyle w:val="Corpo"/>
        <w:numPr>
          <w:ilvl w:val="0"/>
          <w:numId w:val="23"/>
        </w:numPr>
        <w:spacing w:after="120"/>
        <w:rPr>
          <w:rFonts w:hint="eastAsia"/>
          <w:color w:val="404040" w:themeColor="text1" w:themeTint="BF"/>
          <w:szCs w:val="23"/>
        </w:rPr>
      </w:pPr>
      <w:r>
        <w:rPr>
          <w:color w:val="404040" w:themeColor="text1" w:themeTint="BF"/>
          <w:szCs w:val="23"/>
        </w:rPr>
        <w:t>Ao final do estudo, os níveis de FBS, insulina, RI, CT, TG, LDL-colesterol, MDA, PCR, TNF</w:t>
      </w:r>
      <w:r>
        <w:rPr>
          <w:rFonts w:ascii="Calibri" w:hAnsi="Calibri" w:cs="Calibri"/>
          <w:color w:val="404040" w:themeColor="text1" w:themeTint="BF"/>
          <w:szCs w:val="23"/>
        </w:rPr>
        <w:t>α</w:t>
      </w:r>
      <w:r>
        <w:rPr>
          <w:color w:val="404040" w:themeColor="text1" w:themeTint="BF"/>
          <w:szCs w:val="23"/>
        </w:rPr>
        <w:t>, testosterona total, prolactina e HAM foram significativamente reduzidos no grupo que recebeu o ácido elágico quando comparado com o placebo (p &lt; 0,05);</w:t>
      </w:r>
    </w:p>
    <w:p w14:paraId="34096D44" w14:textId="77777777" w:rsidR="00CD65C2" w:rsidRDefault="00FA41FC">
      <w:pPr>
        <w:pStyle w:val="Corpo"/>
        <w:numPr>
          <w:ilvl w:val="0"/>
          <w:numId w:val="23"/>
        </w:numPr>
        <w:spacing w:after="120"/>
        <w:rPr>
          <w:rFonts w:hint="eastAsia"/>
          <w:color w:val="404040" w:themeColor="text1" w:themeTint="BF"/>
          <w:szCs w:val="23"/>
        </w:rPr>
      </w:pPr>
      <w:r>
        <w:rPr>
          <w:color w:val="404040" w:themeColor="text1" w:themeTint="BF"/>
          <w:szCs w:val="23"/>
        </w:rPr>
        <w:t>Houve aumento significativo no CAT após a suplementação de ácido elágico (p &lt; 0,05);</w:t>
      </w:r>
    </w:p>
    <w:p w14:paraId="68B1881E" w14:textId="77777777" w:rsidR="00CD65C2" w:rsidRDefault="00FA41FC">
      <w:pPr>
        <w:pStyle w:val="Corpo"/>
        <w:numPr>
          <w:ilvl w:val="0"/>
          <w:numId w:val="23"/>
        </w:numPr>
        <w:spacing w:after="120"/>
        <w:rPr>
          <w:rFonts w:hint="eastAsia"/>
          <w:color w:val="404040" w:themeColor="text1" w:themeTint="BF"/>
          <w:szCs w:val="23"/>
        </w:rPr>
      </w:pPr>
      <w:r>
        <w:rPr>
          <w:color w:val="404040" w:themeColor="text1" w:themeTint="BF"/>
          <w:szCs w:val="23"/>
        </w:rPr>
        <w:t>No final do estudo não foram observadas alterações nos fatores antropométricos, atividade física e ingestão calórica (P &gt; 0,05).</w:t>
      </w:r>
    </w:p>
    <w:p w14:paraId="7DBFCC7F" w14:textId="77777777" w:rsidR="00CD65C2" w:rsidRDefault="00CD65C2">
      <w:pPr>
        <w:pStyle w:val="Corpo"/>
        <w:spacing w:after="120"/>
        <w:ind w:left="786"/>
        <w:rPr>
          <w:rFonts w:hint="eastAsia"/>
          <w:color w:val="404040" w:themeColor="text1" w:themeTint="BF"/>
          <w:sz w:val="24"/>
        </w:rPr>
      </w:pPr>
    </w:p>
    <w:p w14:paraId="42153007"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41E05B2D"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5716B6FF" w14:textId="77777777" w:rsidR="00CD65C2" w:rsidRDefault="00FA41FC">
      <w:pPr>
        <w:pStyle w:val="Corpo"/>
        <w:jc w:val="center"/>
        <w:rPr>
          <w:rFonts w:hint="eastAsia"/>
          <w:b/>
          <w:i/>
          <w:color w:val="404040" w:themeColor="text1" w:themeTint="BF"/>
        </w:rPr>
      </w:pPr>
      <w:r>
        <w:rPr>
          <w:b/>
          <w:i/>
          <w:color w:val="404040" w:themeColor="text1" w:themeTint="BF"/>
        </w:rPr>
        <w:t>A suplementação de ácido elágico pode ser útil em mulheres com SOPC através, por exemplo, da melhora na resistência à insulina. Esse suplemento também regula positivamente outros distúrbios relacionados com o metabolismo.</w:t>
      </w:r>
    </w:p>
    <w:p w14:paraId="1D7732D3" w14:textId="77777777" w:rsidR="00CD65C2" w:rsidRDefault="00CD65C2">
      <w:pPr>
        <w:pStyle w:val="Corpo"/>
        <w:jc w:val="center"/>
        <w:rPr>
          <w:rFonts w:hint="eastAsia"/>
          <w:color w:val="404040" w:themeColor="text1" w:themeTint="BF"/>
        </w:rPr>
      </w:pPr>
    </w:p>
    <w:p w14:paraId="00E5887F" w14:textId="77777777" w:rsidR="00CD65C2" w:rsidRDefault="00FA41FC">
      <w:pPr>
        <w:pStyle w:val="Ttulo1"/>
        <w:jc w:val="center"/>
        <w:rPr>
          <w:rFonts w:hint="eastAsia"/>
        </w:rPr>
      </w:pPr>
      <w:bookmarkStart w:id="32" w:name="_Toc165537184"/>
      <w:r>
        <w:t>Formulário</w:t>
      </w:r>
      <w:bookmarkEnd w:id="32"/>
    </w:p>
    <w:p w14:paraId="00B21A53" w14:textId="77777777" w:rsidR="00CD65C2" w:rsidRDefault="00CD65C2">
      <w:pPr>
        <w:pStyle w:val="Corpo"/>
        <w:rPr>
          <w:rFonts w:hint="eastAsia"/>
          <w:b/>
          <w:i/>
          <w:color w:val="404040" w:themeColor="text1" w:themeTint="BF"/>
        </w:rPr>
      </w:pPr>
    </w:p>
    <w:p w14:paraId="4BA89FBF" w14:textId="77777777" w:rsidR="00CD65C2" w:rsidRDefault="00CD65C2">
      <w:pPr>
        <w:pStyle w:val="Corpo"/>
        <w:rPr>
          <w:rFonts w:hint="eastAsia"/>
          <w:b/>
          <w:i/>
          <w:color w:val="404040" w:themeColor="text1" w:themeTint="BF"/>
        </w:rPr>
      </w:pPr>
    </w:p>
    <w:p w14:paraId="1F052D34" w14:textId="77777777" w:rsidR="00CD65C2" w:rsidRDefault="00FA41FC">
      <w:pPr>
        <w:pStyle w:val="Corpo"/>
        <w:rPr>
          <w:rFonts w:hint="eastAsia"/>
          <w:b/>
          <w:i/>
          <w:color w:val="404040" w:themeColor="text1" w:themeTint="BF"/>
          <w:sz w:val="24"/>
        </w:rPr>
      </w:pPr>
      <w:r>
        <w:rPr>
          <w:b/>
          <w:i/>
          <w:color w:val="404040" w:themeColor="text1" w:themeTint="BF"/>
          <w:sz w:val="24"/>
        </w:rPr>
        <w:t>Ácido Elágico Regula Parâmetros Metabólicos e Hormonais em Mulheres com SOPC</w:t>
      </w:r>
    </w:p>
    <w:p w14:paraId="24A3E1B5" w14:textId="77777777" w:rsidR="00CD65C2" w:rsidRDefault="00CD65C2">
      <w:pPr>
        <w:pStyle w:val="Corpo"/>
        <w:rPr>
          <w:rFonts w:hint="eastAsia"/>
          <w:b/>
          <w:i/>
          <w:color w:val="404040" w:themeColor="text1" w:themeTint="BF"/>
          <w:sz w:val="24"/>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07902098"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3E16B0F9" w14:textId="77777777" w:rsidR="00CD65C2" w:rsidRDefault="00FA41FC">
            <w:pPr>
              <w:pStyle w:val="Corpo"/>
              <w:jc w:val="center"/>
              <w:rPr>
                <w:rFonts w:hint="eastAsia"/>
                <w:b/>
                <w:color w:val="FFFFFF" w:themeColor="background1"/>
                <w:szCs w:val="23"/>
              </w:rPr>
            </w:pPr>
            <w:r>
              <w:rPr>
                <w:b/>
                <w:color w:val="FFFFFF" w:themeColor="background1"/>
                <w:szCs w:val="23"/>
              </w:rPr>
              <w:t>Cápsulas de Ácido Elágico</w:t>
            </w:r>
          </w:p>
        </w:tc>
      </w:tr>
      <w:tr w:rsidR="00CD65C2" w14:paraId="73320D5C"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F3F1C6B" w14:textId="77777777" w:rsidR="00CD65C2" w:rsidRDefault="00FA41FC">
            <w:pPr>
              <w:pStyle w:val="Corpo"/>
              <w:jc w:val="center"/>
              <w:rPr>
                <w:rFonts w:hint="eastAsia"/>
                <w:color w:val="404040" w:themeColor="text1" w:themeTint="BF"/>
              </w:rPr>
            </w:pPr>
            <w:r>
              <w:rPr>
                <w:color w:val="404040" w:themeColor="text1" w:themeTint="BF"/>
              </w:rPr>
              <w:t>Ácido Elágico.................................200 mg</w:t>
            </w:r>
          </w:p>
        </w:tc>
      </w:tr>
      <w:tr w:rsidR="00CD65C2" w14:paraId="03D505BF"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237701D" w14:textId="1D789EB2" w:rsidR="00CD65C2" w:rsidRDefault="00FA41FC">
            <w:pPr>
              <w:pStyle w:val="Corpo"/>
              <w:jc w:val="center"/>
              <w:rPr>
                <w:rFonts w:hint="eastAsia"/>
                <w:iCs/>
                <w:color w:val="404040" w:themeColor="text1" w:themeTint="BF"/>
              </w:rPr>
            </w:pPr>
            <w:r>
              <w:rPr>
                <w:color w:val="404040" w:themeColor="text1" w:themeTint="BF"/>
              </w:rPr>
              <w:t>Excipiente q.s.p. ........................1 Cápsula</w:t>
            </w:r>
          </w:p>
        </w:tc>
      </w:tr>
    </w:tbl>
    <w:p w14:paraId="1E4A1182" w14:textId="77777777" w:rsidR="00CD65C2" w:rsidRDefault="00FA41FC">
      <w:pPr>
        <w:pStyle w:val="Corpo"/>
        <w:ind w:right="4818"/>
        <w:jc w:val="center"/>
        <w:rPr>
          <w:rFonts w:hint="eastAsia"/>
          <w:color w:val="404040" w:themeColor="text1" w:themeTint="BF"/>
          <w:sz w:val="22"/>
          <w:szCs w:val="22"/>
        </w:rPr>
      </w:pPr>
      <w:r>
        <w:rPr>
          <w:color w:val="404040" w:themeColor="text1" w:themeTint="BF"/>
          <w:sz w:val="22"/>
          <w:szCs w:val="22"/>
        </w:rPr>
        <w:t>Administrar 1 cápsula ao dia ou conforme orientação médica.</w:t>
      </w:r>
    </w:p>
    <w:p w14:paraId="1A8E66A5" w14:textId="77777777" w:rsidR="00CD65C2" w:rsidRDefault="00CD65C2">
      <w:pPr>
        <w:pStyle w:val="SemEspaamento"/>
      </w:pPr>
    </w:p>
    <w:p w14:paraId="6404872E" w14:textId="77777777" w:rsidR="00CD65C2" w:rsidRDefault="00CD65C2">
      <w:pPr>
        <w:pStyle w:val="SemEspaamento"/>
      </w:pPr>
    </w:p>
    <w:p w14:paraId="1CC2D53E" w14:textId="77777777" w:rsidR="00CD65C2" w:rsidRDefault="00CD65C2">
      <w:pPr>
        <w:pStyle w:val="SemEspaamento"/>
      </w:pPr>
    </w:p>
    <w:p w14:paraId="797B63B7" w14:textId="77777777" w:rsidR="00CD65C2" w:rsidRDefault="00CD65C2">
      <w:pPr>
        <w:pStyle w:val="SemEspaamento"/>
      </w:pPr>
    </w:p>
    <w:p w14:paraId="0DAD6C87" w14:textId="77777777" w:rsidR="00CD65C2" w:rsidRDefault="00CD65C2">
      <w:pPr>
        <w:pStyle w:val="SemEspaamento"/>
      </w:pPr>
    </w:p>
    <w:p w14:paraId="5129330F" w14:textId="77777777" w:rsidR="00CD65C2" w:rsidRDefault="00CD65C2">
      <w:pPr>
        <w:pStyle w:val="SemEspaamento"/>
      </w:pPr>
    </w:p>
    <w:p w14:paraId="3498B33F" w14:textId="77777777" w:rsidR="00CD65C2" w:rsidRDefault="00CD65C2">
      <w:pPr>
        <w:pStyle w:val="SemEspaamento"/>
      </w:pPr>
    </w:p>
    <w:p w14:paraId="612147D5" w14:textId="77777777" w:rsidR="00CD65C2" w:rsidRDefault="00CD65C2">
      <w:pPr>
        <w:pStyle w:val="SemEspaamento"/>
      </w:pPr>
    </w:p>
    <w:p w14:paraId="54CDAF50" w14:textId="77777777" w:rsidR="00CD65C2" w:rsidRDefault="00CD65C2">
      <w:pPr>
        <w:pStyle w:val="SemEspaamento"/>
      </w:pPr>
    </w:p>
    <w:p w14:paraId="71CB7058" w14:textId="77777777" w:rsidR="00CD65C2" w:rsidRDefault="00CD65C2">
      <w:pPr>
        <w:pStyle w:val="SemEspaamento"/>
      </w:pPr>
    </w:p>
    <w:p w14:paraId="24A1C978" w14:textId="77777777" w:rsidR="00CD65C2" w:rsidRDefault="00CD65C2">
      <w:pPr>
        <w:pStyle w:val="SemEspaamento"/>
      </w:pPr>
    </w:p>
    <w:p w14:paraId="6DBAD0D7" w14:textId="77777777" w:rsidR="00CD65C2" w:rsidRDefault="00CD65C2">
      <w:pPr>
        <w:pStyle w:val="SemEspaamento"/>
      </w:pPr>
    </w:p>
    <w:p w14:paraId="32EAB68D" w14:textId="77777777" w:rsidR="00CD65C2" w:rsidRDefault="00CD65C2">
      <w:pPr>
        <w:pStyle w:val="SemEspaamento"/>
      </w:pPr>
    </w:p>
    <w:p w14:paraId="716A0F2B" w14:textId="77777777" w:rsidR="00CD65C2" w:rsidRDefault="00CD65C2">
      <w:pPr>
        <w:pStyle w:val="SemEspaamento"/>
      </w:pPr>
    </w:p>
    <w:p w14:paraId="0CD4DD8F" w14:textId="77777777" w:rsidR="00CD65C2" w:rsidRDefault="00CD65C2">
      <w:pPr>
        <w:pStyle w:val="SemEspaamento"/>
      </w:pPr>
    </w:p>
    <w:p w14:paraId="5D447104" w14:textId="77777777" w:rsidR="00CD65C2" w:rsidRDefault="00CD65C2">
      <w:pPr>
        <w:pStyle w:val="SemEspaamento"/>
      </w:pPr>
    </w:p>
    <w:p w14:paraId="25B09DE4" w14:textId="77777777" w:rsidR="00CD65C2" w:rsidRDefault="00CD65C2">
      <w:pPr>
        <w:pStyle w:val="SemEspaamento"/>
      </w:pPr>
    </w:p>
    <w:p w14:paraId="03A5FBD7" w14:textId="77777777" w:rsidR="00CD65C2" w:rsidRDefault="00CD65C2">
      <w:pPr>
        <w:pStyle w:val="SemEspaamento"/>
      </w:pPr>
    </w:p>
    <w:p w14:paraId="11BB0993" w14:textId="77777777" w:rsidR="00CD65C2" w:rsidRDefault="00CD65C2">
      <w:pPr>
        <w:pStyle w:val="SemEspaamento"/>
      </w:pPr>
    </w:p>
    <w:p w14:paraId="4F6B1528" w14:textId="77777777" w:rsidR="00CD65C2" w:rsidRDefault="00CD65C2">
      <w:pPr>
        <w:pStyle w:val="SemEspaamento"/>
      </w:pPr>
    </w:p>
    <w:p w14:paraId="5A1787AE" w14:textId="77777777" w:rsidR="00CD65C2" w:rsidRDefault="00CD65C2">
      <w:pPr>
        <w:pStyle w:val="SemEspaamento"/>
      </w:pPr>
    </w:p>
    <w:p w14:paraId="53BD0A7B" w14:textId="77777777" w:rsidR="00CD65C2" w:rsidRDefault="00CD65C2">
      <w:pPr>
        <w:pStyle w:val="SemEspaamento"/>
      </w:pPr>
    </w:p>
    <w:p w14:paraId="1647FC95" w14:textId="77777777" w:rsidR="00CD65C2" w:rsidRDefault="00CD65C2">
      <w:pPr>
        <w:pStyle w:val="SemEspaamento"/>
      </w:pPr>
    </w:p>
    <w:p w14:paraId="62B1A92F" w14:textId="77777777" w:rsidR="00CD65C2" w:rsidRDefault="00CD65C2">
      <w:pPr>
        <w:pStyle w:val="SemEspaamento"/>
      </w:pPr>
    </w:p>
    <w:p w14:paraId="54B44DBC" w14:textId="77777777" w:rsidR="00CD65C2" w:rsidRDefault="00CD65C2">
      <w:pPr>
        <w:pStyle w:val="SemEspaamento"/>
      </w:pPr>
    </w:p>
    <w:p w14:paraId="24170116" w14:textId="77777777" w:rsidR="00CD65C2" w:rsidRDefault="00CD65C2">
      <w:pPr>
        <w:pStyle w:val="SemEspaamento"/>
      </w:pPr>
    </w:p>
    <w:p w14:paraId="21917007" w14:textId="77777777" w:rsidR="00CD65C2" w:rsidRDefault="00CD65C2">
      <w:pPr>
        <w:pStyle w:val="SemEspaamento"/>
      </w:pPr>
    </w:p>
    <w:p w14:paraId="63837782" w14:textId="77777777" w:rsidR="00CD65C2" w:rsidRDefault="00CD65C2">
      <w:pPr>
        <w:pStyle w:val="SemEspaamento"/>
      </w:pPr>
    </w:p>
    <w:p w14:paraId="458CB48E" w14:textId="77777777" w:rsidR="00CD65C2" w:rsidRDefault="00CD65C2">
      <w:pPr>
        <w:pStyle w:val="SemEspaamento"/>
      </w:pPr>
    </w:p>
    <w:p w14:paraId="41F78EDE" w14:textId="77777777" w:rsidR="00CD65C2" w:rsidRDefault="00CD65C2">
      <w:pPr>
        <w:pStyle w:val="SemEspaamento"/>
      </w:pPr>
    </w:p>
    <w:p w14:paraId="5130A7F9" w14:textId="77777777" w:rsidR="00CD65C2" w:rsidRDefault="00CD65C2">
      <w:pPr>
        <w:pStyle w:val="SemEspaamento"/>
      </w:pPr>
    </w:p>
    <w:p w14:paraId="52A8E6AE" w14:textId="77777777" w:rsidR="00CD65C2" w:rsidRDefault="00CD65C2">
      <w:pPr>
        <w:pStyle w:val="SemEspaamento"/>
      </w:pPr>
    </w:p>
    <w:p w14:paraId="34A67847" w14:textId="77777777" w:rsidR="00CD65C2" w:rsidRDefault="00FA41FC">
      <w:pPr>
        <w:pStyle w:val="Ttulo1"/>
        <w:jc w:val="center"/>
        <w:rPr>
          <w:rFonts w:hint="eastAsia"/>
        </w:rPr>
      </w:pPr>
      <w:bookmarkStart w:id="33" w:name="_Toc165537185"/>
      <w:r>
        <w:t>Coenzima Q10</w:t>
      </w:r>
      <w:bookmarkEnd w:id="33"/>
    </w:p>
    <w:p w14:paraId="7161182D" w14:textId="77777777" w:rsidR="00CD65C2" w:rsidRPr="00D1428E" w:rsidRDefault="00FA41FC">
      <w:pPr>
        <w:pStyle w:val="Corpo"/>
        <w:jc w:val="center"/>
        <w:rPr>
          <w:rFonts w:hint="eastAsia"/>
          <w:b/>
          <w:color w:val="0070C0"/>
          <w:sz w:val="40"/>
        </w:rPr>
      </w:pPr>
      <w:r w:rsidRPr="00D1428E">
        <w:rPr>
          <w:b/>
          <w:color w:val="0070C0"/>
          <w:sz w:val="40"/>
        </w:rPr>
        <w:t>Melhora Parâmetros Relacionados com a SOPC</w:t>
      </w:r>
    </w:p>
    <w:p w14:paraId="34E97521" w14:textId="77777777" w:rsidR="00CD65C2" w:rsidRDefault="00CD65C2">
      <w:pPr>
        <w:pStyle w:val="Corpo"/>
        <w:rPr>
          <w:rFonts w:hint="eastAsia"/>
          <w:color w:val="404040" w:themeColor="text1" w:themeTint="BF"/>
          <w:sz w:val="24"/>
        </w:rPr>
      </w:pPr>
    </w:p>
    <w:p w14:paraId="7B3F3359" w14:textId="65898743" w:rsidR="00CD65C2" w:rsidRDefault="00FA41FC">
      <w:pPr>
        <w:pStyle w:val="Corpo"/>
        <w:rPr>
          <w:rFonts w:hint="eastAsia"/>
          <w:color w:val="404040" w:themeColor="text1" w:themeTint="BF"/>
          <w:sz w:val="24"/>
        </w:rPr>
      </w:pPr>
      <w:r>
        <w:rPr>
          <w:color w:val="404040" w:themeColor="text1" w:themeTint="BF"/>
          <w:sz w:val="24"/>
        </w:rPr>
        <w:t xml:space="preserve">O objetivo deste estudo, publicado no periódico internacional </w:t>
      </w:r>
      <w:r>
        <w:rPr>
          <w:i/>
          <w:iCs/>
          <w:color w:val="404040" w:themeColor="text1" w:themeTint="BF"/>
          <w:sz w:val="24"/>
        </w:rPr>
        <w:t>Reproductive Sciences,</w:t>
      </w:r>
      <w:r>
        <w:rPr>
          <w:color w:val="404040" w:themeColor="text1" w:themeTint="BF"/>
          <w:sz w:val="24"/>
        </w:rPr>
        <w:t xml:space="preserve"> foi avaliar a eficácia e segurança da suplementação de coenzima Q10 no tratamento da síndrome dos ovários policísticos, SOPC (Zhang </w:t>
      </w:r>
      <w:r>
        <w:rPr>
          <w:i/>
          <w:color w:val="404040" w:themeColor="text1" w:themeTint="BF"/>
          <w:sz w:val="24"/>
        </w:rPr>
        <w:t xml:space="preserve">et al., </w:t>
      </w:r>
      <w:r>
        <w:rPr>
          <w:color w:val="404040" w:themeColor="text1" w:themeTint="BF"/>
          <w:sz w:val="24"/>
        </w:rPr>
        <w:t>2022).</w:t>
      </w:r>
    </w:p>
    <w:p w14:paraId="42A1DEA9"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21728" behindDoc="0" locked="0" layoutInCell="1" allowOverlap="1">
                <wp:simplePos x="0" y="0"/>
                <wp:positionH relativeFrom="margin">
                  <wp:posOffset>8255</wp:posOffset>
                </wp:positionH>
                <wp:positionV relativeFrom="paragraph">
                  <wp:posOffset>91440</wp:posOffset>
                </wp:positionV>
                <wp:extent cx="5724525" cy="1240790"/>
                <wp:effectExtent l="0" t="0" r="28575" b="16510"/>
                <wp:wrapNone/>
                <wp:docPr id="208" name="Caixa de texto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240971"/>
                        </a:xfrm>
                        <a:prstGeom prst="rect">
                          <a:avLst/>
                        </a:prstGeom>
                        <a:solidFill>
                          <a:schemeClr val="bg1">
                            <a:lumMod val="100000"/>
                            <a:lumOff val="0"/>
                          </a:schemeClr>
                        </a:solidFill>
                        <a:ln w="9525">
                          <a:solidFill>
                            <a:srgbClr val="0070C0"/>
                          </a:solidFill>
                          <a:miter lim="800000"/>
                        </a:ln>
                      </wps:spPr>
                      <wps:txbx>
                        <w:txbxContent>
                          <w:p w14:paraId="2A5A1E1A" w14:textId="3BBBCE96" w:rsidR="00FA41FC" w:rsidRDefault="00FA41FC">
                            <w:pPr>
                              <w:jc w:val="center"/>
                              <w:rPr>
                                <w:rFonts w:ascii="Swis721 Th BT" w:hAnsi="Swis721 Th BT"/>
                                <w:sz w:val="23"/>
                                <w:szCs w:val="23"/>
                              </w:rPr>
                            </w:pPr>
                            <w:r>
                              <w:rPr>
                                <w:rFonts w:ascii="Swis721 Th BT" w:hAnsi="Swis721 Th BT"/>
                                <w:sz w:val="23"/>
                                <w:szCs w:val="23"/>
                              </w:rPr>
                              <w:t>Para isso, foram realizadas pesquisas em diferentes bancos de dados (</w:t>
                            </w:r>
                            <w:r w:rsidRPr="00D1428E">
                              <w:rPr>
                                <w:rFonts w:ascii="Swis721 Th BT" w:hAnsi="Swis721 Th BT"/>
                                <w:i/>
                                <w:iCs/>
                                <w:sz w:val="23"/>
                                <w:szCs w:val="23"/>
                              </w:rPr>
                              <w:t xml:space="preserve">PubMed, Wanfang Data, CNKI, Embase, ClinicalTrial.gov </w:t>
                            </w:r>
                            <w:r>
                              <w:rPr>
                                <w:rFonts w:ascii="Swis721 Th BT" w:hAnsi="Swis721 Th BT"/>
                                <w:sz w:val="23"/>
                                <w:szCs w:val="23"/>
                              </w:rPr>
                              <w:t>e outros). Foram coletados ensaios clínicos randomizados relevantes sobre a coenzima Q10 no tratamento da SOPC. As avaliações e a meta-análise desses ensaios foram realizadas usando o software RevMan 5.0. Esta revisão sistemática e meta-análise inclui um total de nove ensaios clínicos randomizados envolvendo 1.021 pacientes.</w:t>
                            </w:r>
                          </w:p>
                          <w:p w14:paraId="5E41897C"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208" o:spid="_x0000_s1065" type="#_x0000_t202" style="position:absolute;left:0;text-align:left;margin-left:.65pt;margin-top:7.2pt;width:450.75pt;height:97.7pt;z-index:2517217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" fillcolor="white [3212]" strokecolor="#0070c0">
                <v:textbox>
                  <w:txbxContent>
                    <w:p w14:paraId="2A5A1E1A" w14:textId="3BBBCE96" w:rsidR="00FA41FC" w:rsidRDefault="00FA41FC">
                      <w:pPr>
                        <w:jc w:val="center"/>
                        <w:rPr>
                          <w:rFonts w:ascii="Swis721 Th BT" w:hAnsi="Swis721 Th BT"/>
                          <w:sz w:val="23"/>
                          <w:szCs w:val="23"/>
                        </w:rPr>
                      </w:pPr>
                      <w:r>
                        <w:rPr>
                          <w:rFonts w:ascii="Swis721 Th BT" w:hAnsi="Swis721 Th BT"/>
                          <w:sz w:val="23"/>
                          <w:szCs w:val="23"/>
                        </w:rPr>
                        <w:t>Para isso, foram realizadas pesquisas em diferentes bancos de dados (</w:t>
                      </w:r>
                      <w:r w:rsidRPr="00D1428E">
                        <w:rPr>
                          <w:rFonts w:ascii="Swis721 Th BT" w:hAnsi="Swis721 Th BT"/>
                          <w:i/>
                          <w:iCs/>
                          <w:sz w:val="23"/>
                          <w:szCs w:val="23"/>
                        </w:rPr>
                        <w:t xml:space="preserve">PubMed, Wanfang Data, CNKI, Embase, ClinicalTrial.gov </w:t>
                      </w:r>
                      <w:r>
                        <w:rPr>
                          <w:rFonts w:ascii="Swis721 Th BT" w:hAnsi="Swis721 Th BT"/>
                          <w:sz w:val="23"/>
                          <w:szCs w:val="23"/>
                        </w:rPr>
                        <w:t>e outros). Foram coletados ensaios clínicos randomizados relevantes sobre a coenzima Q10 no tratamento da SOPC. As avaliações e a meta-análise desses ensaios foram realizadas usando o software RevMan 5.0. Esta revisão sistemática e meta-análise inclui um total de nove ensaios clínicos randomizados envolvendo 1.021 pacientes.</w:t>
                      </w:r>
                    </w:p>
                    <w:p w14:paraId="5E41897C"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1344432D" w14:textId="77777777" w:rsidR="00CD65C2" w:rsidRDefault="00CD65C2">
      <w:pPr>
        <w:pStyle w:val="Corpo"/>
        <w:rPr>
          <w:rFonts w:hint="eastAsia"/>
          <w:color w:val="404040" w:themeColor="text1" w:themeTint="BF"/>
        </w:rPr>
      </w:pPr>
    </w:p>
    <w:p w14:paraId="3CD1C2C1" w14:textId="77777777" w:rsidR="00CD65C2" w:rsidRDefault="00CD65C2">
      <w:pPr>
        <w:pStyle w:val="Corpo"/>
        <w:rPr>
          <w:rFonts w:hint="eastAsia"/>
          <w:color w:val="404040" w:themeColor="text1" w:themeTint="BF"/>
        </w:rPr>
      </w:pPr>
    </w:p>
    <w:p w14:paraId="562942CC" w14:textId="77777777" w:rsidR="00CD65C2" w:rsidRDefault="00CD65C2">
      <w:pPr>
        <w:pStyle w:val="Corpo"/>
        <w:rPr>
          <w:rFonts w:hint="eastAsia"/>
          <w:color w:val="404040" w:themeColor="text1" w:themeTint="BF"/>
        </w:rPr>
      </w:pPr>
    </w:p>
    <w:p w14:paraId="07F48067" w14:textId="77777777" w:rsidR="00CD65C2" w:rsidRDefault="00CD65C2">
      <w:pPr>
        <w:pStyle w:val="Corpo"/>
        <w:rPr>
          <w:rFonts w:hint="eastAsia"/>
          <w:color w:val="404040" w:themeColor="text1" w:themeTint="BF"/>
        </w:rPr>
      </w:pPr>
    </w:p>
    <w:p w14:paraId="49EE9F4C" w14:textId="77777777" w:rsidR="00CD65C2" w:rsidRDefault="00CD65C2">
      <w:pPr>
        <w:pStyle w:val="Corpo"/>
        <w:rPr>
          <w:rFonts w:hint="eastAsia"/>
          <w:color w:val="404040" w:themeColor="text1" w:themeTint="BF"/>
        </w:rPr>
      </w:pPr>
    </w:p>
    <w:p w14:paraId="62620312" w14:textId="77777777" w:rsidR="00CD65C2" w:rsidRDefault="00CD65C2">
      <w:pPr>
        <w:pStyle w:val="Corpo"/>
        <w:rPr>
          <w:rFonts w:hint="eastAsia"/>
          <w:color w:val="404040" w:themeColor="text1" w:themeTint="BF"/>
        </w:rPr>
      </w:pPr>
    </w:p>
    <w:p w14:paraId="651CA8EC" w14:textId="77777777" w:rsidR="00CD65C2" w:rsidRDefault="00CD65C2">
      <w:pPr>
        <w:pStyle w:val="Corpo"/>
        <w:rPr>
          <w:rFonts w:hint="eastAsia"/>
          <w:color w:val="404040" w:themeColor="text1" w:themeTint="BF"/>
        </w:rPr>
      </w:pPr>
    </w:p>
    <w:p w14:paraId="17894858"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08A90CF2" w14:textId="77777777" w:rsidR="00CD65C2" w:rsidRDefault="00CD65C2">
      <w:pPr>
        <w:pStyle w:val="Corpo"/>
        <w:rPr>
          <w:rFonts w:hint="eastAsia"/>
          <w:color w:val="404040" w:themeColor="text1" w:themeTint="BF"/>
          <w:sz w:val="16"/>
          <w:szCs w:val="16"/>
        </w:rPr>
      </w:pPr>
    </w:p>
    <w:p w14:paraId="58626380" w14:textId="77777777" w:rsidR="00CD65C2" w:rsidRDefault="00FA41FC">
      <w:pPr>
        <w:pStyle w:val="Corpo"/>
        <w:numPr>
          <w:ilvl w:val="0"/>
          <w:numId w:val="23"/>
        </w:numPr>
        <w:spacing w:after="120"/>
        <w:rPr>
          <w:rFonts w:hint="eastAsia"/>
          <w:color w:val="404040" w:themeColor="text1" w:themeTint="BF"/>
          <w:szCs w:val="23"/>
        </w:rPr>
      </w:pPr>
      <w:r>
        <w:rPr>
          <w:color w:val="404040" w:themeColor="text1" w:themeTint="BF"/>
          <w:szCs w:val="23"/>
        </w:rPr>
        <w:t xml:space="preserve">Os resultados demonstraram que a coenzima Q10 melhorou a resistência à insulina avaliado pelo HOMA-IR, </w:t>
      </w:r>
      <w:r>
        <w:rPr>
          <w:i/>
          <w:iCs/>
          <w:color w:val="404040" w:themeColor="text1" w:themeTint="BF"/>
          <w:szCs w:val="23"/>
        </w:rPr>
        <w:t>Homeostatic Model Assessment for Insulin Resistance</w:t>
      </w:r>
      <w:r>
        <w:rPr>
          <w:color w:val="404040" w:themeColor="text1" w:themeTint="BF"/>
          <w:szCs w:val="23"/>
        </w:rPr>
        <w:t xml:space="preserve"> (diferença da média ponderada: -0,67 [-0,87 a -0,48] – p &lt; 0,00001), insulina em jejum (diferença da média ponderada: -1,75 [-2,65 a -0,84] – p&lt;0,0002), glicose plasmática em jejum (diferença da média ponderada: -5,20 [-8,86 a -1,54] – p &lt; 0,005), melhora dos níveis de FSH, hormônio folículo estimulante (desvio médio padrão: 0,45 [0,11 a 0,78] – p &lt; 0,009) e testosterona (desvio médio padrão: -0,28 [-0,49 a -0,06] – p = 0,01);</w:t>
      </w:r>
    </w:p>
    <w:p w14:paraId="518FF932" w14:textId="77777777" w:rsidR="00CD65C2" w:rsidRDefault="00FA41FC">
      <w:pPr>
        <w:pStyle w:val="Corpo"/>
        <w:numPr>
          <w:ilvl w:val="0"/>
          <w:numId w:val="23"/>
        </w:numPr>
        <w:spacing w:after="120"/>
        <w:rPr>
          <w:rFonts w:hint="eastAsia"/>
          <w:color w:val="404040" w:themeColor="text1" w:themeTint="BF"/>
          <w:szCs w:val="23"/>
        </w:rPr>
      </w:pPr>
      <w:r>
        <w:rPr>
          <w:color w:val="404040" w:themeColor="text1" w:themeTint="BF"/>
          <w:szCs w:val="23"/>
        </w:rPr>
        <w:t>Também foram observadas melhores nos níveis de triglicerídeos (desvio médio padrão: -0,49 [-0,89 a -0,09] – p &lt; 0,02), colesterol total (desvio médio padrão: -0,35 [-0,56 a -0,14] – p &lt; 0,001), colesterol LDL (desvio médio padrão: -0,22 [-0,43 a -0,01] – p = 0,04) e colesterol HDL (desvio médio padrão: 0,22 [0,01 a 0,43] – p = 0,04);</w:t>
      </w:r>
    </w:p>
    <w:p w14:paraId="1B57C8E2" w14:textId="77777777" w:rsidR="00CD65C2" w:rsidRDefault="00FA41FC">
      <w:pPr>
        <w:pStyle w:val="Corpo"/>
        <w:numPr>
          <w:ilvl w:val="0"/>
          <w:numId w:val="23"/>
        </w:numPr>
        <w:spacing w:after="120"/>
        <w:rPr>
          <w:rFonts w:hint="eastAsia"/>
          <w:color w:val="404040" w:themeColor="text1" w:themeTint="BF"/>
          <w:szCs w:val="23"/>
        </w:rPr>
      </w:pPr>
      <w:r>
        <w:rPr>
          <w:color w:val="404040" w:themeColor="text1" w:themeTint="BF"/>
          <w:szCs w:val="23"/>
        </w:rPr>
        <w:t>Não foram reportados efeitos adversos significativos nos estudos avaliados.</w:t>
      </w:r>
    </w:p>
    <w:p w14:paraId="11C25827" w14:textId="77777777" w:rsidR="00CD65C2" w:rsidRDefault="00CD65C2">
      <w:pPr>
        <w:pStyle w:val="Corpo"/>
        <w:spacing w:after="120"/>
        <w:ind w:left="360"/>
        <w:rPr>
          <w:rFonts w:hint="eastAsia"/>
          <w:color w:val="404040" w:themeColor="text1" w:themeTint="BF"/>
          <w:sz w:val="24"/>
        </w:rPr>
      </w:pPr>
    </w:p>
    <w:p w14:paraId="67BC7FAC"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457AC978"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128FCE39" w14:textId="77777777" w:rsidR="00CD65C2" w:rsidRDefault="00FA41FC">
      <w:pPr>
        <w:pStyle w:val="Corpo"/>
        <w:jc w:val="center"/>
        <w:rPr>
          <w:rFonts w:hint="eastAsia"/>
          <w:b/>
          <w:i/>
          <w:iCs/>
          <w:color w:val="404040" w:themeColor="text1" w:themeTint="BF"/>
        </w:rPr>
      </w:pPr>
      <w:r>
        <w:rPr>
          <w:b/>
          <w:i/>
          <w:iCs/>
          <w:color w:val="404040" w:themeColor="text1" w:themeTint="BF"/>
        </w:rPr>
        <w:t>Com base nas evidências dessa revisão, pode-se considerar que a adição de coenzima Q10 é uma terapia segura para tratar a SOPC, regulando a resistência à insulina (redução de HOMA-IR), melhorando os níveis de hormônios sexuais (aumento de FSH e redução de testosterona) e promovendo alterações positivas no perfil lipídico (redução de triglicerídeos, colesterol total, colesterol LDL e aumento de colesterol HDL)</w:t>
      </w:r>
      <w:r>
        <w:rPr>
          <w:b/>
          <w:i/>
          <w:color w:val="404040" w:themeColor="text1" w:themeTint="BF"/>
        </w:rPr>
        <w:t>.</w:t>
      </w:r>
    </w:p>
    <w:p w14:paraId="31E71B14" w14:textId="77777777" w:rsidR="00CD65C2" w:rsidRDefault="00CD65C2">
      <w:pPr>
        <w:pStyle w:val="Corpo"/>
        <w:jc w:val="center"/>
        <w:rPr>
          <w:rFonts w:hint="eastAsia"/>
          <w:b/>
          <w:i/>
          <w:color w:val="404040" w:themeColor="text1" w:themeTint="BF"/>
        </w:rPr>
      </w:pPr>
    </w:p>
    <w:p w14:paraId="0A0694DA" w14:textId="77777777" w:rsidR="00CD65C2" w:rsidRDefault="00CD65C2">
      <w:pPr>
        <w:pStyle w:val="Corpo"/>
        <w:jc w:val="center"/>
        <w:rPr>
          <w:rFonts w:hint="eastAsia"/>
          <w:color w:val="404040" w:themeColor="text1" w:themeTint="BF"/>
        </w:rPr>
      </w:pPr>
    </w:p>
    <w:p w14:paraId="398926B8" w14:textId="77777777" w:rsidR="00CD65C2" w:rsidRDefault="00FA41FC">
      <w:pPr>
        <w:pStyle w:val="Ttulo1"/>
        <w:jc w:val="center"/>
        <w:rPr>
          <w:rFonts w:hint="eastAsia"/>
        </w:rPr>
      </w:pPr>
      <w:bookmarkStart w:id="34" w:name="_Toc165537186"/>
      <w:r>
        <w:t>Formulário</w:t>
      </w:r>
      <w:bookmarkEnd w:id="34"/>
    </w:p>
    <w:p w14:paraId="5D9F2B2C" w14:textId="77777777" w:rsidR="00CD65C2" w:rsidRDefault="00CD65C2">
      <w:pPr>
        <w:pStyle w:val="Corpo"/>
        <w:rPr>
          <w:rFonts w:hint="eastAsia"/>
          <w:b/>
          <w:i/>
          <w:color w:val="404040" w:themeColor="text1" w:themeTint="BF"/>
        </w:rPr>
      </w:pPr>
    </w:p>
    <w:p w14:paraId="3E481804" w14:textId="77777777" w:rsidR="00CD65C2" w:rsidRDefault="00CD65C2">
      <w:pPr>
        <w:pStyle w:val="Corpo"/>
        <w:rPr>
          <w:rFonts w:hint="eastAsia"/>
          <w:b/>
          <w:i/>
          <w:color w:val="404040" w:themeColor="text1" w:themeTint="BF"/>
        </w:rPr>
      </w:pPr>
    </w:p>
    <w:p w14:paraId="6ECE33E8" w14:textId="68170235" w:rsidR="00CD65C2" w:rsidRDefault="00FA41FC">
      <w:pPr>
        <w:pStyle w:val="Corpo"/>
        <w:rPr>
          <w:rFonts w:hint="eastAsia"/>
          <w:b/>
          <w:i/>
          <w:color w:val="404040" w:themeColor="text1" w:themeTint="BF"/>
          <w:sz w:val="24"/>
        </w:rPr>
      </w:pPr>
      <w:r>
        <w:rPr>
          <w:b/>
          <w:i/>
          <w:color w:val="404040" w:themeColor="text1" w:themeTint="BF"/>
          <w:sz w:val="24"/>
        </w:rPr>
        <w:t>Coenzima Q10 Regula Parâmetros Metabólicos e Hormonais em Mulheres com SOPC</w:t>
      </w:r>
    </w:p>
    <w:p w14:paraId="77AA3F0B" w14:textId="77777777" w:rsidR="00CD65C2" w:rsidRDefault="00CD65C2">
      <w:pPr>
        <w:pStyle w:val="Corpo"/>
        <w:rPr>
          <w:rFonts w:hint="eastAsia"/>
          <w:b/>
          <w:i/>
          <w:color w:val="404040" w:themeColor="text1" w:themeTint="BF"/>
          <w:sz w:val="24"/>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40229354"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59417B43" w14:textId="77777777" w:rsidR="00CD65C2" w:rsidRDefault="00FA41FC">
            <w:pPr>
              <w:pStyle w:val="Corpo"/>
              <w:jc w:val="center"/>
              <w:rPr>
                <w:rFonts w:hint="eastAsia"/>
                <w:b/>
                <w:i/>
                <w:color w:val="FFFFFF" w:themeColor="background1"/>
                <w:szCs w:val="23"/>
              </w:rPr>
            </w:pPr>
            <w:r>
              <w:rPr>
                <w:b/>
                <w:color w:val="FFFFFF" w:themeColor="background1"/>
                <w:szCs w:val="23"/>
              </w:rPr>
              <w:t>Cápsulas de Coenzima Q10</w:t>
            </w:r>
          </w:p>
        </w:tc>
      </w:tr>
      <w:tr w:rsidR="00CD65C2" w14:paraId="4981E5C6"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97ADD21" w14:textId="77777777" w:rsidR="00CD65C2" w:rsidRDefault="00FA41FC">
            <w:pPr>
              <w:pStyle w:val="Corpo"/>
              <w:jc w:val="center"/>
              <w:rPr>
                <w:rFonts w:hint="eastAsia"/>
                <w:color w:val="404040" w:themeColor="text1" w:themeTint="BF"/>
              </w:rPr>
            </w:pPr>
            <w:r>
              <w:rPr>
                <w:color w:val="404040" w:themeColor="text1" w:themeTint="BF"/>
              </w:rPr>
              <w:t>Coenzima Q10...............................200 mg</w:t>
            </w:r>
          </w:p>
        </w:tc>
      </w:tr>
      <w:tr w:rsidR="00CD65C2" w14:paraId="3FC7A7FE"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758ABE8" w14:textId="55BCA888" w:rsidR="00CD65C2" w:rsidRDefault="00FA41FC">
            <w:pPr>
              <w:pStyle w:val="Corpo"/>
              <w:jc w:val="center"/>
              <w:rPr>
                <w:rFonts w:hint="eastAsia"/>
                <w:iCs/>
                <w:color w:val="404040" w:themeColor="text1" w:themeTint="BF"/>
              </w:rPr>
            </w:pPr>
            <w:r>
              <w:rPr>
                <w:color w:val="404040" w:themeColor="text1" w:themeTint="BF"/>
              </w:rPr>
              <w:t>Excipiente q.s.p. ........................1 Cápsula</w:t>
            </w:r>
          </w:p>
        </w:tc>
      </w:tr>
    </w:tbl>
    <w:p w14:paraId="69848467" w14:textId="77777777" w:rsidR="00CD65C2" w:rsidRDefault="00FA41FC">
      <w:pPr>
        <w:pStyle w:val="SemEspaamento"/>
        <w:ind w:right="4960"/>
        <w:jc w:val="center"/>
        <w:rPr>
          <w:rFonts w:ascii="Swis721 Th BT" w:eastAsia="MS Mincho" w:hAnsi="Swis721 Th BT" w:hint="eastAsia"/>
          <w:color w:val="404040" w:themeColor="text1" w:themeTint="BF"/>
        </w:rPr>
      </w:pPr>
      <w:r>
        <w:rPr>
          <w:rFonts w:ascii="Swis721 Th BT" w:eastAsia="MS Mincho" w:hAnsi="Swis721 Th BT"/>
          <w:color w:val="404040" w:themeColor="text1" w:themeTint="BF"/>
        </w:rPr>
        <w:t>Administrar 1 cápsula ao dia ou conforme orientação médica.</w:t>
      </w:r>
    </w:p>
    <w:p w14:paraId="1BD8480D" w14:textId="77777777" w:rsidR="00CD65C2" w:rsidRDefault="00FA41FC">
      <w:pPr>
        <w:pStyle w:val="SemEspaamento"/>
      </w:pPr>
      <w:r>
        <w:rPr>
          <w:noProof/>
          <w:lang w:eastAsia="pt-BR"/>
        </w:rPr>
        <mc:AlternateContent>
          <mc:Choice Requires="wps">
            <w:drawing>
              <wp:anchor distT="45720" distB="45720" distL="114300" distR="114300" simplePos="0" relativeHeight="251722752" behindDoc="0" locked="0" layoutInCell="1" allowOverlap="1">
                <wp:simplePos x="0" y="0"/>
                <wp:positionH relativeFrom="column">
                  <wp:posOffset>-2540</wp:posOffset>
                </wp:positionH>
                <wp:positionV relativeFrom="paragraph">
                  <wp:posOffset>254635</wp:posOffset>
                </wp:positionV>
                <wp:extent cx="5629275" cy="1229995"/>
                <wp:effectExtent l="0" t="0" r="9525" b="8255"/>
                <wp:wrapSquare wrapText="bothSides"/>
                <wp:docPr id="21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1229995"/>
                        </a:xfrm>
                        <a:prstGeom prst="rect">
                          <a:avLst/>
                        </a:prstGeom>
                        <a:solidFill>
                          <a:schemeClr val="bg1">
                            <a:lumMod val="85000"/>
                          </a:schemeClr>
                        </a:solidFill>
                        <a:ln w="9525">
                          <a:noFill/>
                          <a:miter lim="800000"/>
                        </a:ln>
                      </wps:spPr>
                      <wps:txbx>
                        <w:txbxContent>
                          <w:p w14:paraId="41951B16" w14:textId="77777777" w:rsidR="00FA41FC" w:rsidRDefault="00FA41FC">
                            <w:pPr>
                              <w:jc w:val="both"/>
                              <w:rPr>
                                <w:rFonts w:ascii="Swis721 Th BT" w:hAnsi="Swis721 Th BT"/>
                                <w:bCs/>
                              </w:rPr>
                            </w:pPr>
                            <w:r>
                              <w:rPr>
                                <w:rFonts w:ascii="Swis721 Th BT" w:hAnsi="Swis721 Th BT"/>
                                <w:bCs/>
                              </w:rPr>
                              <w:t xml:space="preserve">Um estudo publicado no periódico internacional </w:t>
                            </w:r>
                            <w:r>
                              <w:rPr>
                                <w:rFonts w:ascii="Swis721 Th BT" w:hAnsi="Swis721 Th BT"/>
                                <w:bCs/>
                                <w:i/>
                                <w:iCs/>
                              </w:rPr>
                              <w:t xml:space="preserve">Gynecological Endocrinology </w:t>
                            </w:r>
                            <w:r>
                              <w:rPr>
                                <w:rFonts w:ascii="Swis721 Th BT" w:hAnsi="Swis721 Th BT"/>
                                <w:bCs/>
                              </w:rPr>
                              <w:t>teve como objetivo determinar os efeitos da coenzima Q10 nos biomarcadores inflamatórios e da disfunção endotelial em mulheres obesas e sobrepesadas com essa doença. O presente estudo mostrou que a suplementação de CoQ10, por oito semanas, teve um efeito benéfico nos marcadores de disfunção inflamatória e endotelial em pacientes obesas e sobrepesadas com SOPC.</w:t>
                            </w:r>
                          </w:p>
                          <w:p w14:paraId="103D04B8" w14:textId="77777777" w:rsidR="00FA41FC" w:rsidRDefault="00FA41FC">
                            <w:pPr>
                              <w:rPr>
                                <w:rFonts w:ascii="Swis721 Th BT" w:hAnsi="Swis721 Th BT"/>
                                <w:bCs/>
                              </w:rPr>
                            </w:pPr>
                          </w:p>
                          <w:p w14:paraId="0FEAC5A3" w14:textId="77777777" w:rsidR="00FA41FC" w:rsidRDefault="00FA41FC"/>
                        </w:txbxContent>
                      </wps:txbx>
                      <wps:bodyPr rot="0" vert="horz" wrap="square" lIns="91440" tIns="45720" rIns="91440" bIns="45720" anchor="t" anchorCtr="0">
                        <a:noAutofit/>
                      </wps:bodyPr>
                    </wps:wsp>
                  </a:graphicData>
                </a:graphic>
              </wp:anchor>
            </w:drawing>
          </mc:Choice>
          <mc:Fallback>
            <w:pict>
              <v:shape id="_x0000_s1066" type="#_x0000_t202" style="position:absolute;margin-left:-.2pt;margin-top:20.05pt;width:443.25pt;height:96.85pt;z-index:25172275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" fillcolor="#d8d8d8 [2732]" stroked="f">
                <v:textbox>
                  <w:txbxContent>
                    <w:p w14:paraId="41951B16" w14:textId="77777777" w:rsidR="00FA41FC" w:rsidRDefault="00FA41FC">
                      <w:pPr>
                        <w:jc w:val="both"/>
                        <w:rPr>
                          <w:rFonts w:ascii="Swis721 Th BT" w:hAnsi="Swis721 Th BT"/>
                          <w:bCs/>
                        </w:rPr>
                      </w:pPr>
                      <w:r>
                        <w:rPr>
                          <w:rFonts w:ascii="Swis721 Th BT" w:hAnsi="Swis721 Th BT"/>
                          <w:bCs/>
                        </w:rPr>
                        <w:t xml:space="preserve">Um estudo publicado no periódico internacional </w:t>
                      </w:r>
                      <w:r>
                        <w:rPr>
                          <w:rFonts w:ascii="Swis721 Th BT" w:hAnsi="Swis721 Th BT"/>
                          <w:bCs/>
                          <w:i/>
                          <w:iCs/>
                        </w:rPr>
                        <w:t xml:space="preserve">Gynecological Endocrinology </w:t>
                      </w:r>
                      <w:r>
                        <w:rPr>
                          <w:rFonts w:ascii="Swis721 Th BT" w:hAnsi="Swis721 Th BT"/>
                          <w:bCs/>
                        </w:rPr>
                        <w:t>teve como objetivo determinar os efeitos da coenzima Q10 nos biomarcadores inflamatórios e da disfunção endotelial em mulheres obesas e sobrepesadas com essa doença. O presente estudo mostrou que a suplementação de CoQ10, por oito semanas, teve um efeito benéfico nos marcadores de disfunção inflamatória e endotelial em pacientes obesas e sobrepesadas com SOPC.</w:t>
                      </w:r>
                    </w:p>
                    <w:p w14:paraId="103D04B8" w14:textId="77777777" w:rsidR="00FA41FC" w:rsidRDefault="00FA41FC">
                      <w:pPr>
                        <w:rPr>
                          <w:rFonts w:ascii="Swis721 Th BT" w:hAnsi="Swis721 Th BT"/>
                          <w:bCs/>
                        </w:rPr>
                      </w:pPr>
                    </w:p>
                    <w:p w14:paraId="0FEAC5A3" w14:textId="77777777" w:rsidR="00FA41FC" w:rsidRDefault="00FA41FC"/>
                  </w:txbxContent>
                </v:textbox>
                <w10:wrap type="square"/>
              </v:shape>
            </w:pict>
          </mc:Fallback>
        </mc:AlternateContent>
      </w:r>
    </w:p>
    <w:p w14:paraId="3CACB9EF" w14:textId="77777777" w:rsidR="00CD65C2" w:rsidRDefault="00CD65C2">
      <w:pPr>
        <w:pStyle w:val="SemEspaamento"/>
      </w:pPr>
    </w:p>
    <w:p w14:paraId="4965D6BF" w14:textId="77777777" w:rsidR="00CD65C2" w:rsidRDefault="00CD65C2">
      <w:pPr>
        <w:pStyle w:val="SemEspaamento"/>
      </w:pPr>
    </w:p>
    <w:p w14:paraId="62EC3DD1" w14:textId="77777777" w:rsidR="00CD65C2" w:rsidRDefault="00CD65C2">
      <w:pPr>
        <w:pStyle w:val="SemEspaamento"/>
      </w:pPr>
    </w:p>
    <w:p w14:paraId="1C0C725D" w14:textId="77777777" w:rsidR="00CD65C2" w:rsidRDefault="00CD65C2">
      <w:pPr>
        <w:pStyle w:val="SemEspaamento"/>
      </w:pPr>
    </w:p>
    <w:p w14:paraId="248C21CB" w14:textId="77777777" w:rsidR="00CD65C2" w:rsidRDefault="00CD65C2">
      <w:pPr>
        <w:pStyle w:val="SemEspaamento"/>
      </w:pPr>
    </w:p>
    <w:p w14:paraId="2EF93194" w14:textId="77777777" w:rsidR="00CD65C2" w:rsidRDefault="00CD65C2">
      <w:pPr>
        <w:pStyle w:val="SemEspaamento"/>
      </w:pPr>
    </w:p>
    <w:p w14:paraId="28EFC386" w14:textId="77777777" w:rsidR="00CD65C2" w:rsidRDefault="00CD65C2">
      <w:pPr>
        <w:pStyle w:val="SemEspaamento"/>
      </w:pPr>
    </w:p>
    <w:p w14:paraId="112CAD78" w14:textId="77777777" w:rsidR="00CD65C2" w:rsidRDefault="00CD65C2">
      <w:pPr>
        <w:pStyle w:val="SemEspaamento"/>
      </w:pPr>
    </w:p>
    <w:p w14:paraId="7A079A80" w14:textId="77777777" w:rsidR="00CD65C2" w:rsidRDefault="00CD65C2">
      <w:pPr>
        <w:pStyle w:val="SemEspaamento"/>
      </w:pPr>
    </w:p>
    <w:p w14:paraId="10BF0C66" w14:textId="77777777" w:rsidR="00CD65C2" w:rsidRDefault="00CD65C2">
      <w:pPr>
        <w:pStyle w:val="SemEspaamento"/>
      </w:pPr>
    </w:p>
    <w:p w14:paraId="0C4B6E1D" w14:textId="77777777" w:rsidR="00CD65C2" w:rsidRDefault="00CD65C2">
      <w:pPr>
        <w:pStyle w:val="SemEspaamento"/>
      </w:pPr>
    </w:p>
    <w:p w14:paraId="44CC05D5" w14:textId="77777777" w:rsidR="00CD65C2" w:rsidRDefault="00CD65C2">
      <w:pPr>
        <w:pStyle w:val="SemEspaamento"/>
      </w:pPr>
    </w:p>
    <w:p w14:paraId="6208982A" w14:textId="77777777" w:rsidR="00CD65C2" w:rsidRDefault="00CD65C2">
      <w:pPr>
        <w:pStyle w:val="SemEspaamento"/>
      </w:pPr>
    </w:p>
    <w:p w14:paraId="7EC270A6" w14:textId="77777777" w:rsidR="00CD65C2" w:rsidRDefault="00CD65C2">
      <w:pPr>
        <w:pStyle w:val="SemEspaamento"/>
      </w:pPr>
    </w:p>
    <w:p w14:paraId="04689801" w14:textId="77777777" w:rsidR="00CD65C2" w:rsidRDefault="00CD65C2">
      <w:pPr>
        <w:pStyle w:val="SemEspaamento"/>
      </w:pPr>
    </w:p>
    <w:p w14:paraId="3B9C100B" w14:textId="77777777" w:rsidR="00CD65C2" w:rsidRDefault="00CD65C2">
      <w:pPr>
        <w:pStyle w:val="SemEspaamento"/>
      </w:pPr>
    </w:p>
    <w:p w14:paraId="6D2039E1" w14:textId="77777777" w:rsidR="00CD65C2" w:rsidRDefault="00CD65C2">
      <w:pPr>
        <w:pStyle w:val="SemEspaamento"/>
      </w:pPr>
    </w:p>
    <w:p w14:paraId="08595C4F" w14:textId="77777777" w:rsidR="00CD65C2" w:rsidRDefault="00CD65C2">
      <w:pPr>
        <w:pStyle w:val="SemEspaamento"/>
      </w:pPr>
    </w:p>
    <w:p w14:paraId="67370801" w14:textId="77777777" w:rsidR="00CD65C2" w:rsidRDefault="00CD65C2">
      <w:pPr>
        <w:pStyle w:val="SemEspaamento"/>
      </w:pPr>
    </w:p>
    <w:p w14:paraId="453B0F3D" w14:textId="77777777" w:rsidR="00CD65C2" w:rsidRDefault="00CD65C2">
      <w:pPr>
        <w:pStyle w:val="SemEspaamento"/>
      </w:pPr>
    </w:p>
    <w:p w14:paraId="05C48130" w14:textId="77777777" w:rsidR="00CD65C2" w:rsidRDefault="00CD65C2">
      <w:pPr>
        <w:pStyle w:val="SemEspaamento"/>
      </w:pPr>
    </w:p>
    <w:p w14:paraId="5E9CC2BC" w14:textId="77777777" w:rsidR="00CD65C2" w:rsidRDefault="00CD65C2">
      <w:pPr>
        <w:pStyle w:val="SemEspaamento"/>
      </w:pPr>
    </w:p>
    <w:p w14:paraId="3EE79E42" w14:textId="77777777" w:rsidR="00CD65C2" w:rsidRDefault="00CD65C2">
      <w:pPr>
        <w:pStyle w:val="SemEspaamento"/>
      </w:pPr>
    </w:p>
    <w:p w14:paraId="56AF1C66" w14:textId="77777777" w:rsidR="00CD65C2" w:rsidRDefault="00FA41FC">
      <w:pPr>
        <w:pStyle w:val="Ttulo1"/>
        <w:jc w:val="center"/>
        <w:rPr>
          <w:rFonts w:hint="eastAsia"/>
        </w:rPr>
      </w:pPr>
      <w:bookmarkStart w:id="35" w:name="_Toc165537187"/>
      <w:r>
        <w:t>Mio-Inositol e D-Chiro-Inositol</w:t>
      </w:r>
      <w:bookmarkEnd w:id="35"/>
    </w:p>
    <w:p w14:paraId="16E14767" w14:textId="77777777" w:rsidR="00CD65C2" w:rsidRDefault="00FA41FC">
      <w:pPr>
        <w:pStyle w:val="Subtitulocorpo"/>
        <w:rPr>
          <w:rFonts w:hint="eastAsia"/>
        </w:rPr>
      </w:pPr>
      <w:r>
        <w:t>Melhora a Qualidade dos Oócitos de Mulheres com SOPC</w:t>
      </w:r>
    </w:p>
    <w:p w14:paraId="5B7D05CB" w14:textId="77777777" w:rsidR="00CD65C2" w:rsidRDefault="00CD65C2">
      <w:pPr>
        <w:pStyle w:val="Corpo"/>
        <w:rPr>
          <w:rFonts w:hint="eastAsia"/>
          <w:color w:val="404040" w:themeColor="text1" w:themeTint="BF"/>
          <w:sz w:val="24"/>
        </w:rPr>
      </w:pPr>
    </w:p>
    <w:p w14:paraId="6654329B" w14:textId="359EC4FA" w:rsidR="00CD65C2" w:rsidRDefault="00FA41FC">
      <w:pPr>
        <w:pStyle w:val="Corpo"/>
        <w:spacing w:after="120"/>
        <w:rPr>
          <w:rFonts w:hint="eastAsia"/>
          <w:color w:val="404040" w:themeColor="text1" w:themeTint="BF"/>
          <w:sz w:val="24"/>
        </w:rPr>
      </w:pPr>
      <w:r>
        <w:rPr>
          <w:color w:val="404040" w:themeColor="text1" w:themeTint="BF"/>
          <w:sz w:val="24"/>
        </w:rPr>
        <w:t xml:space="preserve">O objetivo desse estudo conduzido por Mendonza </w:t>
      </w:r>
      <w:r>
        <w:rPr>
          <w:i/>
          <w:color w:val="404040" w:themeColor="text1" w:themeTint="BF"/>
          <w:sz w:val="24"/>
        </w:rPr>
        <w:t>et al.</w:t>
      </w:r>
      <w:r>
        <w:rPr>
          <w:color w:val="404040" w:themeColor="text1" w:themeTint="BF"/>
          <w:sz w:val="24"/>
        </w:rPr>
        <w:t xml:space="preserve"> (2019) foi avaliar se o D-chiro-inositol associado com mio-inositol melhoraria a qualidade dos oócitos de mulheres com SOPC submetidas à injeção intracitoplasmática de espermatozoides (ICSI). </w:t>
      </w:r>
    </w:p>
    <w:p w14:paraId="472659CC"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27872" behindDoc="0" locked="0" layoutInCell="1" allowOverlap="1">
                <wp:simplePos x="0" y="0"/>
                <wp:positionH relativeFrom="margin">
                  <wp:posOffset>5715</wp:posOffset>
                </wp:positionH>
                <wp:positionV relativeFrom="paragraph">
                  <wp:posOffset>95250</wp:posOffset>
                </wp:positionV>
                <wp:extent cx="5724525" cy="638175"/>
                <wp:effectExtent l="0" t="0" r="28575" b="28575"/>
                <wp:wrapNone/>
                <wp:docPr id="214" name="Caixa de texto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638175"/>
                        </a:xfrm>
                        <a:prstGeom prst="rect">
                          <a:avLst/>
                        </a:prstGeom>
                        <a:solidFill>
                          <a:schemeClr val="bg1">
                            <a:lumMod val="100000"/>
                            <a:lumOff val="0"/>
                          </a:schemeClr>
                        </a:solidFill>
                        <a:ln w="9525">
                          <a:solidFill>
                            <a:srgbClr val="0070C0"/>
                          </a:solidFill>
                          <a:miter lim="800000"/>
                        </a:ln>
                      </wps:spPr>
                      <wps:txbx>
                        <w:txbxContent>
                          <w:p w14:paraId="5CCBBD29" w14:textId="2EF1277C" w:rsidR="00FA41FC" w:rsidRDefault="00FA41FC">
                            <w:pPr>
                              <w:jc w:val="center"/>
                              <w:rPr>
                                <w:rFonts w:ascii="Swis721 Th BT" w:hAnsi="Swis721 Th BT"/>
                                <w:sz w:val="23"/>
                                <w:szCs w:val="23"/>
                              </w:rPr>
                            </w:pPr>
                            <w:r>
                              <w:rPr>
                                <w:rFonts w:ascii="Swis721 Th BT" w:hAnsi="Swis721 Th BT"/>
                                <w:sz w:val="23"/>
                                <w:szCs w:val="23"/>
                              </w:rPr>
                              <w:t>Assim, 11 mulheres foram selecionadas para participarem deste estudo clínico, randomizado, duplo-cego e paralelo. Elas foram divididas em dois grupos para receberem por 12 semanas a seguinte posologia:</w:t>
                            </w:r>
                          </w:p>
                          <w:p w14:paraId="0F24C4F5"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214" o:spid="_x0000_s1067" type="#_x0000_t202" style="position:absolute;left:0;text-align:left;margin-left:.45pt;margin-top:7.5pt;width:450.75pt;height:50.25pt;z-index:2517278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" fillcolor="white [3212]" strokecolor="#0070c0">
                <v:textbox>
                  <w:txbxContent>
                    <w:p w14:paraId="5CCBBD29" w14:textId="2EF1277C" w:rsidR="00FA41FC" w:rsidRDefault="00FA41FC">
                      <w:pPr>
                        <w:jc w:val="center"/>
                        <w:rPr>
                          <w:rFonts w:ascii="Swis721 Th BT" w:hAnsi="Swis721 Th BT"/>
                          <w:sz w:val="23"/>
                          <w:szCs w:val="23"/>
                        </w:rPr>
                      </w:pPr>
                      <w:r>
                        <w:rPr>
                          <w:rFonts w:ascii="Swis721 Th BT" w:hAnsi="Swis721 Th BT"/>
                          <w:sz w:val="23"/>
                          <w:szCs w:val="23"/>
                        </w:rPr>
                        <w:t>Assim, 11 mulheres foram selecionadas para participarem deste estudo clínico, randomizado, duplo-cego e paralelo. Elas foram divididas em dois grupos para receberem por 12 semanas a seguinte posologia:</w:t>
                      </w:r>
                    </w:p>
                    <w:p w14:paraId="0F24C4F5"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10A4B689" w14:textId="77777777" w:rsidR="00CD65C2" w:rsidRDefault="00CD65C2">
      <w:pPr>
        <w:pStyle w:val="Corpo"/>
        <w:rPr>
          <w:rFonts w:hint="eastAsia"/>
          <w:color w:val="404040" w:themeColor="text1" w:themeTint="BF"/>
        </w:rPr>
      </w:pPr>
    </w:p>
    <w:p w14:paraId="19FB5CD8" w14:textId="77777777" w:rsidR="00CD65C2" w:rsidRDefault="00CD65C2">
      <w:pPr>
        <w:pStyle w:val="Corpo"/>
        <w:rPr>
          <w:rFonts w:hint="eastAsia"/>
          <w:color w:val="404040" w:themeColor="text1" w:themeTint="BF"/>
        </w:rPr>
      </w:pPr>
    </w:p>
    <w:p w14:paraId="5B259159"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724800" behindDoc="0" locked="0" layoutInCell="1" allowOverlap="1">
                <wp:simplePos x="0" y="0"/>
                <wp:positionH relativeFrom="column">
                  <wp:posOffset>4664710</wp:posOffset>
                </wp:positionH>
                <wp:positionV relativeFrom="paragraph">
                  <wp:posOffset>107950</wp:posOffset>
                </wp:positionV>
                <wp:extent cx="226695" cy="138430"/>
                <wp:effectExtent l="0" t="0" r="1905" b="0"/>
                <wp:wrapNone/>
                <wp:docPr id="215" name="Triângulo isósceles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15" o:spid="_x0000_s1026" o:spt="5" type="#_x0000_t5" style="position:absolute;left:0pt;flip:y;margin-left:367.3pt;margin-top:8.5pt;height:10.9pt;width:17.85pt;z-index:251724800;mso-width-relative:page;mso-height-relative:page;" fillcolor="#D9D9D9 [3212]" filled="t" stroked="f" coordsize="21600,21600" o:gfxdata="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eR+ujW&#10;AAAACQEAAA8AAAAAAAAAAQAgAAAAIgAAAGRycy9kb3ducmV2LnhtbFBLAQIUABQAAAAIAIdO4kDi&#10;zgt4WwIAAKcEAAAOAAAAAAAAAAEAIAAAACUBAABkcnMvZTJvRG9jLnhtbFBLBQYAAAAABgAGAFkB&#10;AADyBQ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725824" behindDoc="0" locked="0" layoutInCell="1" allowOverlap="1">
                <wp:simplePos x="0" y="0"/>
                <wp:positionH relativeFrom="column">
                  <wp:posOffset>828675</wp:posOffset>
                </wp:positionH>
                <wp:positionV relativeFrom="paragraph">
                  <wp:posOffset>107950</wp:posOffset>
                </wp:positionV>
                <wp:extent cx="226695" cy="138430"/>
                <wp:effectExtent l="0" t="0" r="1905" b="0"/>
                <wp:wrapNone/>
                <wp:docPr id="216" name="Triângulo isósceles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16" o:spid="_x0000_s1026" o:spt="5" type="#_x0000_t5" style="position:absolute;left:0pt;flip:y;margin-left:65.25pt;margin-top:8.5pt;height:10.9pt;width:17.85pt;z-index:251725824;mso-width-relative:page;mso-height-relative:page;" fillcolor="#D9D9D9 [3212]" filled="t" stroked="f" coordsize="21600,21600" o:gfxdata="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bJW1jW&#10;AAAACQEAAA8AAAAAAAAAAQAgAAAAIgAAAGRycy9kb3ducmV2LnhtbFBLAQIUABQAAAAIAIdO4kDG&#10;a2gjWwIAAKcEAAAOAAAAAAAAAAEAIAAAACUBAABkcnMvZTJvRG9jLnhtbFBLBQYAAAAABgAGAFkB&#10;AADyBQAAAAA=&#10;" adj="10800">
                <v:fill on="t" focussize="0,0"/>
                <v:stroke on="f"/>
                <v:imagedata o:title=""/>
                <o:lock v:ext="edit" aspectratio="f"/>
              </v:shape>
            </w:pict>
          </mc:Fallback>
        </mc:AlternateContent>
      </w:r>
    </w:p>
    <w:p w14:paraId="4B45FD17"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726848" behindDoc="0" locked="0" layoutInCell="1" allowOverlap="1">
                <wp:simplePos x="0" y="0"/>
                <wp:positionH relativeFrom="column">
                  <wp:posOffset>3839845</wp:posOffset>
                </wp:positionH>
                <wp:positionV relativeFrom="paragraph">
                  <wp:posOffset>90170</wp:posOffset>
                </wp:positionV>
                <wp:extent cx="1905000" cy="1012190"/>
                <wp:effectExtent l="0" t="0" r="19050" b="16510"/>
                <wp:wrapNone/>
                <wp:docPr id="219" name="Caixa de texto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012190"/>
                        </a:xfrm>
                        <a:prstGeom prst="rect">
                          <a:avLst/>
                        </a:prstGeom>
                        <a:solidFill>
                          <a:srgbClr val="0070C0"/>
                        </a:solidFill>
                        <a:ln w="9525">
                          <a:solidFill>
                            <a:srgbClr val="0070C0"/>
                          </a:solidFill>
                          <a:miter lim="800000"/>
                        </a:ln>
                      </wps:spPr>
                      <wps:txbx>
                        <w:txbxContent>
                          <w:p w14:paraId="3B9663D7"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1380F6D1"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550 mg de mio-inositol</w:t>
                            </w:r>
                          </w:p>
                          <w:p w14:paraId="55895CE2"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11BD2358"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27,6 mg de D-chiro-inositol</w:t>
                            </w:r>
                          </w:p>
                          <w:p w14:paraId="2001A742"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7A7A62F8" w14:textId="77777777" w:rsidR="00FA41FC" w:rsidRDefault="00FA41FC">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219" o:spid="_x0000_s1068" type="#_x0000_t202" style="position:absolute;left:0;text-align:left;margin-left:302.35pt;margin-top:7.1pt;width:150pt;height:79.7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" fillcolor="#0070c0" strokecolor="#0070c0">
                <v:textbox>
                  <w:txbxContent>
                    <w:p w14:paraId="3B9663D7"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1380F6D1"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550 mg de mio-inositol</w:t>
                      </w:r>
                    </w:p>
                    <w:p w14:paraId="55895CE2"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11BD2358"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27,6 mg de D-chiro-inositol</w:t>
                      </w:r>
                    </w:p>
                    <w:p w14:paraId="2001A742"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7A7A62F8" w14:textId="77777777" w:rsidR="00FA41FC" w:rsidRDefault="00FA41FC">
                      <w:pPr>
                        <w:spacing w:after="0" w:line="240" w:lineRule="auto"/>
                        <w:jc w:val="cente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723776" behindDoc="0" locked="0" layoutInCell="1" allowOverlap="1">
                <wp:simplePos x="0" y="0"/>
                <wp:positionH relativeFrom="column">
                  <wp:posOffset>-1905</wp:posOffset>
                </wp:positionH>
                <wp:positionV relativeFrom="paragraph">
                  <wp:posOffset>90170</wp:posOffset>
                </wp:positionV>
                <wp:extent cx="1913890" cy="1012190"/>
                <wp:effectExtent l="0" t="0" r="10160" b="16510"/>
                <wp:wrapNone/>
                <wp:docPr id="218" name="Caixa de texto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012371"/>
                        </a:xfrm>
                        <a:prstGeom prst="rect">
                          <a:avLst/>
                        </a:prstGeom>
                        <a:solidFill>
                          <a:srgbClr val="0070C0"/>
                        </a:solidFill>
                        <a:ln w="9525">
                          <a:solidFill>
                            <a:srgbClr val="0070C0"/>
                          </a:solidFill>
                          <a:miter lim="800000"/>
                        </a:ln>
                      </wps:spPr>
                      <wps:txbx>
                        <w:txbxContent>
                          <w:p w14:paraId="0B771FDF"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550 mg de mio-inositol</w:t>
                            </w:r>
                          </w:p>
                          <w:p w14:paraId="740E598B"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658E17CA"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300 mg de D-chiro-inositol</w:t>
                            </w:r>
                          </w:p>
                          <w:p w14:paraId="1733889C"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2F0C958D"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218" o:spid="_x0000_s1069" type="#_x0000_t202" style="position:absolute;left:0;text-align:left;margin-left:-.15pt;margin-top:7.1pt;width:150.7pt;height:79.7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" fillcolor="#0070c0" strokecolor="#0070c0">
                <v:textbox>
                  <w:txbxContent>
                    <w:p w14:paraId="0B771FDF"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550 mg de mio-inositol</w:t>
                      </w:r>
                    </w:p>
                    <w:p w14:paraId="740E598B"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658E17CA"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300 mg de D-chiro-inositol</w:t>
                      </w:r>
                    </w:p>
                    <w:p w14:paraId="1733889C"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2F0C958D"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p>
    <w:p w14:paraId="10D203A3" w14:textId="77777777" w:rsidR="00CD65C2" w:rsidRDefault="00CD65C2">
      <w:pPr>
        <w:pStyle w:val="Corpo"/>
        <w:rPr>
          <w:rFonts w:hint="eastAsia"/>
          <w:color w:val="404040" w:themeColor="text1" w:themeTint="BF"/>
        </w:rPr>
      </w:pPr>
    </w:p>
    <w:p w14:paraId="63E24DA5" w14:textId="77777777" w:rsidR="00CD65C2" w:rsidRDefault="00CD65C2">
      <w:pPr>
        <w:pStyle w:val="Corpo"/>
        <w:rPr>
          <w:rFonts w:hint="eastAsia"/>
          <w:color w:val="404040" w:themeColor="text1" w:themeTint="BF"/>
        </w:rPr>
      </w:pPr>
    </w:p>
    <w:p w14:paraId="7BC98D14" w14:textId="77777777" w:rsidR="00CD65C2" w:rsidRDefault="00CD65C2">
      <w:pPr>
        <w:pStyle w:val="Corpo"/>
        <w:rPr>
          <w:rFonts w:hint="eastAsia"/>
          <w:color w:val="404040" w:themeColor="text1" w:themeTint="BF"/>
        </w:rPr>
      </w:pPr>
    </w:p>
    <w:p w14:paraId="7E3625CF" w14:textId="77777777" w:rsidR="00CD65C2" w:rsidRDefault="00CD65C2">
      <w:pPr>
        <w:pStyle w:val="Corpo"/>
        <w:rPr>
          <w:rFonts w:hint="eastAsia"/>
          <w:color w:val="404040" w:themeColor="text1" w:themeTint="BF"/>
        </w:rPr>
      </w:pPr>
    </w:p>
    <w:p w14:paraId="7E55659D" w14:textId="77777777" w:rsidR="00CD65C2" w:rsidRDefault="00CD65C2">
      <w:pPr>
        <w:pStyle w:val="Corpo"/>
        <w:rPr>
          <w:rFonts w:hint="eastAsia"/>
          <w:color w:val="404040" w:themeColor="text1" w:themeTint="BF"/>
        </w:rPr>
      </w:pPr>
    </w:p>
    <w:p w14:paraId="2D283C23" w14:textId="77777777" w:rsidR="00CD65C2" w:rsidRDefault="00CD65C2">
      <w:pPr>
        <w:pStyle w:val="Corpo"/>
        <w:rPr>
          <w:rFonts w:hint="eastAsia"/>
          <w:color w:val="404040" w:themeColor="text1" w:themeTint="BF"/>
        </w:rPr>
      </w:pPr>
    </w:p>
    <w:p w14:paraId="7B97C72E"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08C11FF5" w14:textId="77777777" w:rsidR="00CD65C2" w:rsidRDefault="00CD65C2">
      <w:pPr>
        <w:pStyle w:val="Corpo"/>
        <w:rPr>
          <w:rFonts w:hint="eastAsia"/>
          <w:color w:val="404040" w:themeColor="text1" w:themeTint="BF"/>
          <w:sz w:val="16"/>
          <w:szCs w:val="16"/>
        </w:rPr>
      </w:pPr>
    </w:p>
    <w:p w14:paraId="73F3B160" w14:textId="77777777" w:rsidR="00CD65C2" w:rsidRDefault="00FA41FC">
      <w:pPr>
        <w:pStyle w:val="Corpo"/>
        <w:numPr>
          <w:ilvl w:val="0"/>
          <w:numId w:val="5"/>
        </w:numPr>
        <w:rPr>
          <w:rFonts w:hint="eastAsia"/>
          <w:color w:val="404040" w:themeColor="text1" w:themeTint="BF"/>
          <w:szCs w:val="23"/>
        </w:rPr>
      </w:pPr>
      <w:r>
        <w:rPr>
          <w:color w:val="404040" w:themeColor="text1" w:themeTint="BF"/>
          <w:szCs w:val="23"/>
        </w:rPr>
        <w:t>De acordo com as análises realizadas, houve melhora significativa na qualidade dos oócitos nas pacientes do grupo 1 (p=0,0672);</w:t>
      </w:r>
    </w:p>
    <w:p w14:paraId="66E892A1" w14:textId="77777777" w:rsidR="00CD65C2" w:rsidRDefault="00CD65C2">
      <w:pPr>
        <w:pStyle w:val="Corpo"/>
        <w:ind w:left="360"/>
        <w:rPr>
          <w:rFonts w:hint="eastAsia"/>
          <w:color w:val="404040" w:themeColor="text1" w:themeTint="BF"/>
          <w:szCs w:val="23"/>
        </w:rPr>
      </w:pPr>
    </w:p>
    <w:p w14:paraId="034E13EB" w14:textId="77777777" w:rsidR="00CD65C2" w:rsidRDefault="00FA41FC">
      <w:pPr>
        <w:pStyle w:val="Corpo"/>
        <w:numPr>
          <w:ilvl w:val="0"/>
          <w:numId w:val="5"/>
        </w:numPr>
        <w:rPr>
          <w:rFonts w:hint="eastAsia"/>
          <w:color w:val="404040" w:themeColor="text1" w:themeTint="BF"/>
          <w:szCs w:val="23"/>
        </w:rPr>
      </w:pPr>
      <w:r>
        <w:rPr>
          <w:color w:val="404040" w:themeColor="text1" w:themeTint="BF"/>
          <w:szCs w:val="23"/>
        </w:rPr>
        <w:t>Também foram observadas melhoras significativas na redução dos níveis de testosterona, aumento da sensibilidade à insulina e melhora do IMC.</w:t>
      </w:r>
    </w:p>
    <w:p w14:paraId="655EC149" w14:textId="77777777" w:rsidR="00CD65C2" w:rsidRDefault="00CD65C2">
      <w:pPr>
        <w:pStyle w:val="Corpo"/>
        <w:rPr>
          <w:rFonts w:hint="eastAsia"/>
          <w:b/>
          <w:color w:val="404040" w:themeColor="text1" w:themeTint="BF"/>
        </w:rPr>
      </w:pPr>
    </w:p>
    <w:p w14:paraId="7F2A0015" w14:textId="77777777" w:rsidR="00CD65C2" w:rsidRDefault="00FA41FC">
      <w:pPr>
        <w:pStyle w:val="Corpo"/>
        <w:jc w:val="center"/>
        <w:rPr>
          <w:rFonts w:hint="eastAsia"/>
          <w:b/>
          <w:color w:val="404040" w:themeColor="text1" w:themeTint="BF"/>
        </w:rPr>
      </w:pPr>
      <w:r>
        <w:rPr>
          <w:b/>
          <w:color w:val="404040" w:themeColor="text1" w:themeTint="BF"/>
        </w:rPr>
        <w:t>Variação dos parâmetros hormonais e bioquímicos nos dois grupos após o tratamento</w:t>
      </w:r>
    </w:p>
    <w:tbl>
      <w:tblPr>
        <w:tblStyle w:val="Tabelacomgrade"/>
        <w:tblW w:w="0" w:type="auto"/>
        <w:tblInd w:w="829" w:type="dxa"/>
        <w:tblLook w:val="04A0" w:firstRow="1" w:lastRow="0" w:firstColumn="1" w:lastColumn="0" w:noHBand="0" w:noVBand="1"/>
      </w:tblPr>
      <w:tblGrid>
        <w:gridCol w:w="2282"/>
        <w:gridCol w:w="1655"/>
        <w:gridCol w:w="1559"/>
        <w:gridCol w:w="1351"/>
      </w:tblGrid>
      <w:tr w:rsidR="00CD65C2" w14:paraId="43978AC9" w14:textId="77777777">
        <w:trPr>
          <w:trHeight w:val="322"/>
        </w:trPr>
        <w:tc>
          <w:tcPr>
            <w:tcW w:w="2282" w:type="dxa"/>
          </w:tcPr>
          <w:p w14:paraId="0952326C" w14:textId="77777777" w:rsidR="00CD65C2" w:rsidRDefault="00FA41FC">
            <w:pPr>
              <w:pStyle w:val="Corpo"/>
              <w:jc w:val="center"/>
              <w:rPr>
                <w:rFonts w:hint="eastAsia"/>
                <w:b/>
                <w:color w:val="404040" w:themeColor="text1" w:themeTint="BF"/>
                <w:sz w:val="20"/>
                <w:szCs w:val="20"/>
              </w:rPr>
            </w:pPr>
            <w:r>
              <w:rPr>
                <w:b/>
                <w:color w:val="404040" w:themeColor="text1" w:themeTint="BF"/>
                <w:sz w:val="20"/>
                <w:szCs w:val="20"/>
              </w:rPr>
              <w:t>Parâmetros hormonais</w:t>
            </w:r>
          </w:p>
        </w:tc>
        <w:tc>
          <w:tcPr>
            <w:tcW w:w="1655" w:type="dxa"/>
          </w:tcPr>
          <w:p w14:paraId="31651866" w14:textId="77777777" w:rsidR="00CD65C2" w:rsidRDefault="00CD65C2">
            <w:pPr>
              <w:pStyle w:val="Corpo"/>
              <w:jc w:val="center"/>
              <w:rPr>
                <w:rFonts w:hint="eastAsia"/>
                <w:b/>
                <w:color w:val="404040" w:themeColor="text1" w:themeTint="BF"/>
                <w:sz w:val="20"/>
                <w:szCs w:val="20"/>
              </w:rPr>
            </w:pPr>
          </w:p>
        </w:tc>
        <w:tc>
          <w:tcPr>
            <w:tcW w:w="1559" w:type="dxa"/>
          </w:tcPr>
          <w:p w14:paraId="0E65DF9E" w14:textId="77777777" w:rsidR="00CD65C2" w:rsidRDefault="00FA41FC">
            <w:pPr>
              <w:pStyle w:val="Corpo"/>
              <w:rPr>
                <w:rFonts w:hint="eastAsia"/>
                <w:b/>
                <w:color w:val="404040" w:themeColor="text1" w:themeTint="BF"/>
                <w:sz w:val="20"/>
                <w:szCs w:val="20"/>
              </w:rPr>
            </w:pPr>
            <w:r>
              <w:rPr>
                <w:b/>
                <w:color w:val="404040" w:themeColor="text1" w:themeTint="BF"/>
                <w:sz w:val="20"/>
                <w:szCs w:val="20"/>
              </w:rPr>
              <w:t xml:space="preserve">         Grupo 1</w:t>
            </w:r>
          </w:p>
        </w:tc>
        <w:tc>
          <w:tcPr>
            <w:tcW w:w="1351" w:type="dxa"/>
          </w:tcPr>
          <w:p w14:paraId="75406CB6" w14:textId="77777777" w:rsidR="00CD65C2" w:rsidRDefault="00FA41FC">
            <w:pPr>
              <w:pStyle w:val="Corpo"/>
              <w:jc w:val="center"/>
              <w:rPr>
                <w:rFonts w:hint="eastAsia"/>
                <w:b/>
                <w:color w:val="404040" w:themeColor="text1" w:themeTint="BF"/>
                <w:sz w:val="20"/>
                <w:szCs w:val="20"/>
              </w:rPr>
            </w:pPr>
            <w:r>
              <w:rPr>
                <w:b/>
                <w:color w:val="404040" w:themeColor="text1" w:themeTint="BF"/>
                <w:sz w:val="20"/>
                <w:szCs w:val="20"/>
              </w:rPr>
              <w:t>Grupo 2</w:t>
            </w:r>
          </w:p>
        </w:tc>
      </w:tr>
      <w:tr w:rsidR="00CD65C2" w14:paraId="0F335B5A" w14:textId="77777777">
        <w:trPr>
          <w:trHeight w:val="241"/>
        </w:trPr>
        <w:tc>
          <w:tcPr>
            <w:tcW w:w="2282" w:type="dxa"/>
            <w:vMerge w:val="restart"/>
          </w:tcPr>
          <w:p w14:paraId="27B426D9" w14:textId="77777777" w:rsidR="00CD65C2" w:rsidRDefault="00FA41FC">
            <w:pPr>
              <w:pStyle w:val="Corpo"/>
              <w:jc w:val="center"/>
              <w:rPr>
                <w:rFonts w:hint="eastAsia"/>
                <w:b/>
                <w:color w:val="404040" w:themeColor="text1" w:themeTint="BF"/>
                <w:sz w:val="20"/>
                <w:szCs w:val="20"/>
              </w:rPr>
            </w:pPr>
            <w:r>
              <w:rPr>
                <w:b/>
                <w:color w:val="404040" w:themeColor="text1" w:themeTint="BF"/>
                <w:sz w:val="20"/>
                <w:szCs w:val="20"/>
              </w:rPr>
              <w:t>Níveis de testosterona</w:t>
            </w:r>
          </w:p>
        </w:tc>
        <w:tc>
          <w:tcPr>
            <w:tcW w:w="1655" w:type="dxa"/>
          </w:tcPr>
          <w:p w14:paraId="454326E7" w14:textId="77777777" w:rsidR="00CD65C2" w:rsidRDefault="00FA41FC">
            <w:pPr>
              <w:pStyle w:val="Corpo"/>
              <w:jc w:val="center"/>
              <w:rPr>
                <w:rFonts w:hint="eastAsia"/>
                <w:b/>
                <w:color w:val="404040" w:themeColor="text1" w:themeTint="BF"/>
                <w:sz w:val="20"/>
                <w:szCs w:val="20"/>
              </w:rPr>
            </w:pPr>
            <w:r>
              <w:rPr>
                <w:b/>
                <w:color w:val="404040" w:themeColor="text1" w:themeTint="BF"/>
                <w:sz w:val="20"/>
                <w:szCs w:val="20"/>
              </w:rPr>
              <w:t>Linha debase</w:t>
            </w:r>
          </w:p>
        </w:tc>
        <w:tc>
          <w:tcPr>
            <w:tcW w:w="1559" w:type="dxa"/>
          </w:tcPr>
          <w:p w14:paraId="3C383E1D" w14:textId="77777777" w:rsidR="00CD65C2" w:rsidRDefault="00FA41FC">
            <w:pPr>
              <w:pStyle w:val="Corpo"/>
              <w:ind w:left="145"/>
              <w:jc w:val="center"/>
              <w:rPr>
                <w:rFonts w:hint="eastAsia"/>
                <w:color w:val="404040" w:themeColor="text1" w:themeTint="BF"/>
                <w:sz w:val="20"/>
                <w:szCs w:val="20"/>
              </w:rPr>
            </w:pPr>
            <w:r>
              <w:rPr>
                <w:color w:val="404040" w:themeColor="text1" w:themeTint="BF"/>
                <w:sz w:val="20"/>
                <w:szCs w:val="20"/>
              </w:rPr>
              <w:t>0,56</w:t>
            </w:r>
          </w:p>
        </w:tc>
        <w:tc>
          <w:tcPr>
            <w:tcW w:w="1351" w:type="dxa"/>
          </w:tcPr>
          <w:p w14:paraId="54B3C257" w14:textId="77777777" w:rsidR="00CD65C2" w:rsidRDefault="00FA41FC">
            <w:pPr>
              <w:pStyle w:val="Corpo"/>
              <w:jc w:val="center"/>
              <w:rPr>
                <w:rFonts w:hint="eastAsia"/>
                <w:color w:val="404040" w:themeColor="text1" w:themeTint="BF"/>
                <w:sz w:val="20"/>
                <w:szCs w:val="20"/>
              </w:rPr>
            </w:pPr>
            <w:r>
              <w:rPr>
                <w:color w:val="404040" w:themeColor="text1" w:themeTint="BF"/>
                <w:sz w:val="20"/>
                <w:szCs w:val="20"/>
              </w:rPr>
              <w:t>0,69</w:t>
            </w:r>
          </w:p>
        </w:tc>
      </w:tr>
      <w:tr w:rsidR="00CD65C2" w14:paraId="32D5DE2A" w14:textId="77777777">
        <w:trPr>
          <w:trHeight w:val="271"/>
        </w:trPr>
        <w:tc>
          <w:tcPr>
            <w:tcW w:w="2282" w:type="dxa"/>
            <w:vMerge/>
          </w:tcPr>
          <w:p w14:paraId="404433B5" w14:textId="77777777" w:rsidR="00CD65C2" w:rsidRDefault="00CD65C2">
            <w:pPr>
              <w:pStyle w:val="Corpo"/>
              <w:jc w:val="center"/>
              <w:rPr>
                <w:rFonts w:hint="eastAsia"/>
                <w:b/>
                <w:color w:val="404040" w:themeColor="text1" w:themeTint="BF"/>
                <w:sz w:val="20"/>
                <w:szCs w:val="20"/>
              </w:rPr>
            </w:pPr>
          </w:p>
        </w:tc>
        <w:tc>
          <w:tcPr>
            <w:tcW w:w="1655" w:type="dxa"/>
          </w:tcPr>
          <w:p w14:paraId="13808072" w14:textId="77777777" w:rsidR="00CD65C2" w:rsidRDefault="00FA41FC">
            <w:pPr>
              <w:pStyle w:val="Corpo"/>
              <w:jc w:val="center"/>
              <w:rPr>
                <w:rFonts w:hint="eastAsia"/>
                <w:b/>
                <w:color w:val="404040" w:themeColor="text1" w:themeTint="BF"/>
                <w:sz w:val="20"/>
                <w:szCs w:val="20"/>
              </w:rPr>
            </w:pPr>
            <w:r>
              <w:rPr>
                <w:b/>
                <w:color w:val="404040" w:themeColor="text1" w:themeTint="BF"/>
                <w:sz w:val="20"/>
                <w:szCs w:val="20"/>
              </w:rPr>
              <w:t>Final</w:t>
            </w:r>
          </w:p>
        </w:tc>
        <w:tc>
          <w:tcPr>
            <w:tcW w:w="1559" w:type="dxa"/>
          </w:tcPr>
          <w:p w14:paraId="43CC5926" w14:textId="77777777" w:rsidR="00CD65C2" w:rsidRDefault="00FA41FC">
            <w:pPr>
              <w:pStyle w:val="Corpo"/>
              <w:ind w:left="220"/>
              <w:rPr>
                <w:rFonts w:hint="eastAsia"/>
                <w:color w:val="404040" w:themeColor="text1" w:themeTint="BF"/>
                <w:sz w:val="20"/>
                <w:szCs w:val="20"/>
              </w:rPr>
            </w:pPr>
            <w:r>
              <w:rPr>
                <w:color w:val="404040" w:themeColor="text1" w:themeTint="BF"/>
                <w:sz w:val="20"/>
                <w:szCs w:val="20"/>
              </w:rPr>
              <w:t xml:space="preserve">         0,42</w:t>
            </w:r>
          </w:p>
        </w:tc>
        <w:tc>
          <w:tcPr>
            <w:tcW w:w="1351" w:type="dxa"/>
          </w:tcPr>
          <w:p w14:paraId="1184E870" w14:textId="77777777" w:rsidR="00CD65C2" w:rsidRDefault="00FA41FC">
            <w:pPr>
              <w:pStyle w:val="Corpo"/>
              <w:jc w:val="center"/>
              <w:rPr>
                <w:rFonts w:hint="eastAsia"/>
                <w:color w:val="404040" w:themeColor="text1" w:themeTint="BF"/>
                <w:sz w:val="20"/>
                <w:szCs w:val="20"/>
              </w:rPr>
            </w:pPr>
            <w:r>
              <w:rPr>
                <w:color w:val="404040" w:themeColor="text1" w:themeTint="BF"/>
                <w:sz w:val="20"/>
                <w:szCs w:val="20"/>
              </w:rPr>
              <w:t>0,62</w:t>
            </w:r>
          </w:p>
        </w:tc>
      </w:tr>
      <w:tr w:rsidR="00CD65C2" w14:paraId="0A7A1893" w14:textId="77777777">
        <w:trPr>
          <w:trHeight w:val="251"/>
        </w:trPr>
        <w:tc>
          <w:tcPr>
            <w:tcW w:w="2282" w:type="dxa"/>
            <w:vMerge w:val="restart"/>
          </w:tcPr>
          <w:p w14:paraId="51B8C40E" w14:textId="77777777" w:rsidR="00CD65C2" w:rsidRDefault="00FA41FC">
            <w:pPr>
              <w:pStyle w:val="Corpo"/>
              <w:jc w:val="center"/>
              <w:rPr>
                <w:rFonts w:hint="eastAsia"/>
                <w:b/>
                <w:color w:val="404040" w:themeColor="text1" w:themeTint="BF"/>
                <w:sz w:val="20"/>
                <w:szCs w:val="20"/>
              </w:rPr>
            </w:pPr>
            <w:r>
              <w:rPr>
                <w:b/>
                <w:color w:val="404040" w:themeColor="text1" w:themeTint="BF"/>
                <w:sz w:val="20"/>
                <w:szCs w:val="20"/>
              </w:rPr>
              <w:t>HOMA-IR</w:t>
            </w:r>
          </w:p>
        </w:tc>
        <w:tc>
          <w:tcPr>
            <w:tcW w:w="1655" w:type="dxa"/>
          </w:tcPr>
          <w:p w14:paraId="38461BE9" w14:textId="77777777" w:rsidR="00CD65C2" w:rsidRDefault="00FA41FC">
            <w:pPr>
              <w:pStyle w:val="Corpo"/>
              <w:jc w:val="center"/>
              <w:rPr>
                <w:rFonts w:hint="eastAsia"/>
                <w:b/>
                <w:color w:val="404040" w:themeColor="text1" w:themeTint="BF"/>
                <w:sz w:val="20"/>
                <w:szCs w:val="20"/>
              </w:rPr>
            </w:pPr>
            <w:r>
              <w:rPr>
                <w:b/>
                <w:color w:val="404040" w:themeColor="text1" w:themeTint="BF"/>
                <w:sz w:val="20"/>
                <w:szCs w:val="20"/>
              </w:rPr>
              <w:t>Linha de base</w:t>
            </w:r>
          </w:p>
        </w:tc>
        <w:tc>
          <w:tcPr>
            <w:tcW w:w="1559" w:type="dxa"/>
          </w:tcPr>
          <w:p w14:paraId="74A996C7" w14:textId="77777777" w:rsidR="00CD65C2" w:rsidRDefault="00FA41FC">
            <w:pPr>
              <w:pStyle w:val="Corpo"/>
              <w:jc w:val="center"/>
              <w:rPr>
                <w:rFonts w:hint="eastAsia"/>
                <w:color w:val="404040" w:themeColor="text1" w:themeTint="BF"/>
                <w:sz w:val="20"/>
                <w:szCs w:val="20"/>
              </w:rPr>
            </w:pPr>
            <w:r>
              <w:rPr>
                <w:color w:val="404040" w:themeColor="text1" w:themeTint="BF"/>
                <w:sz w:val="20"/>
                <w:szCs w:val="20"/>
              </w:rPr>
              <w:t>1,82</w:t>
            </w:r>
          </w:p>
        </w:tc>
        <w:tc>
          <w:tcPr>
            <w:tcW w:w="1351" w:type="dxa"/>
          </w:tcPr>
          <w:p w14:paraId="290A4808" w14:textId="77777777" w:rsidR="00CD65C2" w:rsidRDefault="00FA41FC">
            <w:pPr>
              <w:pStyle w:val="Corpo"/>
              <w:jc w:val="center"/>
              <w:rPr>
                <w:rFonts w:hint="eastAsia"/>
                <w:color w:val="404040" w:themeColor="text1" w:themeTint="BF"/>
                <w:sz w:val="20"/>
                <w:szCs w:val="20"/>
              </w:rPr>
            </w:pPr>
            <w:r>
              <w:rPr>
                <w:color w:val="404040" w:themeColor="text1" w:themeTint="BF"/>
                <w:sz w:val="20"/>
                <w:szCs w:val="20"/>
              </w:rPr>
              <w:t>1,62</w:t>
            </w:r>
          </w:p>
        </w:tc>
      </w:tr>
      <w:tr w:rsidR="00CD65C2" w14:paraId="51DAC902" w14:textId="77777777">
        <w:trPr>
          <w:trHeight w:val="261"/>
        </w:trPr>
        <w:tc>
          <w:tcPr>
            <w:tcW w:w="2282" w:type="dxa"/>
            <w:vMerge/>
          </w:tcPr>
          <w:p w14:paraId="090D85B0" w14:textId="77777777" w:rsidR="00CD65C2" w:rsidRDefault="00CD65C2">
            <w:pPr>
              <w:pStyle w:val="Corpo"/>
              <w:jc w:val="center"/>
              <w:rPr>
                <w:rFonts w:hint="eastAsia"/>
                <w:b/>
                <w:color w:val="404040" w:themeColor="text1" w:themeTint="BF"/>
                <w:sz w:val="20"/>
                <w:szCs w:val="20"/>
              </w:rPr>
            </w:pPr>
          </w:p>
        </w:tc>
        <w:tc>
          <w:tcPr>
            <w:tcW w:w="1655" w:type="dxa"/>
          </w:tcPr>
          <w:p w14:paraId="66CE72F3" w14:textId="77777777" w:rsidR="00CD65C2" w:rsidRDefault="00FA41FC">
            <w:pPr>
              <w:pStyle w:val="Corpo"/>
              <w:jc w:val="center"/>
              <w:rPr>
                <w:rFonts w:hint="eastAsia"/>
                <w:b/>
                <w:color w:val="404040" w:themeColor="text1" w:themeTint="BF"/>
                <w:sz w:val="20"/>
                <w:szCs w:val="20"/>
              </w:rPr>
            </w:pPr>
            <w:r>
              <w:rPr>
                <w:b/>
                <w:color w:val="404040" w:themeColor="text1" w:themeTint="BF"/>
                <w:sz w:val="20"/>
                <w:szCs w:val="20"/>
              </w:rPr>
              <w:t>Final</w:t>
            </w:r>
          </w:p>
        </w:tc>
        <w:tc>
          <w:tcPr>
            <w:tcW w:w="1559" w:type="dxa"/>
          </w:tcPr>
          <w:p w14:paraId="191CAF18" w14:textId="77777777" w:rsidR="00CD65C2" w:rsidRDefault="00FA41FC">
            <w:pPr>
              <w:pStyle w:val="Corpo"/>
              <w:jc w:val="center"/>
              <w:rPr>
                <w:rFonts w:hint="eastAsia"/>
                <w:color w:val="404040" w:themeColor="text1" w:themeTint="BF"/>
                <w:sz w:val="20"/>
                <w:szCs w:val="20"/>
              </w:rPr>
            </w:pPr>
            <w:r>
              <w:rPr>
                <w:color w:val="404040" w:themeColor="text1" w:themeTint="BF"/>
                <w:sz w:val="20"/>
                <w:szCs w:val="20"/>
              </w:rPr>
              <w:t>1,47</w:t>
            </w:r>
          </w:p>
        </w:tc>
        <w:tc>
          <w:tcPr>
            <w:tcW w:w="1351" w:type="dxa"/>
          </w:tcPr>
          <w:p w14:paraId="7C75E4E3" w14:textId="77777777" w:rsidR="00CD65C2" w:rsidRDefault="00FA41FC">
            <w:pPr>
              <w:pStyle w:val="Corpo"/>
              <w:jc w:val="center"/>
              <w:rPr>
                <w:rFonts w:hint="eastAsia"/>
                <w:color w:val="404040" w:themeColor="text1" w:themeTint="BF"/>
                <w:sz w:val="20"/>
                <w:szCs w:val="20"/>
              </w:rPr>
            </w:pPr>
            <w:r>
              <w:rPr>
                <w:color w:val="404040" w:themeColor="text1" w:themeTint="BF"/>
                <w:sz w:val="20"/>
                <w:szCs w:val="20"/>
              </w:rPr>
              <w:t>1,49</w:t>
            </w:r>
          </w:p>
        </w:tc>
      </w:tr>
      <w:tr w:rsidR="00CD65C2" w14:paraId="7D132E9A" w14:textId="77777777">
        <w:trPr>
          <w:trHeight w:val="271"/>
        </w:trPr>
        <w:tc>
          <w:tcPr>
            <w:tcW w:w="2282" w:type="dxa"/>
            <w:vMerge w:val="restart"/>
          </w:tcPr>
          <w:p w14:paraId="515E24F9" w14:textId="77777777" w:rsidR="00CD65C2" w:rsidRDefault="00FA41FC">
            <w:pPr>
              <w:pStyle w:val="Corpo"/>
              <w:jc w:val="center"/>
              <w:rPr>
                <w:rFonts w:hint="eastAsia"/>
                <w:b/>
                <w:color w:val="404040" w:themeColor="text1" w:themeTint="BF"/>
                <w:sz w:val="20"/>
                <w:szCs w:val="20"/>
              </w:rPr>
            </w:pPr>
            <w:r>
              <w:rPr>
                <w:b/>
                <w:color w:val="404040" w:themeColor="text1" w:themeTint="BF"/>
                <w:sz w:val="20"/>
                <w:szCs w:val="20"/>
              </w:rPr>
              <w:t>Níveis de glicose</w:t>
            </w:r>
          </w:p>
        </w:tc>
        <w:tc>
          <w:tcPr>
            <w:tcW w:w="1655" w:type="dxa"/>
          </w:tcPr>
          <w:p w14:paraId="23BD36BB" w14:textId="77777777" w:rsidR="00CD65C2" w:rsidRDefault="00FA41FC">
            <w:pPr>
              <w:pStyle w:val="Corpo"/>
              <w:jc w:val="center"/>
              <w:rPr>
                <w:rFonts w:hint="eastAsia"/>
                <w:b/>
                <w:color w:val="404040" w:themeColor="text1" w:themeTint="BF"/>
                <w:sz w:val="20"/>
                <w:szCs w:val="20"/>
              </w:rPr>
            </w:pPr>
            <w:r>
              <w:rPr>
                <w:b/>
                <w:color w:val="404040" w:themeColor="text1" w:themeTint="BF"/>
                <w:sz w:val="20"/>
                <w:szCs w:val="20"/>
              </w:rPr>
              <w:t>Linha de base</w:t>
            </w:r>
          </w:p>
        </w:tc>
        <w:tc>
          <w:tcPr>
            <w:tcW w:w="1559" w:type="dxa"/>
          </w:tcPr>
          <w:p w14:paraId="2CE96858" w14:textId="77777777" w:rsidR="00CD65C2" w:rsidRDefault="00FA41FC">
            <w:pPr>
              <w:pStyle w:val="Corpo"/>
              <w:jc w:val="center"/>
              <w:rPr>
                <w:rFonts w:hint="eastAsia"/>
                <w:color w:val="404040" w:themeColor="text1" w:themeTint="BF"/>
                <w:sz w:val="20"/>
                <w:szCs w:val="20"/>
              </w:rPr>
            </w:pPr>
            <w:r>
              <w:rPr>
                <w:color w:val="404040" w:themeColor="text1" w:themeTint="BF"/>
                <w:sz w:val="20"/>
                <w:szCs w:val="20"/>
              </w:rPr>
              <w:t>92,4</w:t>
            </w:r>
          </w:p>
        </w:tc>
        <w:tc>
          <w:tcPr>
            <w:tcW w:w="1351" w:type="dxa"/>
          </w:tcPr>
          <w:p w14:paraId="1154CB98" w14:textId="77777777" w:rsidR="00CD65C2" w:rsidRDefault="00FA41FC">
            <w:pPr>
              <w:pStyle w:val="Corpo"/>
              <w:jc w:val="center"/>
              <w:rPr>
                <w:rFonts w:hint="eastAsia"/>
                <w:color w:val="404040" w:themeColor="text1" w:themeTint="BF"/>
                <w:sz w:val="20"/>
                <w:szCs w:val="20"/>
              </w:rPr>
            </w:pPr>
            <w:r>
              <w:rPr>
                <w:color w:val="404040" w:themeColor="text1" w:themeTint="BF"/>
                <w:sz w:val="20"/>
                <w:szCs w:val="20"/>
              </w:rPr>
              <w:t>96,0</w:t>
            </w:r>
          </w:p>
        </w:tc>
      </w:tr>
      <w:tr w:rsidR="00CD65C2" w14:paraId="5AFD1482" w14:textId="77777777">
        <w:trPr>
          <w:trHeight w:val="251"/>
        </w:trPr>
        <w:tc>
          <w:tcPr>
            <w:tcW w:w="2282" w:type="dxa"/>
            <w:vMerge/>
          </w:tcPr>
          <w:p w14:paraId="63EFC679" w14:textId="77777777" w:rsidR="00CD65C2" w:rsidRDefault="00CD65C2">
            <w:pPr>
              <w:pStyle w:val="Corpo"/>
              <w:jc w:val="center"/>
              <w:rPr>
                <w:rFonts w:hint="eastAsia"/>
                <w:b/>
                <w:color w:val="404040" w:themeColor="text1" w:themeTint="BF"/>
                <w:sz w:val="20"/>
                <w:szCs w:val="20"/>
              </w:rPr>
            </w:pPr>
          </w:p>
        </w:tc>
        <w:tc>
          <w:tcPr>
            <w:tcW w:w="1655" w:type="dxa"/>
          </w:tcPr>
          <w:p w14:paraId="009E0BF8" w14:textId="77777777" w:rsidR="00CD65C2" w:rsidRDefault="00FA41FC">
            <w:pPr>
              <w:pStyle w:val="Corpo"/>
              <w:jc w:val="center"/>
              <w:rPr>
                <w:rFonts w:hint="eastAsia"/>
                <w:b/>
                <w:color w:val="404040" w:themeColor="text1" w:themeTint="BF"/>
                <w:sz w:val="20"/>
                <w:szCs w:val="20"/>
              </w:rPr>
            </w:pPr>
            <w:r>
              <w:rPr>
                <w:b/>
                <w:color w:val="404040" w:themeColor="text1" w:themeTint="BF"/>
                <w:sz w:val="20"/>
                <w:szCs w:val="20"/>
              </w:rPr>
              <w:t>Final</w:t>
            </w:r>
          </w:p>
        </w:tc>
        <w:tc>
          <w:tcPr>
            <w:tcW w:w="1559" w:type="dxa"/>
          </w:tcPr>
          <w:p w14:paraId="4A3DCDCF" w14:textId="77777777" w:rsidR="00CD65C2" w:rsidRDefault="00FA41FC">
            <w:pPr>
              <w:pStyle w:val="Corpo"/>
              <w:jc w:val="center"/>
              <w:rPr>
                <w:rFonts w:hint="eastAsia"/>
                <w:color w:val="404040" w:themeColor="text1" w:themeTint="BF"/>
                <w:sz w:val="20"/>
                <w:szCs w:val="20"/>
              </w:rPr>
            </w:pPr>
            <w:r>
              <w:rPr>
                <w:color w:val="404040" w:themeColor="text1" w:themeTint="BF"/>
                <w:sz w:val="20"/>
                <w:szCs w:val="20"/>
              </w:rPr>
              <w:t>88,0</w:t>
            </w:r>
          </w:p>
        </w:tc>
        <w:tc>
          <w:tcPr>
            <w:tcW w:w="1351" w:type="dxa"/>
          </w:tcPr>
          <w:p w14:paraId="400D5831" w14:textId="77777777" w:rsidR="00CD65C2" w:rsidRDefault="00FA41FC">
            <w:pPr>
              <w:pStyle w:val="Corpo"/>
              <w:jc w:val="center"/>
              <w:rPr>
                <w:rFonts w:hint="eastAsia"/>
                <w:color w:val="404040" w:themeColor="text1" w:themeTint="BF"/>
                <w:sz w:val="20"/>
                <w:szCs w:val="20"/>
              </w:rPr>
            </w:pPr>
            <w:r>
              <w:rPr>
                <w:color w:val="404040" w:themeColor="text1" w:themeTint="BF"/>
                <w:sz w:val="20"/>
                <w:szCs w:val="20"/>
              </w:rPr>
              <w:t>84,65</w:t>
            </w:r>
          </w:p>
        </w:tc>
      </w:tr>
    </w:tbl>
    <w:p w14:paraId="3A08AEB8" w14:textId="77777777" w:rsidR="00CD65C2" w:rsidRDefault="00CD65C2">
      <w:pPr>
        <w:pStyle w:val="Corpo"/>
        <w:rPr>
          <w:rFonts w:hint="eastAsia"/>
          <w:color w:val="404040" w:themeColor="text1" w:themeTint="BF"/>
          <w:szCs w:val="23"/>
        </w:rPr>
      </w:pPr>
    </w:p>
    <w:p w14:paraId="7A23AD78"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45C2D2A0"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5E170BAE" w14:textId="01E26AF9" w:rsidR="00CD65C2" w:rsidRDefault="00FA41FC">
      <w:pPr>
        <w:pStyle w:val="Corpo"/>
        <w:jc w:val="center"/>
        <w:rPr>
          <w:rFonts w:hint="eastAsia"/>
          <w:b/>
          <w:i/>
          <w:color w:val="404040" w:themeColor="text1" w:themeTint="BF"/>
        </w:rPr>
      </w:pPr>
      <w:r>
        <w:rPr>
          <w:b/>
          <w:i/>
          <w:color w:val="404040" w:themeColor="text1" w:themeTint="BF"/>
        </w:rPr>
        <w:t>A combinação de mio-inositol e D-chiro-inositol foi eficaz na melhora da qualidade do oócito em mulheres com SOPC submetidas à injeção intracitoplasmática de espermatozoides (ICSI).</w:t>
      </w:r>
    </w:p>
    <w:p w14:paraId="3527FDF5" w14:textId="77777777" w:rsidR="00CD65C2" w:rsidRDefault="00FA41FC">
      <w:pPr>
        <w:pStyle w:val="Ttulo1"/>
        <w:jc w:val="center"/>
        <w:rPr>
          <w:rFonts w:hint="eastAsia"/>
        </w:rPr>
      </w:pPr>
      <w:bookmarkStart w:id="36" w:name="_Toc165537188"/>
      <w:r>
        <w:t>Formulário</w:t>
      </w:r>
      <w:bookmarkEnd w:id="36"/>
    </w:p>
    <w:p w14:paraId="5A46817C" w14:textId="77777777" w:rsidR="00CD65C2" w:rsidRDefault="00CD65C2">
      <w:pPr>
        <w:pStyle w:val="Corpo"/>
        <w:rPr>
          <w:rFonts w:hint="eastAsia"/>
          <w:b/>
          <w:i/>
          <w:color w:val="404040" w:themeColor="text1" w:themeTint="BF"/>
        </w:rPr>
      </w:pPr>
    </w:p>
    <w:p w14:paraId="5DE257F3" w14:textId="77777777" w:rsidR="00CD65C2" w:rsidRDefault="00CD65C2">
      <w:pPr>
        <w:pStyle w:val="Corpo"/>
        <w:rPr>
          <w:rFonts w:hint="eastAsia"/>
          <w:b/>
          <w:i/>
          <w:color w:val="404040" w:themeColor="text1" w:themeTint="BF"/>
        </w:rPr>
      </w:pPr>
    </w:p>
    <w:p w14:paraId="4F54E051" w14:textId="77777777" w:rsidR="00CD65C2" w:rsidRDefault="00FA41FC">
      <w:pPr>
        <w:pStyle w:val="Corpo"/>
        <w:rPr>
          <w:rFonts w:hint="eastAsia"/>
          <w:b/>
          <w:i/>
          <w:color w:val="404040" w:themeColor="text1" w:themeTint="BF"/>
          <w:sz w:val="24"/>
        </w:rPr>
      </w:pPr>
      <w:r>
        <w:rPr>
          <w:b/>
          <w:i/>
          <w:color w:val="404040" w:themeColor="text1" w:themeTint="BF"/>
          <w:sz w:val="24"/>
        </w:rPr>
        <w:t>Mio-Inositol + D-Chiro-Inositol na Maturação dos Oócitos na SOPC</w:t>
      </w:r>
    </w:p>
    <w:p w14:paraId="062E5181" w14:textId="77777777" w:rsidR="00CD65C2" w:rsidRDefault="00CD65C2">
      <w:pPr>
        <w:pStyle w:val="Corpo"/>
        <w:rPr>
          <w:rFonts w:hint="eastAsia"/>
          <w:color w:val="404040" w:themeColor="text1" w:themeTint="BF"/>
        </w:rPr>
      </w:pPr>
    </w:p>
    <w:tbl>
      <w:tblPr>
        <w:tblStyle w:val="Tabelacomgrade"/>
        <w:tblW w:w="442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2"/>
      </w:tblGrid>
      <w:tr w:rsidR="00CD65C2" w14:paraId="33A40A6E" w14:textId="77777777">
        <w:trPr>
          <w:trHeight w:val="532"/>
        </w:trPr>
        <w:tc>
          <w:tcPr>
            <w:tcW w:w="4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39F97FAE" w14:textId="77777777" w:rsidR="00CD65C2" w:rsidRDefault="00FA41FC">
            <w:pPr>
              <w:pStyle w:val="Corpo"/>
              <w:jc w:val="center"/>
              <w:rPr>
                <w:rFonts w:hint="eastAsia"/>
                <w:b/>
                <w:color w:val="FFFFFF" w:themeColor="background1"/>
              </w:rPr>
            </w:pPr>
            <w:r>
              <w:rPr>
                <w:b/>
                <w:color w:val="FFFFFF" w:themeColor="background1"/>
                <w:sz w:val="22"/>
              </w:rPr>
              <w:t>Mio-Inositol + D-Chiro-Inositol</w:t>
            </w:r>
          </w:p>
        </w:tc>
      </w:tr>
      <w:tr w:rsidR="00CD65C2" w14:paraId="6D90BA47" w14:textId="77777777">
        <w:trPr>
          <w:trHeight w:val="532"/>
        </w:trPr>
        <w:tc>
          <w:tcPr>
            <w:tcW w:w="4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730FE18" w14:textId="77777777" w:rsidR="00CD65C2" w:rsidRDefault="00FA41FC">
            <w:pPr>
              <w:pStyle w:val="Corpo"/>
              <w:rPr>
                <w:rFonts w:hint="eastAsia"/>
                <w:color w:val="404040" w:themeColor="text1" w:themeTint="BF"/>
              </w:rPr>
            </w:pPr>
            <w:r>
              <w:rPr>
                <w:color w:val="404040" w:themeColor="text1" w:themeTint="BF"/>
              </w:rPr>
              <w:t>Mio-Inositol.......................................550 mg</w:t>
            </w:r>
          </w:p>
        </w:tc>
      </w:tr>
      <w:tr w:rsidR="00CD65C2" w14:paraId="1ABB8BB7" w14:textId="77777777">
        <w:trPr>
          <w:trHeight w:val="532"/>
        </w:trPr>
        <w:tc>
          <w:tcPr>
            <w:tcW w:w="4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44734A5" w14:textId="77777777" w:rsidR="00CD65C2" w:rsidRDefault="00FA41FC">
            <w:pPr>
              <w:pStyle w:val="Corpo"/>
              <w:rPr>
                <w:rFonts w:hint="eastAsia"/>
                <w:color w:val="404040" w:themeColor="text1" w:themeTint="BF"/>
              </w:rPr>
            </w:pPr>
            <w:r>
              <w:rPr>
                <w:color w:val="404040" w:themeColor="text1" w:themeTint="BF"/>
              </w:rPr>
              <w:t>D-Chiro-Inositol................................300 mg</w:t>
            </w:r>
          </w:p>
        </w:tc>
      </w:tr>
      <w:tr w:rsidR="00CD65C2" w14:paraId="15D647D3" w14:textId="77777777">
        <w:trPr>
          <w:trHeight w:val="606"/>
        </w:trPr>
        <w:tc>
          <w:tcPr>
            <w:tcW w:w="4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7EBA2EE" w14:textId="662E90A5" w:rsidR="00CD65C2" w:rsidRDefault="00FA41FC">
            <w:pPr>
              <w:pStyle w:val="Corpo"/>
              <w:rPr>
                <w:rFonts w:hint="eastAsia"/>
                <w:color w:val="404040" w:themeColor="text1" w:themeTint="BF"/>
              </w:rPr>
            </w:pPr>
            <w:r>
              <w:rPr>
                <w:color w:val="404040" w:themeColor="text1" w:themeTint="BF"/>
              </w:rPr>
              <w:t>Excipiente q.s.p. ..........................1 Cápsula</w:t>
            </w:r>
          </w:p>
        </w:tc>
      </w:tr>
    </w:tbl>
    <w:p w14:paraId="588E2871" w14:textId="77777777" w:rsidR="00CD65C2" w:rsidRDefault="00FA41FC">
      <w:pPr>
        <w:pStyle w:val="Corpo"/>
        <w:ind w:right="4535"/>
        <w:jc w:val="center"/>
        <w:rPr>
          <w:rFonts w:hint="eastAsia"/>
          <w:color w:val="404040" w:themeColor="text1" w:themeTint="BF"/>
          <w:sz w:val="22"/>
          <w:szCs w:val="22"/>
        </w:rPr>
      </w:pPr>
      <w:r>
        <w:rPr>
          <w:color w:val="404040" w:themeColor="text1" w:themeTint="BF"/>
          <w:sz w:val="22"/>
          <w:szCs w:val="22"/>
        </w:rPr>
        <w:t>Administrar 1 cápsula ao dia ou conforme orientação médica.</w:t>
      </w:r>
    </w:p>
    <w:p w14:paraId="60B25921" w14:textId="77777777" w:rsidR="00CD65C2" w:rsidRDefault="00CD65C2">
      <w:pPr>
        <w:pStyle w:val="SemEspaamento"/>
      </w:pPr>
    </w:p>
    <w:p w14:paraId="35123E46" w14:textId="77777777" w:rsidR="00CD65C2" w:rsidRDefault="00CD65C2">
      <w:pPr>
        <w:pStyle w:val="SemEspaamento"/>
      </w:pPr>
    </w:p>
    <w:p w14:paraId="17EBE3DD" w14:textId="77777777" w:rsidR="00CD65C2" w:rsidRDefault="00CD65C2">
      <w:pPr>
        <w:pStyle w:val="SemEspaamento"/>
      </w:pPr>
    </w:p>
    <w:p w14:paraId="4F91665B" w14:textId="77777777" w:rsidR="00CD65C2" w:rsidRDefault="00CD65C2">
      <w:pPr>
        <w:pStyle w:val="SemEspaamento"/>
      </w:pPr>
    </w:p>
    <w:p w14:paraId="18109F6E" w14:textId="77777777" w:rsidR="00CD65C2" w:rsidRDefault="00CD65C2">
      <w:pPr>
        <w:pStyle w:val="SemEspaamento"/>
      </w:pPr>
    </w:p>
    <w:p w14:paraId="50C107CA" w14:textId="77777777" w:rsidR="00CD65C2" w:rsidRDefault="00CD65C2">
      <w:pPr>
        <w:pStyle w:val="SemEspaamento"/>
      </w:pPr>
    </w:p>
    <w:p w14:paraId="1854BF81" w14:textId="77777777" w:rsidR="00CD65C2" w:rsidRDefault="00CD65C2">
      <w:pPr>
        <w:pStyle w:val="SemEspaamento"/>
      </w:pPr>
    </w:p>
    <w:p w14:paraId="064379A7" w14:textId="77777777" w:rsidR="00CD65C2" w:rsidRDefault="00CD65C2">
      <w:pPr>
        <w:pStyle w:val="SemEspaamento"/>
      </w:pPr>
    </w:p>
    <w:p w14:paraId="659EC193" w14:textId="77777777" w:rsidR="00CD65C2" w:rsidRDefault="00CD65C2">
      <w:pPr>
        <w:pStyle w:val="SemEspaamento"/>
      </w:pPr>
    </w:p>
    <w:p w14:paraId="1675104D" w14:textId="77777777" w:rsidR="00CD65C2" w:rsidRDefault="00CD65C2">
      <w:pPr>
        <w:pStyle w:val="SemEspaamento"/>
      </w:pPr>
    </w:p>
    <w:p w14:paraId="23FF2308" w14:textId="77777777" w:rsidR="00CD65C2" w:rsidRDefault="00CD65C2">
      <w:pPr>
        <w:pStyle w:val="SemEspaamento"/>
      </w:pPr>
    </w:p>
    <w:p w14:paraId="0DEFA135" w14:textId="77777777" w:rsidR="00CD65C2" w:rsidRDefault="00CD65C2">
      <w:pPr>
        <w:pStyle w:val="SemEspaamento"/>
      </w:pPr>
    </w:p>
    <w:p w14:paraId="3D0823AE" w14:textId="77777777" w:rsidR="00CD65C2" w:rsidRDefault="00CD65C2">
      <w:pPr>
        <w:pStyle w:val="SemEspaamento"/>
      </w:pPr>
    </w:p>
    <w:p w14:paraId="7C4D913D" w14:textId="77777777" w:rsidR="00CD65C2" w:rsidRDefault="00CD65C2">
      <w:pPr>
        <w:pStyle w:val="SemEspaamento"/>
      </w:pPr>
    </w:p>
    <w:p w14:paraId="46C9D8DB" w14:textId="77777777" w:rsidR="00CD65C2" w:rsidRDefault="00CD65C2">
      <w:pPr>
        <w:pStyle w:val="SemEspaamento"/>
      </w:pPr>
    </w:p>
    <w:p w14:paraId="48912199" w14:textId="77777777" w:rsidR="00CD65C2" w:rsidRDefault="00CD65C2">
      <w:pPr>
        <w:pStyle w:val="SemEspaamento"/>
      </w:pPr>
    </w:p>
    <w:p w14:paraId="02C2D4D6" w14:textId="77777777" w:rsidR="00CD65C2" w:rsidRDefault="00CD65C2">
      <w:pPr>
        <w:pStyle w:val="SemEspaamento"/>
      </w:pPr>
    </w:p>
    <w:p w14:paraId="076BB896" w14:textId="77777777" w:rsidR="00CD65C2" w:rsidRDefault="00CD65C2">
      <w:pPr>
        <w:pStyle w:val="SemEspaamento"/>
      </w:pPr>
    </w:p>
    <w:p w14:paraId="4A9517BA" w14:textId="77777777" w:rsidR="00CD65C2" w:rsidRDefault="00CD65C2">
      <w:pPr>
        <w:pStyle w:val="SemEspaamento"/>
      </w:pPr>
    </w:p>
    <w:p w14:paraId="54BC251C" w14:textId="77777777" w:rsidR="00CD65C2" w:rsidRDefault="00CD65C2">
      <w:pPr>
        <w:pStyle w:val="SemEspaamento"/>
      </w:pPr>
    </w:p>
    <w:p w14:paraId="50E878F7" w14:textId="77777777" w:rsidR="00CD65C2" w:rsidRDefault="00CD65C2">
      <w:pPr>
        <w:pStyle w:val="SemEspaamento"/>
      </w:pPr>
    </w:p>
    <w:p w14:paraId="017574C0" w14:textId="77777777" w:rsidR="00CD65C2" w:rsidRDefault="00CD65C2">
      <w:pPr>
        <w:pStyle w:val="SemEspaamento"/>
      </w:pPr>
    </w:p>
    <w:p w14:paraId="120C9523" w14:textId="77777777" w:rsidR="00CD65C2" w:rsidRDefault="00CD65C2">
      <w:pPr>
        <w:pStyle w:val="SemEspaamento"/>
      </w:pPr>
    </w:p>
    <w:p w14:paraId="07C219B7" w14:textId="77777777" w:rsidR="00CD65C2" w:rsidRDefault="00CD65C2">
      <w:pPr>
        <w:pStyle w:val="SemEspaamento"/>
      </w:pPr>
    </w:p>
    <w:p w14:paraId="3C6130B9" w14:textId="77777777" w:rsidR="00CD65C2" w:rsidRDefault="00CD65C2">
      <w:pPr>
        <w:pStyle w:val="SemEspaamento"/>
      </w:pPr>
    </w:p>
    <w:p w14:paraId="779703FB" w14:textId="77777777" w:rsidR="00CD65C2" w:rsidRDefault="00CD65C2">
      <w:pPr>
        <w:pStyle w:val="SemEspaamento"/>
      </w:pPr>
    </w:p>
    <w:p w14:paraId="7780A360" w14:textId="77777777" w:rsidR="00CD65C2" w:rsidRDefault="00CD65C2">
      <w:pPr>
        <w:pStyle w:val="SemEspaamento"/>
      </w:pPr>
    </w:p>
    <w:p w14:paraId="1D0888FF" w14:textId="77777777" w:rsidR="00CD65C2" w:rsidRDefault="00CD65C2">
      <w:pPr>
        <w:pStyle w:val="SemEspaamento"/>
      </w:pPr>
    </w:p>
    <w:p w14:paraId="6B7C607F" w14:textId="77777777" w:rsidR="00CD65C2" w:rsidRDefault="00CD65C2">
      <w:pPr>
        <w:pStyle w:val="SemEspaamento"/>
      </w:pPr>
    </w:p>
    <w:p w14:paraId="1D8EDB61" w14:textId="77777777" w:rsidR="00CD65C2" w:rsidRDefault="00FA41FC">
      <w:pPr>
        <w:pStyle w:val="Ttulo1"/>
        <w:jc w:val="center"/>
        <w:rPr>
          <w:rFonts w:hint="eastAsia"/>
        </w:rPr>
      </w:pPr>
      <w:bookmarkStart w:id="37" w:name="_Toc165537189"/>
      <w:r>
        <w:t>Inositol e Associações</w:t>
      </w:r>
      <w:bookmarkEnd w:id="37"/>
    </w:p>
    <w:p w14:paraId="0C82D9CE" w14:textId="77777777" w:rsidR="00CD65C2" w:rsidRPr="00D1428E" w:rsidRDefault="00FA41FC">
      <w:pPr>
        <w:pStyle w:val="Corpo"/>
        <w:jc w:val="center"/>
        <w:rPr>
          <w:rFonts w:hint="eastAsia"/>
          <w:b/>
          <w:color w:val="0070C0"/>
          <w:sz w:val="40"/>
        </w:rPr>
      </w:pPr>
      <w:r w:rsidRPr="00D1428E">
        <w:rPr>
          <w:b/>
          <w:color w:val="0070C0"/>
          <w:sz w:val="40"/>
        </w:rPr>
        <w:t>Associação Melhora Acne e Hirsutismo na SOPC</w:t>
      </w:r>
    </w:p>
    <w:p w14:paraId="12EA64D8" w14:textId="77777777" w:rsidR="00CD65C2" w:rsidRDefault="00CD65C2">
      <w:pPr>
        <w:pStyle w:val="Corpo"/>
        <w:rPr>
          <w:rFonts w:hint="eastAsia"/>
          <w:color w:val="404040" w:themeColor="text1" w:themeTint="BF"/>
          <w:sz w:val="24"/>
        </w:rPr>
      </w:pPr>
    </w:p>
    <w:p w14:paraId="452B5E01" w14:textId="23700102" w:rsidR="00CD65C2" w:rsidRDefault="00FA41FC">
      <w:pPr>
        <w:pStyle w:val="Corpo"/>
        <w:spacing w:after="120"/>
        <w:rPr>
          <w:rFonts w:hint="eastAsia"/>
          <w:color w:val="404040" w:themeColor="text1" w:themeTint="BF"/>
          <w:sz w:val="24"/>
        </w:rPr>
      </w:pPr>
      <w:r>
        <w:rPr>
          <w:color w:val="404040" w:themeColor="text1" w:themeTint="BF"/>
          <w:sz w:val="24"/>
        </w:rPr>
        <w:t xml:space="preserve">Este estudo teve como objetivo avaliar a eficácia e segurança de uma combinação de agentes sensibilizadores de insulina, antioxidantes e vitaminas em mulheres com SOPC </w:t>
      </w:r>
      <w:r>
        <w:rPr>
          <w:color w:val="404040" w:themeColor="text1" w:themeTint="BF"/>
          <w:sz w:val="24"/>
        </w:rPr>
        <w:fldChar w:fldCharType="begin">
          <w:fldData xml:space="preserve">PEVuZE5vdGU+PENpdGU+PEF1dGhvcj5BZHZhbmk8L0F1dGhvcj48WWVhcj4yMDIwPC9ZZWFyPjxJ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</w:fldData>
        </w:fldChar>
      </w:r>
      <w:r>
        <w:rPr>
          <w:color w:val="404040" w:themeColor="text1" w:themeTint="BF"/>
          <w:sz w:val="24"/>
        </w:rPr>
        <w:instrText xml:space="preserve"> ADDIN EN.CITE </w:instrText>
      </w:r>
      <w:r>
        <w:rPr>
          <w:color w:val="404040" w:themeColor="text1" w:themeTint="BF"/>
          <w:sz w:val="24"/>
        </w:rPr>
        <w:fldChar w:fldCharType="begin">
          <w:fldData xml:space="preserve">PEVuZE5vdGU+PENpdGU+PEF1dGhvcj5BZHZhbmk8L0F1dGhvcj48WWVhcj4yMDIwPC9ZZWFyPjxJ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</w:fldData>
        </w:fldChar>
      </w:r>
      <w:r>
        <w:rPr>
          <w:color w:val="404040" w:themeColor="text1" w:themeTint="BF"/>
          <w:sz w:val="24"/>
        </w:rPr>
        <w:instrText xml:space="preserve"> ADDIN EN.CITE.DATA </w:instrText>
      </w:r>
      <w:r>
        <w:rPr>
          <w:color w:val="404040" w:themeColor="text1" w:themeTint="BF"/>
          <w:sz w:val="24"/>
        </w:rPr>
      </w:r>
      <w:r>
        <w:rPr>
          <w:color w:val="404040" w:themeColor="text1" w:themeTint="BF"/>
          <w:sz w:val="24"/>
        </w:rPr>
        <w:fldChar w:fldCharType="end"/>
      </w:r>
      <w:r>
        <w:rPr>
          <w:color w:val="404040" w:themeColor="text1" w:themeTint="BF"/>
          <w:sz w:val="24"/>
        </w:rPr>
      </w:r>
      <w:r>
        <w:rPr>
          <w:color w:val="404040" w:themeColor="text1" w:themeTint="BF"/>
          <w:sz w:val="24"/>
        </w:rPr>
        <w:fldChar w:fldCharType="separate"/>
      </w:r>
      <w:r>
        <w:rPr>
          <w:color w:val="404040" w:themeColor="text1" w:themeTint="BF"/>
          <w:sz w:val="24"/>
        </w:rPr>
        <w:t>(ADVANI; BATRA; TAJPURIYA; GUPTA</w:t>
      </w:r>
      <w:r>
        <w:rPr>
          <w:i/>
          <w:color w:val="404040" w:themeColor="text1" w:themeTint="BF"/>
          <w:sz w:val="24"/>
        </w:rPr>
        <w:t xml:space="preserve"> et al.</w:t>
      </w:r>
      <w:r>
        <w:rPr>
          <w:color w:val="404040" w:themeColor="text1" w:themeTint="BF"/>
          <w:sz w:val="24"/>
        </w:rPr>
        <w:t>, 2020)</w:t>
      </w:r>
      <w:r>
        <w:rPr>
          <w:color w:val="404040" w:themeColor="text1" w:themeTint="BF"/>
          <w:sz w:val="24"/>
        </w:rPr>
        <w:fldChar w:fldCharType="end"/>
      </w:r>
      <w:r>
        <w:rPr>
          <w:color w:val="404040" w:themeColor="text1" w:themeTint="BF"/>
          <w:sz w:val="24"/>
        </w:rPr>
        <w:t>.</w:t>
      </w:r>
    </w:p>
    <w:p w14:paraId="2BC2144C"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28896" behindDoc="0" locked="0" layoutInCell="1" allowOverlap="1">
                <wp:simplePos x="0" y="0"/>
                <wp:positionH relativeFrom="margin">
                  <wp:posOffset>8255</wp:posOffset>
                </wp:positionH>
                <wp:positionV relativeFrom="paragraph">
                  <wp:posOffset>93345</wp:posOffset>
                </wp:positionV>
                <wp:extent cx="5724525" cy="511810"/>
                <wp:effectExtent l="0" t="0" r="28575" b="22225"/>
                <wp:wrapNone/>
                <wp:docPr id="220" name="Caixa de texto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1629"/>
                        </a:xfrm>
                        <a:prstGeom prst="rect">
                          <a:avLst/>
                        </a:prstGeom>
                        <a:solidFill>
                          <a:schemeClr val="bg1">
                            <a:lumMod val="100000"/>
                            <a:lumOff val="0"/>
                          </a:schemeClr>
                        </a:solidFill>
                        <a:ln w="9525">
                          <a:solidFill>
                            <a:srgbClr val="0070C0"/>
                          </a:solidFill>
                          <a:miter lim="800000"/>
                        </a:ln>
                      </wps:spPr>
                      <wps:txbx>
                        <w:txbxContent>
                          <w:p w14:paraId="376DBA28" w14:textId="77777777" w:rsidR="00FA41FC" w:rsidRDefault="00FA41FC">
                            <w:pPr>
                              <w:jc w:val="center"/>
                              <w:rPr>
                                <w:rFonts w:ascii="Swis721 Th BT" w:hAnsi="Swis721 Th BT"/>
                                <w:sz w:val="23"/>
                                <w:szCs w:val="23"/>
                              </w:rPr>
                            </w:pPr>
                            <w:r>
                              <w:rPr>
                                <w:rFonts w:ascii="Swis721 Th BT" w:hAnsi="Swis721 Th BT"/>
                                <w:sz w:val="23"/>
                                <w:szCs w:val="23"/>
                              </w:rPr>
                              <w:t>Para isso, 63 mulheres com idade entre 18-42 anos, em idade reprodutiva e com SOPC, foram selecionadas para receberem:</w:t>
                            </w:r>
                          </w:p>
                          <w:p w14:paraId="078B59F7"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220" o:spid="_x0000_s1070" type="#_x0000_t202" style="position:absolute;left:0;text-align:left;margin-left:.65pt;margin-top:7.35pt;width:450.75pt;height:40.3pt;z-index:2517288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" fillcolor="white [3212]" strokecolor="#0070c0">
                <v:textbox>
                  <w:txbxContent>
                    <w:p w14:paraId="376DBA28" w14:textId="77777777" w:rsidR="00FA41FC" w:rsidRDefault="00FA41FC">
                      <w:pPr>
                        <w:jc w:val="center"/>
                        <w:rPr>
                          <w:rFonts w:ascii="Swis721 Th BT" w:hAnsi="Swis721 Th BT"/>
                          <w:sz w:val="23"/>
                          <w:szCs w:val="23"/>
                        </w:rPr>
                      </w:pPr>
                      <w:r>
                        <w:rPr>
                          <w:rFonts w:ascii="Swis721 Th BT" w:hAnsi="Swis721 Th BT"/>
                          <w:sz w:val="23"/>
                          <w:szCs w:val="23"/>
                        </w:rPr>
                        <w:t>Para isso, 63 mulheres com idade entre 18-42 anos, em idade reprodutiva e com SOPC, foram selecionadas para receberem:</w:t>
                      </w:r>
                    </w:p>
                    <w:p w14:paraId="078B59F7"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08070C82" w14:textId="77777777" w:rsidR="00CD65C2" w:rsidRDefault="00CD65C2">
      <w:pPr>
        <w:pStyle w:val="Corpo"/>
        <w:rPr>
          <w:rFonts w:hint="eastAsia"/>
          <w:color w:val="404040" w:themeColor="text1" w:themeTint="BF"/>
        </w:rPr>
      </w:pPr>
    </w:p>
    <w:p w14:paraId="11779E69" w14:textId="77777777" w:rsidR="00CD65C2" w:rsidRDefault="00CD65C2">
      <w:pPr>
        <w:pStyle w:val="Corpo"/>
        <w:rPr>
          <w:rFonts w:hint="eastAsia"/>
          <w:color w:val="404040" w:themeColor="text1" w:themeTint="BF"/>
        </w:rPr>
      </w:pPr>
    </w:p>
    <w:p w14:paraId="3504EB0D"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730944" behindDoc="0" locked="0" layoutInCell="1" allowOverlap="1">
                <wp:simplePos x="0" y="0"/>
                <wp:positionH relativeFrom="margin">
                  <wp:align>center</wp:align>
                </wp:positionH>
                <wp:positionV relativeFrom="paragraph">
                  <wp:posOffset>10795</wp:posOffset>
                </wp:positionV>
                <wp:extent cx="226695" cy="138430"/>
                <wp:effectExtent l="0" t="0" r="1905" b="0"/>
                <wp:wrapNone/>
                <wp:docPr id="225" name="Triângulo isósceles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25" o:spid="_x0000_s1026" o:spt="5" type="#_x0000_t5" style="position:absolute;left:0pt;flip:y;margin-top:0.85pt;height:10.9pt;width:17.85pt;mso-position-horizontal:center;mso-position-horizontal-relative:margin;z-index:251730944;mso-width-relative:page;mso-height-relative:page;" fillcolor="#D9D9D9 [3212]" filled="t" stroked="f" coordsize="21600,21600" o:gfxdata="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IbxMczUAAAA&#10;BAEAAA8AAAAAAAAAAQAgAAAAIgAAAGRycy9kb3ducmV2LnhtbFBLAQIUABQAAAAIAIdO4kCWSVNE&#10;WgIAAKcEAAAOAAAAAAAAAAEAIAAAACMBAABkcnMvZTJvRG9jLnhtbFBLBQYAAAAABgAGAFkBAADv&#10;BQAAAAA=&#10;" adj="10800">
                <v:fill on="t" focussize="0,0"/>
                <v:stroke on="f"/>
                <v:imagedata o:title=""/>
                <o:lock v:ext="edit" aspectratio="f"/>
              </v:shape>
            </w:pict>
          </mc:Fallback>
        </mc:AlternateContent>
      </w:r>
    </w:p>
    <w:p w14:paraId="18BA2173"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729920" behindDoc="0" locked="0" layoutInCell="1" allowOverlap="1">
                <wp:simplePos x="0" y="0"/>
                <wp:positionH relativeFrom="margin">
                  <wp:align>center</wp:align>
                </wp:positionH>
                <wp:positionV relativeFrom="paragraph">
                  <wp:posOffset>77470</wp:posOffset>
                </wp:positionV>
                <wp:extent cx="3048000" cy="1733550"/>
                <wp:effectExtent l="0" t="0" r="19050" b="19050"/>
                <wp:wrapNone/>
                <wp:docPr id="226" name="Caixa de texto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733550"/>
                        </a:xfrm>
                        <a:prstGeom prst="rect">
                          <a:avLst/>
                        </a:prstGeom>
                        <a:solidFill>
                          <a:srgbClr val="0070C0"/>
                        </a:solidFill>
                        <a:ln w="9525">
                          <a:solidFill>
                            <a:srgbClr val="0070C0"/>
                          </a:solidFill>
                          <a:miter lim="800000"/>
                        </a:ln>
                      </wps:spPr>
                      <wps:txbx>
                        <w:txbxContent>
                          <w:p w14:paraId="2E4A4A0A"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Inositol 600 mg</w:t>
                            </w:r>
                          </w:p>
                          <w:p w14:paraId="73073C71"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N-acetilcisteína 300 mg</w:t>
                            </w:r>
                          </w:p>
                          <w:p w14:paraId="77A6C0F2"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Biotina 5 mg</w:t>
                            </w:r>
                          </w:p>
                          <w:p w14:paraId="5344F488"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Licopeno 5 mg</w:t>
                            </w:r>
                          </w:p>
                          <w:p w14:paraId="1765DF8C"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Picolinato de Cromo 200 mcg</w:t>
                            </w:r>
                          </w:p>
                          <w:p w14:paraId="3A3DC50B"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Ácido Fólico 120 mcg</w:t>
                            </w:r>
                          </w:p>
                          <w:p w14:paraId="6EBCFFE6"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D 400 UI</w:t>
                            </w:r>
                          </w:p>
                          <w:p w14:paraId="63B210A4" w14:textId="1D66D2C5"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Foi administrado 1 cápsula duas vezes ao dia</w:t>
                            </w:r>
                          </w:p>
                          <w:p w14:paraId="4135479C"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226" o:spid="_x0000_s1071" type="#_x0000_t202" style="position:absolute;left:0;text-align:left;margin-left:0;margin-top:6.1pt;width:240pt;height:136.5pt;z-index:25172992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" fillcolor="#0070c0" strokecolor="#0070c0">
                <v:textbox>
                  <w:txbxContent>
                    <w:p w14:paraId="2E4A4A0A"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Inositol 600 mg</w:t>
                      </w:r>
                    </w:p>
                    <w:p w14:paraId="73073C71"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N-acetilcisteína 300 mg</w:t>
                      </w:r>
                    </w:p>
                    <w:p w14:paraId="77A6C0F2"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Biotina 5 mg</w:t>
                      </w:r>
                    </w:p>
                    <w:p w14:paraId="5344F488"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Licopeno 5 mg</w:t>
                      </w:r>
                    </w:p>
                    <w:p w14:paraId="1765DF8C"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Picolinato de Cromo 200 mcg</w:t>
                      </w:r>
                    </w:p>
                    <w:p w14:paraId="3A3DC50B"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Ácido Fólico 120 mcg</w:t>
                      </w:r>
                    </w:p>
                    <w:p w14:paraId="6EBCFFE6"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D 400 UI</w:t>
                      </w:r>
                    </w:p>
                    <w:p w14:paraId="63B210A4" w14:textId="1D66D2C5"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Foi administrado 1 cápsula duas vezes ao dia</w:t>
                      </w:r>
                    </w:p>
                    <w:p w14:paraId="4135479C"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 xml:space="preserve"> </w:t>
                      </w:r>
                    </w:p>
                  </w:txbxContent>
                </v:textbox>
                <w10:wrap anchorx="margin"/>
              </v:shape>
            </w:pict>
          </mc:Fallback>
        </mc:AlternateContent>
      </w:r>
    </w:p>
    <w:p w14:paraId="3408F1F5" w14:textId="77777777" w:rsidR="00CD65C2" w:rsidRDefault="00CD65C2">
      <w:pPr>
        <w:pStyle w:val="Corpo"/>
        <w:rPr>
          <w:rFonts w:hint="eastAsia"/>
          <w:color w:val="404040" w:themeColor="text1" w:themeTint="BF"/>
        </w:rPr>
      </w:pPr>
    </w:p>
    <w:p w14:paraId="56370604" w14:textId="77777777" w:rsidR="00CD65C2" w:rsidRDefault="00CD65C2">
      <w:pPr>
        <w:pStyle w:val="Corpo"/>
        <w:rPr>
          <w:rFonts w:hint="eastAsia"/>
          <w:color w:val="404040" w:themeColor="text1" w:themeTint="BF"/>
        </w:rPr>
      </w:pPr>
    </w:p>
    <w:p w14:paraId="17EEA245" w14:textId="77777777" w:rsidR="00CD65C2" w:rsidRDefault="00CD65C2">
      <w:pPr>
        <w:pStyle w:val="Corpo"/>
        <w:rPr>
          <w:rFonts w:hint="eastAsia"/>
          <w:color w:val="404040" w:themeColor="text1" w:themeTint="BF"/>
        </w:rPr>
      </w:pPr>
    </w:p>
    <w:p w14:paraId="38D3EA3D" w14:textId="77777777" w:rsidR="00CD65C2" w:rsidRDefault="00CD65C2">
      <w:pPr>
        <w:pStyle w:val="Corpo"/>
        <w:rPr>
          <w:rFonts w:hint="eastAsia"/>
          <w:color w:val="404040" w:themeColor="text1" w:themeTint="BF"/>
        </w:rPr>
      </w:pPr>
    </w:p>
    <w:p w14:paraId="34CDF057" w14:textId="77777777" w:rsidR="00CD65C2" w:rsidRDefault="00CD65C2">
      <w:pPr>
        <w:pStyle w:val="Corpo"/>
        <w:rPr>
          <w:rFonts w:hint="eastAsia"/>
          <w:color w:val="404040" w:themeColor="text1" w:themeTint="BF"/>
        </w:rPr>
      </w:pPr>
    </w:p>
    <w:p w14:paraId="5B8A0CB3" w14:textId="77777777" w:rsidR="00CD65C2" w:rsidRDefault="00CD65C2">
      <w:pPr>
        <w:pStyle w:val="Corpo"/>
        <w:rPr>
          <w:rFonts w:hint="eastAsia"/>
          <w:color w:val="404040" w:themeColor="text1" w:themeTint="BF"/>
        </w:rPr>
      </w:pPr>
    </w:p>
    <w:p w14:paraId="5A1619B9" w14:textId="77777777" w:rsidR="00CD65C2" w:rsidRDefault="00CD65C2">
      <w:pPr>
        <w:pStyle w:val="Corpo"/>
        <w:rPr>
          <w:rFonts w:hint="eastAsia"/>
          <w:color w:val="404040" w:themeColor="text1" w:themeTint="BF"/>
        </w:rPr>
      </w:pPr>
    </w:p>
    <w:p w14:paraId="1CE5C139" w14:textId="77777777" w:rsidR="00CD65C2" w:rsidRDefault="00CD65C2">
      <w:pPr>
        <w:pStyle w:val="Corpo"/>
        <w:spacing w:before="120"/>
        <w:rPr>
          <w:rFonts w:hint="eastAsia"/>
          <w:color w:val="404040" w:themeColor="text1" w:themeTint="BF"/>
          <w:sz w:val="20"/>
        </w:rPr>
      </w:pPr>
    </w:p>
    <w:p w14:paraId="35327A94" w14:textId="77777777" w:rsidR="00CD65C2" w:rsidRDefault="00CD65C2">
      <w:pPr>
        <w:pStyle w:val="Corpo"/>
        <w:rPr>
          <w:rFonts w:hint="eastAsia"/>
          <w:color w:val="404040" w:themeColor="text1" w:themeTint="BF"/>
        </w:rPr>
      </w:pPr>
    </w:p>
    <w:p w14:paraId="6C95558E"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380027F7" w14:textId="77777777" w:rsidR="00CD65C2" w:rsidRDefault="00CD65C2">
      <w:pPr>
        <w:pStyle w:val="Corpo"/>
        <w:rPr>
          <w:rFonts w:hint="eastAsia"/>
          <w:color w:val="404040" w:themeColor="text1" w:themeTint="BF"/>
          <w:sz w:val="16"/>
          <w:szCs w:val="16"/>
        </w:rPr>
      </w:pPr>
    </w:p>
    <w:p w14:paraId="790A0079" w14:textId="77777777" w:rsidR="00CD65C2" w:rsidRDefault="00FA41FC">
      <w:pPr>
        <w:pStyle w:val="Corpo"/>
        <w:numPr>
          <w:ilvl w:val="0"/>
          <w:numId w:val="5"/>
        </w:numPr>
        <w:rPr>
          <w:rFonts w:hint="eastAsia"/>
          <w:color w:val="404040" w:themeColor="text1" w:themeTint="BF"/>
          <w:szCs w:val="23"/>
        </w:rPr>
      </w:pPr>
      <w:r>
        <w:rPr>
          <w:color w:val="404040" w:themeColor="text1" w:themeTint="BF"/>
          <w:szCs w:val="23"/>
        </w:rPr>
        <w:t>Após 12 semanas de suplementação, foi observada uma melhora significativa na ciclicidade menstrual, acne e hirsutismo em pacientes obesos e magros com SOPC;</w:t>
      </w:r>
    </w:p>
    <w:p w14:paraId="0FC128AE" w14:textId="77777777" w:rsidR="00CD65C2" w:rsidRDefault="00CD65C2">
      <w:pPr>
        <w:pStyle w:val="Corpo"/>
        <w:ind w:left="360"/>
        <w:rPr>
          <w:rFonts w:hint="eastAsia"/>
          <w:color w:val="404040" w:themeColor="text1" w:themeTint="BF"/>
          <w:szCs w:val="23"/>
        </w:rPr>
      </w:pPr>
    </w:p>
    <w:p w14:paraId="00426578" w14:textId="77777777" w:rsidR="00CD65C2" w:rsidRDefault="00FA41FC">
      <w:pPr>
        <w:pStyle w:val="Corpo"/>
        <w:numPr>
          <w:ilvl w:val="0"/>
          <w:numId w:val="5"/>
        </w:numPr>
        <w:rPr>
          <w:rFonts w:hint="eastAsia"/>
          <w:color w:val="404040" w:themeColor="text1" w:themeTint="BF"/>
          <w:szCs w:val="23"/>
        </w:rPr>
      </w:pPr>
      <w:r>
        <w:rPr>
          <w:color w:val="404040" w:themeColor="text1" w:themeTint="BF"/>
          <w:szCs w:val="23"/>
        </w:rPr>
        <w:t>Também foi observada redução no peso corporal e IMC em pacientes obesas.</w:t>
      </w:r>
    </w:p>
    <w:p w14:paraId="0E3B604C" w14:textId="77777777" w:rsidR="00CD65C2" w:rsidRDefault="00CD65C2">
      <w:pPr>
        <w:pStyle w:val="Corpo"/>
        <w:spacing w:after="120"/>
        <w:rPr>
          <w:rFonts w:hint="eastAsia"/>
          <w:color w:val="404040" w:themeColor="text1" w:themeTint="BF"/>
          <w:sz w:val="24"/>
        </w:rPr>
      </w:pPr>
    </w:p>
    <w:tbl>
      <w:tblPr>
        <w:tblStyle w:val="TabelaSimples52"/>
        <w:tblW w:w="0" w:type="auto"/>
        <w:jc w:val="center"/>
        <w:tblLook w:val="04A0" w:firstRow="1" w:lastRow="0" w:firstColumn="1" w:lastColumn="0" w:noHBand="0" w:noVBand="1"/>
      </w:tblPr>
      <w:tblGrid>
        <w:gridCol w:w="1251"/>
        <w:gridCol w:w="1541"/>
        <w:gridCol w:w="1956"/>
        <w:gridCol w:w="1541"/>
        <w:gridCol w:w="1956"/>
      </w:tblGrid>
      <w:tr w:rsidR="00CD65C2" w14:paraId="0AD5520F" w14:textId="77777777" w:rsidTr="00CD65C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tcPr>
          <w:p w14:paraId="16EA03D4" w14:textId="77777777" w:rsidR="00CD65C2" w:rsidRDefault="00CD65C2">
            <w:pPr>
              <w:pStyle w:val="Corpo"/>
              <w:spacing w:after="120"/>
              <w:jc w:val="center"/>
              <w:rPr>
                <w:rFonts w:hint="eastAsia"/>
                <w:i w:val="0"/>
                <w:iCs w:val="0"/>
                <w:color w:val="404040" w:themeColor="text1" w:themeTint="BF"/>
                <w:sz w:val="24"/>
              </w:rPr>
            </w:pPr>
          </w:p>
        </w:tc>
        <w:tc>
          <w:tcPr>
            <w:tcW w:w="0" w:type="auto"/>
            <w:gridSpan w:val="2"/>
          </w:tcPr>
          <w:p w14:paraId="2AA1910C" w14:textId="1AE365E6" w:rsidR="00CD65C2" w:rsidRDefault="00FA41FC">
            <w:pPr>
              <w:pStyle w:val="Corpo"/>
              <w:spacing w:after="120"/>
              <w:jc w:val="center"/>
              <w:cnfStyle w:val="100000000000" w:firstRow="1" w:lastRow="0" w:firstColumn="0" w:lastColumn="0" w:oddVBand="0" w:evenVBand="0" w:oddHBand="0" w:evenHBand="0" w:firstRowFirstColumn="0" w:firstRowLastColumn="0" w:lastRowFirstColumn="0" w:lastRowLastColumn="0"/>
              <w:rPr>
                <w:rFonts w:hint="eastAsia"/>
                <w:i w:val="0"/>
                <w:iCs w:val="0"/>
                <w:color w:val="404040" w:themeColor="text1" w:themeTint="BF"/>
                <w:sz w:val="24"/>
              </w:rPr>
            </w:pPr>
            <w:r>
              <w:rPr>
                <w:color w:val="404040" w:themeColor="text1" w:themeTint="BF"/>
                <w:sz w:val="24"/>
              </w:rPr>
              <w:t>Obesas</w:t>
            </w:r>
          </w:p>
        </w:tc>
        <w:tc>
          <w:tcPr>
            <w:tcW w:w="0" w:type="auto"/>
            <w:gridSpan w:val="2"/>
          </w:tcPr>
          <w:p w14:paraId="13464BC4" w14:textId="20C8D690" w:rsidR="00CD65C2" w:rsidRDefault="00FA41FC">
            <w:pPr>
              <w:pStyle w:val="Corpo"/>
              <w:spacing w:after="120"/>
              <w:jc w:val="center"/>
              <w:cnfStyle w:val="100000000000" w:firstRow="1" w:lastRow="0" w:firstColumn="0" w:lastColumn="0" w:oddVBand="0" w:evenVBand="0" w:oddHBand="0" w:evenHBand="0" w:firstRowFirstColumn="0" w:firstRowLastColumn="0" w:lastRowFirstColumn="0" w:lastRowLastColumn="0"/>
              <w:rPr>
                <w:rFonts w:hint="eastAsia"/>
                <w:i w:val="0"/>
                <w:iCs w:val="0"/>
                <w:color w:val="404040" w:themeColor="text1" w:themeTint="BF"/>
                <w:sz w:val="24"/>
              </w:rPr>
            </w:pPr>
            <w:r>
              <w:rPr>
                <w:color w:val="404040" w:themeColor="text1" w:themeTint="BF"/>
                <w:sz w:val="24"/>
              </w:rPr>
              <w:t>Magras</w:t>
            </w:r>
          </w:p>
        </w:tc>
      </w:tr>
      <w:tr w:rsidR="00CD65C2" w14:paraId="0BD32303" w14:textId="77777777" w:rsidTr="00CD65C2">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4B9B13D" w14:textId="77777777" w:rsidR="00CD65C2" w:rsidRDefault="00CD65C2">
            <w:pPr>
              <w:pStyle w:val="Corpo"/>
              <w:spacing w:after="120"/>
              <w:jc w:val="center"/>
              <w:rPr>
                <w:rFonts w:hint="eastAsia"/>
                <w:i w:val="0"/>
                <w:iCs w:val="0"/>
                <w:color w:val="404040" w:themeColor="text1" w:themeTint="BF"/>
                <w:sz w:val="24"/>
              </w:rPr>
            </w:pPr>
          </w:p>
        </w:tc>
        <w:tc>
          <w:tcPr>
            <w:tcW w:w="0" w:type="auto"/>
            <w:shd w:val="clear" w:color="auto" w:fill="F2F2F2" w:themeFill="background1" w:themeFillShade="F2"/>
          </w:tcPr>
          <w:p w14:paraId="52D135F2"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4"/>
              </w:rPr>
            </w:pPr>
            <w:r>
              <w:rPr>
                <w:color w:val="404040" w:themeColor="text1" w:themeTint="BF"/>
                <w:sz w:val="24"/>
              </w:rPr>
              <w:t>Antes</w:t>
            </w:r>
          </w:p>
        </w:tc>
        <w:tc>
          <w:tcPr>
            <w:tcW w:w="0" w:type="auto"/>
            <w:shd w:val="clear" w:color="auto" w:fill="F2F2F2" w:themeFill="background1" w:themeFillShade="F2"/>
          </w:tcPr>
          <w:p w14:paraId="3F0F5503"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4"/>
              </w:rPr>
            </w:pPr>
            <w:r>
              <w:rPr>
                <w:color w:val="404040" w:themeColor="text1" w:themeTint="BF"/>
                <w:sz w:val="24"/>
              </w:rPr>
              <w:t>Após Intervenção</w:t>
            </w:r>
          </w:p>
        </w:tc>
        <w:tc>
          <w:tcPr>
            <w:tcW w:w="0" w:type="auto"/>
            <w:shd w:val="clear" w:color="auto" w:fill="F2F2F2" w:themeFill="background1" w:themeFillShade="F2"/>
          </w:tcPr>
          <w:p w14:paraId="4A3D3499"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4"/>
              </w:rPr>
            </w:pPr>
            <w:r>
              <w:rPr>
                <w:color w:val="404040" w:themeColor="text1" w:themeTint="BF"/>
                <w:sz w:val="24"/>
              </w:rPr>
              <w:t>Antes</w:t>
            </w:r>
          </w:p>
        </w:tc>
        <w:tc>
          <w:tcPr>
            <w:tcW w:w="0" w:type="auto"/>
            <w:shd w:val="clear" w:color="auto" w:fill="F2F2F2" w:themeFill="background1" w:themeFillShade="F2"/>
          </w:tcPr>
          <w:p w14:paraId="2917A9A0"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4"/>
              </w:rPr>
            </w:pPr>
            <w:r>
              <w:rPr>
                <w:color w:val="404040" w:themeColor="text1" w:themeTint="BF"/>
                <w:sz w:val="24"/>
              </w:rPr>
              <w:t>Após Intervenção</w:t>
            </w:r>
          </w:p>
        </w:tc>
      </w:tr>
      <w:tr w:rsidR="00CD65C2" w14:paraId="7F4F5B2F" w14:textId="77777777" w:rsidTr="00CD65C2">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DF2F34C" w14:textId="77777777" w:rsidR="00CD65C2" w:rsidRDefault="00FA41FC">
            <w:pPr>
              <w:pStyle w:val="Corpo"/>
              <w:spacing w:after="120"/>
              <w:jc w:val="center"/>
              <w:rPr>
                <w:rFonts w:hint="eastAsia"/>
                <w:i w:val="0"/>
                <w:iCs w:val="0"/>
                <w:color w:val="404040" w:themeColor="text1" w:themeTint="BF"/>
                <w:sz w:val="24"/>
              </w:rPr>
            </w:pPr>
            <w:r>
              <w:rPr>
                <w:color w:val="404040" w:themeColor="text1" w:themeTint="BF"/>
                <w:sz w:val="24"/>
              </w:rPr>
              <w:t>Acne</w:t>
            </w:r>
          </w:p>
        </w:tc>
        <w:tc>
          <w:tcPr>
            <w:tcW w:w="0" w:type="auto"/>
          </w:tcPr>
          <w:p w14:paraId="2C6C6FD8"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4"/>
              </w:rPr>
            </w:pPr>
            <w:r>
              <w:rPr>
                <w:color w:val="404040" w:themeColor="text1" w:themeTint="BF"/>
                <w:sz w:val="24"/>
              </w:rPr>
              <w:t>21,74 ± 2,47</w:t>
            </w:r>
          </w:p>
        </w:tc>
        <w:tc>
          <w:tcPr>
            <w:tcW w:w="0" w:type="auto"/>
          </w:tcPr>
          <w:p w14:paraId="570B8503"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4"/>
              </w:rPr>
            </w:pPr>
            <w:r>
              <w:rPr>
                <w:color w:val="404040" w:themeColor="text1" w:themeTint="BF"/>
                <w:sz w:val="24"/>
              </w:rPr>
              <w:t>11,69 ± 1,61</w:t>
            </w:r>
          </w:p>
        </w:tc>
        <w:tc>
          <w:tcPr>
            <w:tcW w:w="0" w:type="auto"/>
          </w:tcPr>
          <w:p w14:paraId="6FFAB23B"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4"/>
              </w:rPr>
            </w:pPr>
            <w:r>
              <w:rPr>
                <w:color w:val="404040" w:themeColor="text1" w:themeTint="BF"/>
                <w:sz w:val="24"/>
              </w:rPr>
              <w:t>11,38 ± 2,70</w:t>
            </w:r>
          </w:p>
        </w:tc>
        <w:tc>
          <w:tcPr>
            <w:tcW w:w="0" w:type="auto"/>
          </w:tcPr>
          <w:p w14:paraId="7F948215"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4"/>
              </w:rPr>
            </w:pPr>
            <w:r>
              <w:rPr>
                <w:color w:val="404040" w:themeColor="text1" w:themeTint="BF"/>
                <w:sz w:val="24"/>
              </w:rPr>
              <w:t>7,00 ± 1,42</w:t>
            </w:r>
          </w:p>
        </w:tc>
      </w:tr>
      <w:tr w:rsidR="00CD65C2" w14:paraId="1E1CE49E" w14:textId="77777777" w:rsidTr="00CD65C2">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26A0825" w14:textId="77777777" w:rsidR="00CD65C2" w:rsidRDefault="00FA41FC">
            <w:pPr>
              <w:pStyle w:val="Corpo"/>
              <w:spacing w:after="120"/>
              <w:jc w:val="center"/>
              <w:rPr>
                <w:rFonts w:hint="eastAsia"/>
                <w:i w:val="0"/>
                <w:iCs w:val="0"/>
                <w:color w:val="404040" w:themeColor="text1" w:themeTint="BF"/>
                <w:sz w:val="24"/>
              </w:rPr>
            </w:pPr>
            <w:r>
              <w:rPr>
                <w:color w:val="404040" w:themeColor="text1" w:themeTint="BF"/>
                <w:sz w:val="24"/>
              </w:rPr>
              <w:t>Hirsutismo</w:t>
            </w:r>
          </w:p>
        </w:tc>
        <w:tc>
          <w:tcPr>
            <w:tcW w:w="0" w:type="auto"/>
            <w:shd w:val="clear" w:color="auto" w:fill="F2F2F2" w:themeFill="background1" w:themeFillShade="F2"/>
          </w:tcPr>
          <w:p w14:paraId="58C746D6"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4"/>
              </w:rPr>
            </w:pPr>
            <w:r>
              <w:rPr>
                <w:color w:val="404040" w:themeColor="text1" w:themeTint="BF"/>
              </w:rPr>
              <w:t>2,57 ± 0,17</w:t>
            </w:r>
          </w:p>
        </w:tc>
        <w:tc>
          <w:tcPr>
            <w:tcW w:w="0" w:type="auto"/>
            <w:shd w:val="clear" w:color="auto" w:fill="F2F2F2" w:themeFill="background1" w:themeFillShade="F2"/>
          </w:tcPr>
          <w:p w14:paraId="6FF55FF3"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4"/>
              </w:rPr>
            </w:pPr>
            <w:r>
              <w:rPr>
                <w:color w:val="404040" w:themeColor="text1" w:themeTint="BF"/>
                <w:sz w:val="24"/>
              </w:rPr>
              <w:t>2,12 ± 0,16</w:t>
            </w:r>
          </w:p>
        </w:tc>
        <w:tc>
          <w:tcPr>
            <w:tcW w:w="0" w:type="auto"/>
            <w:shd w:val="clear" w:color="auto" w:fill="F2F2F2" w:themeFill="background1" w:themeFillShade="F2"/>
          </w:tcPr>
          <w:p w14:paraId="336ECFCF"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4"/>
              </w:rPr>
            </w:pPr>
            <w:r>
              <w:rPr>
                <w:color w:val="404040" w:themeColor="text1" w:themeTint="BF"/>
                <w:sz w:val="24"/>
              </w:rPr>
              <w:t>1,87 ± 0,20</w:t>
            </w:r>
          </w:p>
        </w:tc>
        <w:tc>
          <w:tcPr>
            <w:tcW w:w="0" w:type="auto"/>
            <w:shd w:val="clear" w:color="auto" w:fill="F2F2F2" w:themeFill="background1" w:themeFillShade="F2"/>
          </w:tcPr>
          <w:p w14:paraId="3D270CA5"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4"/>
              </w:rPr>
            </w:pPr>
            <w:r>
              <w:rPr>
                <w:color w:val="404040" w:themeColor="text1" w:themeTint="BF"/>
                <w:sz w:val="24"/>
              </w:rPr>
              <w:t>1,62 ± 0,20</w:t>
            </w:r>
          </w:p>
        </w:tc>
      </w:tr>
    </w:tbl>
    <w:p w14:paraId="557B5099" w14:textId="77777777" w:rsidR="00CD65C2" w:rsidRDefault="00CD65C2">
      <w:pPr>
        <w:pStyle w:val="Corpo"/>
        <w:rPr>
          <w:rFonts w:hint="eastAsia"/>
          <w:color w:val="404040" w:themeColor="text1" w:themeTint="BF"/>
          <w:szCs w:val="23"/>
        </w:rPr>
      </w:pPr>
    </w:p>
    <w:p w14:paraId="76CFD731"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1E7F7C4C"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1BD02F14" w14:textId="2FD4E8F5" w:rsidR="00CD65C2" w:rsidRDefault="00FA41FC">
      <w:pPr>
        <w:pStyle w:val="Corpo"/>
        <w:jc w:val="center"/>
        <w:rPr>
          <w:rFonts w:hint="eastAsia"/>
          <w:b/>
          <w:i/>
          <w:color w:val="404040" w:themeColor="text1" w:themeTint="BF"/>
        </w:rPr>
      </w:pPr>
      <w:r>
        <w:rPr>
          <w:b/>
          <w:i/>
          <w:color w:val="404040" w:themeColor="text1" w:themeTint="BF"/>
        </w:rPr>
        <w:t>A combinação de agentes sensibilizadores de insulina, antioxidantes e vitamina é segura e eficaz em mulheres com SOPC obesas e não obesas, melhorando acne, hirsutismo, ciclicidade menstrual, peso e IMC.</w:t>
      </w:r>
    </w:p>
    <w:p w14:paraId="1CAABFF9" w14:textId="77777777" w:rsidR="00CD65C2" w:rsidRDefault="00FA41FC">
      <w:pPr>
        <w:pStyle w:val="Ttulo1"/>
        <w:jc w:val="center"/>
        <w:rPr>
          <w:rFonts w:hint="eastAsia"/>
        </w:rPr>
      </w:pPr>
      <w:bookmarkStart w:id="38" w:name="_Toc165537190"/>
      <w:r>
        <w:t>Formulário</w:t>
      </w:r>
      <w:bookmarkEnd w:id="38"/>
    </w:p>
    <w:p w14:paraId="5D9385A7" w14:textId="77777777" w:rsidR="00CD65C2" w:rsidRDefault="00CD65C2">
      <w:pPr>
        <w:pStyle w:val="Corpo"/>
        <w:rPr>
          <w:rFonts w:hint="eastAsia"/>
          <w:b/>
          <w:i/>
          <w:color w:val="404040" w:themeColor="text1" w:themeTint="BF"/>
        </w:rPr>
      </w:pPr>
    </w:p>
    <w:p w14:paraId="7F7B3B78" w14:textId="77777777" w:rsidR="00CD65C2" w:rsidRDefault="00CD65C2">
      <w:pPr>
        <w:pStyle w:val="Corpo"/>
        <w:rPr>
          <w:rFonts w:hint="eastAsia"/>
          <w:b/>
          <w:i/>
          <w:color w:val="404040" w:themeColor="text1" w:themeTint="BF"/>
        </w:rPr>
      </w:pPr>
    </w:p>
    <w:p w14:paraId="35A568B3" w14:textId="77777777" w:rsidR="00CD65C2" w:rsidRDefault="00FA41FC">
      <w:pPr>
        <w:pStyle w:val="Corpo"/>
        <w:rPr>
          <w:rFonts w:hint="eastAsia"/>
          <w:b/>
          <w:i/>
          <w:color w:val="404040" w:themeColor="text1" w:themeTint="BF"/>
          <w:sz w:val="24"/>
        </w:rPr>
      </w:pPr>
      <w:r>
        <w:rPr>
          <w:b/>
          <w:i/>
          <w:color w:val="404040" w:themeColor="text1" w:themeTint="BF"/>
          <w:sz w:val="24"/>
        </w:rPr>
        <w:t>Melhora da Acne e Hirsutismo na SOPC</w:t>
      </w:r>
    </w:p>
    <w:p w14:paraId="25AE697B"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45E955CC"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2F114DFB" w14:textId="77777777" w:rsidR="00CD65C2" w:rsidRDefault="00FA41FC">
            <w:pPr>
              <w:pStyle w:val="Corpo"/>
              <w:jc w:val="center"/>
              <w:rPr>
                <w:rFonts w:hint="eastAsia"/>
                <w:b/>
                <w:color w:val="FFFFFF" w:themeColor="background1"/>
              </w:rPr>
            </w:pPr>
            <w:r>
              <w:rPr>
                <w:b/>
                <w:color w:val="FFFFFF" w:themeColor="background1"/>
                <w:sz w:val="22"/>
              </w:rPr>
              <w:t>Associação</w:t>
            </w:r>
          </w:p>
        </w:tc>
      </w:tr>
      <w:tr w:rsidR="00CD65C2" w14:paraId="000729DB"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38D551E" w14:textId="77777777" w:rsidR="00CD65C2" w:rsidRDefault="00FA41FC">
            <w:pPr>
              <w:pStyle w:val="Corpo"/>
              <w:rPr>
                <w:rFonts w:hint="eastAsia"/>
                <w:color w:val="404040" w:themeColor="text1" w:themeTint="BF"/>
              </w:rPr>
            </w:pPr>
            <w:r>
              <w:rPr>
                <w:color w:val="404040" w:themeColor="text1" w:themeTint="BF"/>
              </w:rPr>
              <w:t>Inositol............................................600 mg</w:t>
            </w:r>
          </w:p>
        </w:tc>
      </w:tr>
      <w:tr w:rsidR="00CD65C2" w14:paraId="23D4BA74"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DDD74C0" w14:textId="77777777" w:rsidR="00CD65C2" w:rsidRDefault="00FA41FC">
            <w:pPr>
              <w:pStyle w:val="Corpo"/>
              <w:rPr>
                <w:rFonts w:hint="eastAsia"/>
                <w:color w:val="404040" w:themeColor="text1" w:themeTint="BF"/>
              </w:rPr>
            </w:pPr>
            <w:r>
              <w:rPr>
                <w:color w:val="404040" w:themeColor="text1" w:themeTint="BF"/>
              </w:rPr>
              <w:t>N-acetilcisteína...............................300 mg</w:t>
            </w:r>
          </w:p>
        </w:tc>
      </w:tr>
      <w:tr w:rsidR="00CD65C2" w14:paraId="616E4B3C"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301A6F1" w14:textId="77777777" w:rsidR="00CD65C2" w:rsidRDefault="00FA41FC">
            <w:pPr>
              <w:pStyle w:val="Corpo"/>
              <w:rPr>
                <w:rFonts w:hint="eastAsia"/>
                <w:color w:val="404040" w:themeColor="text1" w:themeTint="BF"/>
              </w:rPr>
            </w:pPr>
            <w:r>
              <w:rPr>
                <w:color w:val="404040" w:themeColor="text1" w:themeTint="BF"/>
              </w:rPr>
              <w:t>Biotina................................................5 mg</w:t>
            </w:r>
          </w:p>
        </w:tc>
      </w:tr>
      <w:tr w:rsidR="00CD65C2" w14:paraId="11B41FDD"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F4914E9" w14:textId="77777777" w:rsidR="00CD65C2" w:rsidRDefault="00FA41FC">
            <w:pPr>
              <w:pStyle w:val="Corpo"/>
              <w:rPr>
                <w:rFonts w:hint="eastAsia"/>
                <w:color w:val="404040" w:themeColor="text1" w:themeTint="BF"/>
              </w:rPr>
            </w:pPr>
            <w:r>
              <w:rPr>
                <w:color w:val="404040" w:themeColor="text1" w:themeTint="BF"/>
              </w:rPr>
              <w:t>Licopeno........................................... 5 mg</w:t>
            </w:r>
          </w:p>
        </w:tc>
      </w:tr>
      <w:tr w:rsidR="00CD65C2" w14:paraId="4CC7D01F"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637265E" w14:textId="77777777" w:rsidR="00CD65C2" w:rsidRDefault="00FA41FC">
            <w:pPr>
              <w:pStyle w:val="Corpo"/>
              <w:rPr>
                <w:rFonts w:hint="eastAsia"/>
                <w:color w:val="404040" w:themeColor="text1" w:themeTint="BF"/>
              </w:rPr>
            </w:pPr>
            <w:r>
              <w:rPr>
                <w:color w:val="404040" w:themeColor="text1" w:themeTint="BF"/>
              </w:rPr>
              <w:t>Picolinato de Cromo......................200 mcg</w:t>
            </w:r>
          </w:p>
        </w:tc>
      </w:tr>
      <w:tr w:rsidR="00CD65C2" w14:paraId="053F9B1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8880549" w14:textId="77777777" w:rsidR="00CD65C2" w:rsidRDefault="00FA41FC">
            <w:pPr>
              <w:pStyle w:val="Corpo"/>
              <w:rPr>
                <w:rFonts w:hint="eastAsia"/>
                <w:color w:val="404040" w:themeColor="text1" w:themeTint="BF"/>
              </w:rPr>
            </w:pPr>
            <w:r>
              <w:rPr>
                <w:color w:val="404040" w:themeColor="text1" w:themeTint="BF"/>
              </w:rPr>
              <w:t>Ácido Fólico..................................120 mcg</w:t>
            </w:r>
          </w:p>
        </w:tc>
      </w:tr>
      <w:tr w:rsidR="00CD65C2" w14:paraId="6702CC8B"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42C6A9C" w14:textId="77777777" w:rsidR="00CD65C2" w:rsidRDefault="00FA41FC">
            <w:pPr>
              <w:pStyle w:val="Corpo"/>
              <w:rPr>
                <w:rFonts w:hint="eastAsia"/>
                <w:color w:val="404040" w:themeColor="text1" w:themeTint="BF"/>
              </w:rPr>
            </w:pPr>
            <w:r>
              <w:rPr>
                <w:color w:val="404040" w:themeColor="text1" w:themeTint="BF"/>
              </w:rPr>
              <w:t>Vitamina D....................................... 400 UI</w:t>
            </w:r>
          </w:p>
        </w:tc>
      </w:tr>
      <w:tr w:rsidR="00CD65C2" w14:paraId="1FC3AB34"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16DE3A8" w14:textId="15F9BF4C" w:rsidR="00CD65C2" w:rsidRDefault="00FA41FC">
            <w:pPr>
              <w:pStyle w:val="Corpo"/>
              <w:rPr>
                <w:rFonts w:hint="eastAsia"/>
                <w:color w:val="404040" w:themeColor="text1" w:themeTint="BF"/>
              </w:rPr>
            </w:pPr>
            <w:r>
              <w:rPr>
                <w:color w:val="404040" w:themeColor="text1" w:themeTint="BF"/>
              </w:rPr>
              <w:t>Excipiente q.s.p. ........................1 Cápsula</w:t>
            </w:r>
          </w:p>
        </w:tc>
      </w:tr>
    </w:tbl>
    <w:p w14:paraId="308BB771" w14:textId="292C743E" w:rsidR="00CD65C2" w:rsidRDefault="00FA41FC">
      <w:pPr>
        <w:pStyle w:val="Corpo"/>
        <w:ind w:right="4762"/>
        <w:jc w:val="center"/>
        <w:rPr>
          <w:rFonts w:hint="eastAsia"/>
          <w:color w:val="404040" w:themeColor="text1" w:themeTint="BF"/>
          <w:sz w:val="22"/>
          <w:szCs w:val="22"/>
        </w:rPr>
      </w:pPr>
      <w:r>
        <w:rPr>
          <w:color w:val="404040" w:themeColor="text1" w:themeTint="BF"/>
          <w:sz w:val="22"/>
          <w:szCs w:val="22"/>
        </w:rPr>
        <w:t>Administrar 1 cápsula duas vezes ao dia ou conforme orientação médica.</w:t>
      </w:r>
    </w:p>
    <w:p w14:paraId="7B0943D0" w14:textId="77777777" w:rsidR="00CD65C2" w:rsidRDefault="00CD65C2">
      <w:pPr>
        <w:pStyle w:val="Corpo"/>
        <w:ind w:right="3969"/>
        <w:jc w:val="left"/>
        <w:rPr>
          <w:rFonts w:hint="eastAsia"/>
          <w:color w:val="404040" w:themeColor="text1" w:themeTint="BF"/>
          <w:sz w:val="16"/>
          <w:szCs w:val="16"/>
        </w:rPr>
      </w:pPr>
    </w:p>
    <w:p w14:paraId="2D7B73A1" w14:textId="77777777" w:rsidR="00CD65C2" w:rsidRDefault="00CD65C2">
      <w:pPr>
        <w:pStyle w:val="SemEspaamento"/>
      </w:pPr>
    </w:p>
    <w:p w14:paraId="740FC512" w14:textId="77777777" w:rsidR="00CD65C2" w:rsidRDefault="00CD65C2">
      <w:pPr>
        <w:pStyle w:val="SemEspaamento"/>
      </w:pPr>
    </w:p>
    <w:p w14:paraId="1C083EB9" w14:textId="77777777" w:rsidR="00CD65C2" w:rsidRDefault="00CD65C2">
      <w:pPr>
        <w:pStyle w:val="SemEspaamento"/>
      </w:pPr>
    </w:p>
    <w:p w14:paraId="035B0A5D" w14:textId="77777777" w:rsidR="00CD65C2" w:rsidRDefault="00CD65C2">
      <w:pPr>
        <w:pStyle w:val="SemEspaamento"/>
      </w:pPr>
    </w:p>
    <w:p w14:paraId="56A94C61" w14:textId="77777777" w:rsidR="00CD65C2" w:rsidRDefault="00CD65C2">
      <w:pPr>
        <w:pStyle w:val="SemEspaamento"/>
      </w:pPr>
    </w:p>
    <w:p w14:paraId="37E400BA" w14:textId="77777777" w:rsidR="00CD65C2" w:rsidRDefault="00CD65C2">
      <w:pPr>
        <w:pStyle w:val="SemEspaamento"/>
      </w:pPr>
    </w:p>
    <w:p w14:paraId="40FCB118" w14:textId="77777777" w:rsidR="00CD65C2" w:rsidRDefault="00CD65C2">
      <w:pPr>
        <w:pStyle w:val="SemEspaamento"/>
      </w:pPr>
    </w:p>
    <w:p w14:paraId="3922B12C" w14:textId="77777777" w:rsidR="00CD65C2" w:rsidRDefault="00CD65C2">
      <w:pPr>
        <w:pStyle w:val="SemEspaamento"/>
      </w:pPr>
    </w:p>
    <w:p w14:paraId="02F3BB75" w14:textId="77777777" w:rsidR="00CD65C2" w:rsidRDefault="00CD65C2">
      <w:pPr>
        <w:pStyle w:val="SemEspaamento"/>
      </w:pPr>
    </w:p>
    <w:p w14:paraId="5B6B1C24" w14:textId="77777777" w:rsidR="00CD65C2" w:rsidRDefault="00CD65C2">
      <w:pPr>
        <w:pStyle w:val="SemEspaamento"/>
      </w:pPr>
    </w:p>
    <w:p w14:paraId="37238A77" w14:textId="77777777" w:rsidR="00CD65C2" w:rsidRDefault="00CD65C2">
      <w:pPr>
        <w:pStyle w:val="SemEspaamento"/>
      </w:pPr>
    </w:p>
    <w:p w14:paraId="6983CB99" w14:textId="77777777" w:rsidR="00CD65C2" w:rsidRDefault="00CD65C2">
      <w:pPr>
        <w:pStyle w:val="SemEspaamento"/>
      </w:pPr>
    </w:p>
    <w:p w14:paraId="00269AA8" w14:textId="77777777" w:rsidR="00CD65C2" w:rsidRDefault="00CD65C2">
      <w:pPr>
        <w:pStyle w:val="SemEspaamento"/>
      </w:pPr>
    </w:p>
    <w:p w14:paraId="6407CBFD" w14:textId="77777777" w:rsidR="00CD65C2" w:rsidRDefault="00CD65C2">
      <w:pPr>
        <w:pStyle w:val="SemEspaamento"/>
      </w:pPr>
    </w:p>
    <w:p w14:paraId="1A298227" w14:textId="77777777" w:rsidR="00CD65C2" w:rsidRDefault="00CD65C2">
      <w:pPr>
        <w:pStyle w:val="SemEspaamento"/>
      </w:pPr>
    </w:p>
    <w:p w14:paraId="4572E0D8" w14:textId="77777777" w:rsidR="00CD65C2" w:rsidRDefault="00CD65C2">
      <w:pPr>
        <w:pStyle w:val="SemEspaamento"/>
      </w:pPr>
    </w:p>
    <w:p w14:paraId="63288DAB" w14:textId="77777777" w:rsidR="00CD65C2" w:rsidRDefault="00CD65C2">
      <w:pPr>
        <w:pStyle w:val="SemEspaamento"/>
      </w:pPr>
    </w:p>
    <w:p w14:paraId="25CFB2BD" w14:textId="77777777" w:rsidR="00CD65C2" w:rsidRDefault="00CD65C2">
      <w:pPr>
        <w:pStyle w:val="SemEspaamento"/>
      </w:pPr>
    </w:p>
    <w:p w14:paraId="2C08B96E" w14:textId="77777777" w:rsidR="00CD65C2" w:rsidRDefault="00CD65C2">
      <w:pPr>
        <w:pStyle w:val="SemEspaamento"/>
      </w:pPr>
    </w:p>
    <w:p w14:paraId="65BE7059" w14:textId="77777777" w:rsidR="00CD65C2" w:rsidRDefault="00FA41FC">
      <w:pPr>
        <w:pStyle w:val="Ttulo1"/>
        <w:jc w:val="center"/>
        <w:rPr>
          <w:rFonts w:hint="eastAsia"/>
        </w:rPr>
      </w:pPr>
      <w:bookmarkStart w:id="39" w:name="_Toc165537191"/>
      <w:r>
        <w:t xml:space="preserve">N-acetilcisteína </w:t>
      </w:r>
      <w:r>
        <w:rPr>
          <w:i/>
        </w:rPr>
        <w:t>versus</w:t>
      </w:r>
      <w:r>
        <w:t xml:space="preserve"> L-carnitina</w:t>
      </w:r>
      <w:bookmarkEnd w:id="39"/>
    </w:p>
    <w:p w14:paraId="55E8F9CC" w14:textId="77777777" w:rsidR="00CD65C2" w:rsidRPr="00D1428E" w:rsidRDefault="00FA41FC">
      <w:pPr>
        <w:pStyle w:val="Corpo"/>
        <w:jc w:val="center"/>
        <w:rPr>
          <w:rFonts w:hint="eastAsia"/>
          <w:b/>
          <w:color w:val="0070C0"/>
          <w:sz w:val="40"/>
        </w:rPr>
      </w:pPr>
      <w:r w:rsidRPr="00D1428E">
        <w:rPr>
          <w:b/>
          <w:color w:val="0070C0"/>
          <w:sz w:val="40"/>
        </w:rPr>
        <w:t>Melhora o Padrão Menstrual, Hormônio Folículo-Estimulante, Hormônio Luteinizante, Testosterona Livre e Marcadores de Resistência à Insulina</w:t>
      </w:r>
    </w:p>
    <w:p w14:paraId="65C3DD6D" w14:textId="77777777" w:rsidR="00CD65C2" w:rsidRDefault="00CD65C2">
      <w:pPr>
        <w:pStyle w:val="Corpo"/>
        <w:rPr>
          <w:rFonts w:hint="eastAsia"/>
          <w:color w:val="404040" w:themeColor="text1" w:themeTint="BF"/>
          <w:sz w:val="24"/>
        </w:rPr>
      </w:pPr>
    </w:p>
    <w:p w14:paraId="26128208" w14:textId="77777777" w:rsidR="00CD65C2" w:rsidRDefault="00FA41FC">
      <w:pPr>
        <w:pStyle w:val="Corpo"/>
        <w:rPr>
          <w:rFonts w:hint="eastAsia"/>
          <w:color w:val="404040" w:themeColor="text1" w:themeTint="BF"/>
          <w:sz w:val="24"/>
        </w:rPr>
      </w:pPr>
      <w:r>
        <w:rPr>
          <w:color w:val="404040" w:themeColor="text1" w:themeTint="BF"/>
          <w:sz w:val="24"/>
        </w:rPr>
        <w:t xml:space="preserve">Um estudo clínico, duplo-cego, controlado e randomizado conduzido por El Sharkwy </w:t>
      </w:r>
      <w:r>
        <w:rPr>
          <w:i/>
          <w:color w:val="404040" w:themeColor="text1" w:themeTint="BF"/>
          <w:sz w:val="24"/>
        </w:rPr>
        <w:t>et al.,</w:t>
      </w:r>
      <w:r>
        <w:rPr>
          <w:color w:val="404040" w:themeColor="text1" w:themeTint="BF"/>
          <w:sz w:val="24"/>
        </w:rPr>
        <w:t xml:space="preserve"> (2019) teve como objetivo comparar os perfis clínicos e metabólicos entre N-acetilcisteína e L-carnitina em mulheres com síndrome do ovário policístico (SOPC) resistentes ao citrato de clomifeno.</w:t>
      </w:r>
    </w:p>
    <w:p w14:paraId="2F1321CF"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35040" behindDoc="0" locked="0" layoutInCell="1" allowOverlap="1">
                <wp:simplePos x="0" y="0"/>
                <wp:positionH relativeFrom="margin">
                  <wp:posOffset>8255</wp:posOffset>
                </wp:positionH>
                <wp:positionV relativeFrom="paragraph">
                  <wp:posOffset>94615</wp:posOffset>
                </wp:positionV>
                <wp:extent cx="5724525" cy="511810"/>
                <wp:effectExtent l="0" t="0" r="28575" b="22225"/>
                <wp:wrapNone/>
                <wp:docPr id="227" name="Caixa de texto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1629"/>
                        </a:xfrm>
                        <a:prstGeom prst="rect">
                          <a:avLst/>
                        </a:prstGeom>
                        <a:solidFill>
                          <a:schemeClr val="bg1">
                            <a:lumMod val="100000"/>
                            <a:lumOff val="0"/>
                          </a:schemeClr>
                        </a:solidFill>
                        <a:ln w="9525">
                          <a:solidFill>
                            <a:srgbClr val="0070C0"/>
                          </a:solidFill>
                          <a:miter lim="800000"/>
                        </a:ln>
                      </wps:spPr>
                      <wps:txbx>
                        <w:txbxContent>
                          <w:p w14:paraId="3A49615E" w14:textId="0CB08FA2" w:rsidR="00FA41FC" w:rsidRDefault="00FA41FC">
                            <w:pPr>
                              <w:jc w:val="center"/>
                              <w:rPr>
                                <w:rFonts w:ascii="Swis721 Th BT" w:hAnsi="Swis721 Th BT"/>
                                <w:sz w:val="23"/>
                                <w:szCs w:val="23"/>
                              </w:rPr>
                            </w:pPr>
                            <w:r>
                              <w:rPr>
                                <w:rFonts w:ascii="Swis721 Th BT" w:hAnsi="Swis721 Th BT"/>
                                <w:sz w:val="23"/>
                                <w:szCs w:val="23"/>
                              </w:rPr>
                              <w:t xml:space="preserve">Para isso, 162 mulheres com SOPC foram randomizadas e divididas em dois grupos, nos quais receberam durante três meses: </w:t>
                            </w:r>
                          </w:p>
                          <w:p w14:paraId="2C2928B8"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227" o:spid="_x0000_s1072" type="#_x0000_t202" style="position:absolute;left:0;text-align:left;margin-left:.65pt;margin-top:7.45pt;width:450.75pt;height:40.3pt;z-index:2517350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" fillcolor="white [3212]" strokecolor="#0070c0">
                <v:textbox>
                  <w:txbxContent>
                    <w:p w14:paraId="3A49615E" w14:textId="0CB08FA2" w:rsidR="00FA41FC" w:rsidRDefault="00FA41FC">
                      <w:pPr>
                        <w:jc w:val="center"/>
                        <w:rPr>
                          <w:rFonts w:ascii="Swis721 Th BT" w:hAnsi="Swis721 Th BT"/>
                          <w:sz w:val="23"/>
                          <w:szCs w:val="23"/>
                        </w:rPr>
                      </w:pPr>
                      <w:r>
                        <w:rPr>
                          <w:rFonts w:ascii="Swis721 Th BT" w:hAnsi="Swis721 Th BT"/>
                          <w:sz w:val="23"/>
                          <w:szCs w:val="23"/>
                        </w:rPr>
                        <w:t xml:space="preserve">Para isso, 162 mulheres com SOPC foram randomizadas e divididas em dois grupos, nos quais receberam durante três meses: </w:t>
                      </w:r>
                    </w:p>
                    <w:p w14:paraId="2C2928B8"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420BDEF4" w14:textId="77777777" w:rsidR="00CD65C2" w:rsidRDefault="00CD65C2">
      <w:pPr>
        <w:pStyle w:val="Corpo"/>
        <w:rPr>
          <w:rFonts w:hint="eastAsia"/>
          <w:color w:val="404040" w:themeColor="text1" w:themeTint="BF"/>
        </w:rPr>
      </w:pPr>
    </w:p>
    <w:p w14:paraId="5C7514C0"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732992" behindDoc="0" locked="0" layoutInCell="1" allowOverlap="1">
                <wp:simplePos x="0" y="0"/>
                <wp:positionH relativeFrom="column">
                  <wp:posOffset>4664710</wp:posOffset>
                </wp:positionH>
                <wp:positionV relativeFrom="paragraph">
                  <wp:posOffset>107950</wp:posOffset>
                </wp:positionV>
                <wp:extent cx="226695" cy="138430"/>
                <wp:effectExtent l="0" t="0" r="1905" b="0"/>
                <wp:wrapNone/>
                <wp:docPr id="228" name="Triângulo isósceles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28" o:spid="_x0000_s1026" o:spt="5" type="#_x0000_t5" style="position:absolute;left:0pt;flip:y;margin-left:367.3pt;margin-top:8.5pt;height:10.9pt;width:17.85pt;z-index:251732992;mso-width-relative:page;mso-height-relative:page;" fillcolor="#D9D9D9 [3212]" filled="t" stroked="f" coordsize="21600,21600" o:gfxdata="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d5H66NYA&#10;AAAJAQAADwAAAAAAAAABACAAAAAiAAAAZHJzL2Rvd25yZXYueG1sUEsBAhQAFAAAAAgAh07iQGS6&#10;onJaAgAApwQAAA4AAAAAAAAAAQAgAAAAJQEAAGRycy9lMm9Eb2MueG1sUEsFBgAAAAAGAAYAWQEA&#10;APEFA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734016" behindDoc="0" locked="0" layoutInCell="1" allowOverlap="1">
                <wp:simplePos x="0" y="0"/>
                <wp:positionH relativeFrom="column">
                  <wp:posOffset>3839845</wp:posOffset>
                </wp:positionH>
                <wp:positionV relativeFrom="paragraph">
                  <wp:posOffset>91440</wp:posOffset>
                </wp:positionV>
                <wp:extent cx="1905000" cy="1012190"/>
                <wp:effectExtent l="0" t="0" r="19050" b="16510"/>
                <wp:wrapNone/>
                <wp:docPr id="231" name="Caixa de texto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012190"/>
                        </a:xfrm>
                        <a:prstGeom prst="rect">
                          <a:avLst/>
                        </a:prstGeom>
                        <a:solidFill>
                          <a:srgbClr val="0070C0"/>
                        </a:solidFill>
                        <a:ln w="9525">
                          <a:solidFill>
                            <a:srgbClr val="0070C0"/>
                          </a:solidFill>
                          <a:miter lim="800000"/>
                        </a:ln>
                      </wps:spPr>
                      <wps:txbx>
                        <w:txbxContent>
                          <w:p w14:paraId="2EB58190"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4383427"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Citrato de Clomifeno 150 mg</w:t>
                            </w:r>
                          </w:p>
                          <w:p w14:paraId="7B35708A"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L-Carnitina 3 g</w:t>
                            </w:r>
                          </w:p>
                          <w:p w14:paraId="4C2B5D10"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369DFD43" w14:textId="77777777" w:rsidR="00FA41FC" w:rsidRDefault="00FA41FC">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231" o:spid="_x0000_s1073" type="#_x0000_t202" style="position:absolute;left:0;text-align:left;margin-left:302.35pt;margin-top:7.2pt;width:150pt;height:79.7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" fillcolor="#0070c0" strokecolor="#0070c0">
                <v:textbox>
                  <w:txbxContent>
                    <w:p w14:paraId="2EB58190"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4383427"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Citrato de Clomifeno 150 mg</w:t>
                      </w:r>
                    </w:p>
                    <w:p w14:paraId="7B35708A"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L-Carnitina 3 g</w:t>
                      </w:r>
                    </w:p>
                    <w:p w14:paraId="4C2B5D10"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369DFD43" w14:textId="77777777" w:rsidR="00FA41FC" w:rsidRDefault="00FA41FC">
                      <w:pPr>
                        <w:spacing w:after="0" w:line="240" w:lineRule="auto"/>
                        <w:jc w:val="cente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731968" behindDoc="0" locked="0" layoutInCell="1" allowOverlap="1">
                <wp:simplePos x="0" y="0"/>
                <wp:positionH relativeFrom="column">
                  <wp:posOffset>-1905</wp:posOffset>
                </wp:positionH>
                <wp:positionV relativeFrom="paragraph">
                  <wp:posOffset>91440</wp:posOffset>
                </wp:positionV>
                <wp:extent cx="1913890" cy="1012190"/>
                <wp:effectExtent l="0" t="0" r="10160" b="16510"/>
                <wp:wrapNone/>
                <wp:docPr id="230" name="Caixa de texto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012372"/>
                        </a:xfrm>
                        <a:prstGeom prst="rect">
                          <a:avLst/>
                        </a:prstGeom>
                        <a:solidFill>
                          <a:srgbClr val="0070C0"/>
                        </a:solidFill>
                        <a:ln w="9525">
                          <a:solidFill>
                            <a:srgbClr val="0070C0"/>
                          </a:solidFill>
                          <a:miter lim="800000"/>
                        </a:ln>
                      </wps:spPr>
                      <wps:txbx>
                        <w:txbxContent>
                          <w:p w14:paraId="5E5B400A"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Citrato de Clomifeno 150 mg</w:t>
                            </w:r>
                          </w:p>
                          <w:p w14:paraId="6DB4AFF3"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N-Acetilcisteína 600 mg</w:t>
                            </w:r>
                          </w:p>
                          <w:p w14:paraId="47CEE1D5"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Placebo </w:t>
                            </w:r>
                          </w:p>
                          <w:p w14:paraId="66BA7939"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230" o:spid="_x0000_s1074" type="#_x0000_t202" style="position:absolute;left:0;text-align:left;margin-left:-.15pt;margin-top:7.2pt;width:150.7pt;height:79.7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" fillcolor="#0070c0" strokecolor="#0070c0">
                <v:textbox>
                  <w:txbxContent>
                    <w:p w14:paraId="5E5B400A"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Citrato de Clomifeno 150 mg</w:t>
                      </w:r>
                    </w:p>
                    <w:p w14:paraId="6DB4AFF3"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N-Acetilcisteína 600 mg</w:t>
                      </w:r>
                    </w:p>
                    <w:p w14:paraId="47CEE1D5"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Placebo </w:t>
                      </w:r>
                    </w:p>
                    <w:p w14:paraId="66BA7939"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p>
    <w:p w14:paraId="1AC97F8A" w14:textId="77777777" w:rsidR="00CD65C2" w:rsidRDefault="00CD65C2">
      <w:pPr>
        <w:pStyle w:val="Corpo"/>
        <w:rPr>
          <w:rFonts w:hint="eastAsia"/>
          <w:color w:val="404040" w:themeColor="text1" w:themeTint="BF"/>
        </w:rPr>
      </w:pPr>
    </w:p>
    <w:p w14:paraId="3F2E7FF7" w14:textId="77777777" w:rsidR="00CD65C2" w:rsidRDefault="00CD65C2">
      <w:pPr>
        <w:pStyle w:val="Corpo"/>
        <w:rPr>
          <w:rFonts w:hint="eastAsia"/>
          <w:color w:val="404040" w:themeColor="text1" w:themeTint="BF"/>
        </w:rPr>
      </w:pPr>
    </w:p>
    <w:p w14:paraId="75EFEE5C" w14:textId="77777777" w:rsidR="00CD65C2" w:rsidRDefault="00CD65C2">
      <w:pPr>
        <w:pStyle w:val="Corpo"/>
        <w:rPr>
          <w:rFonts w:hint="eastAsia"/>
          <w:color w:val="404040" w:themeColor="text1" w:themeTint="BF"/>
        </w:rPr>
      </w:pPr>
    </w:p>
    <w:p w14:paraId="10983224" w14:textId="77777777" w:rsidR="00CD65C2" w:rsidRDefault="00CD65C2">
      <w:pPr>
        <w:pStyle w:val="Corpo"/>
        <w:rPr>
          <w:rFonts w:hint="eastAsia"/>
          <w:color w:val="404040" w:themeColor="text1" w:themeTint="BF"/>
        </w:rPr>
      </w:pPr>
    </w:p>
    <w:p w14:paraId="39C84627" w14:textId="77777777" w:rsidR="00CD65C2" w:rsidRDefault="00CD65C2">
      <w:pPr>
        <w:pStyle w:val="Corpo"/>
        <w:rPr>
          <w:rFonts w:hint="eastAsia"/>
          <w:color w:val="404040" w:themeColor="text1" w:themeTint="BF"/>
        </w:rPr>
      </w:pPr>
    </w:p>
    <w:p w14:paraId="53380D0D" w14:textId="297439C1" w:rsidR="00CD65C2" w:rsidRDefault="00FA41FC">
      <w:pPr>
        <w:pStyle w:val="Corpo"/>
        <w:numPr>
          <w:ilvl w:val="0"/>
          <w:numId w:val="4"/>
        </w:numPr>
        <w:spacing w:after="0"/>
        <w:ind w:left="360"/>
        <w:rPr>
          <w:rFonts w:hint="eastAsia"/>
          <w:color w:val="404040" w:themeColor="text1" w:themeTint="BF"/>
          <w:sz w:val="20"/>
          <w:szCs w:val="23"/>
        </w:rPr>
      </w:pPr>
      <w:r>
        <w:rPr>
          <w:color w:val="404040" w:themeColor="text1" w:themeTint="BF"/>
          <w:sz w:val="20"/>
          <w:szCs w:val="23"/>
        </w:rPr>
        <w:t>Grupo 1 recebeu Citrato de Clomifeno do terceiro ao sétimo dia do ciclo menstrual, N-Acetilcisteína três vezes ao dia e um placebo simulando L-carnitina;</w:t>
      </w:r>
    </w:p>
    <w:p w14:paraId="28597F1F" w14:textId="6AD862AC" w:rsidR="00CD65C2" w:rsidRDefault="00FA41FC">
      <w:pPr>
        <w:pStyle w:val="Corpo"/>
        <w:numPr>
          <w:ilvl w:val="0"/>
          <w:numId w:val="4"/>
        </w:numPr>
        <w:spacing w:after="0"/>
        <w:ind w:left="360"/>
        <w:rPr>
          <w:rFonts w:hint="eastAsia"/>
          <w:color w:val="404040" w:themeColor="text1" w:themeTint="BF"/>
          <w:sz w:val="20"/>
          <w:szCs w:val="23"/>
        </w:rPr>
      </w:pPr>
      <w:r>
        <w:rPr>
          <w:color w:val="404040" w:themeColor="text1" w:themeTint="BF"/>
          <w:sz w:val="20"/>
          <w:szCs w:val="23"/>
        </w:rPr>
        <w:t>Grupo 2 recebeu Citrato de Clomifeno do terceiro ao sétimo dia do ciclo menstrual, L-Carnitina uma vez ao dia e um placebo simulando N-Acetilcisteína;</w:t>
      </w:r>
    </w:p>
    <w:p w14:paraId="0C6E821C" w14:textId="0A4E5E38" w:rsidR="00CD65C2" w:rsidRDefault="00FA41FC">
      <w:pPr>
        <w:pStyle w:val="Corpo"/>
        <w:numPr>
          <w:ilvl w:val="0"/>
          <w:numId w:val="4"/>
        </w:numPr>
        <w:spacing w:after="0"/>
        <w:ind w:left="360"/>
        <w:rPr>
          <w:rFonts w:hint="eastAsia"/>
          <w:color w:val="404040" w:themeColor="text1" w:themeTint="BF"/>
          <w:sz w:val="20"/>
          <w:szCs w:val="23"/>
        </w:rPr>
      </w:pPr>
      <w:r>
        <w:rPr>
          <w:color w:val="404040" w:themeColor="text1" w:themeTint="BF"/>
          <w:sz w:val="20"/>
          <w:szCs w:val="23"/>
        </w:rPr>
        <w:t>A administração de L-carnitina e N-acetilcisteína foi interrompida apenas após a confirmação da gravidez.</w:t>
      </w:r>
    </w:p>
    <w:p w14:paraId="06822858" w14:textId="77777777" w:rsidR="00CD65C2" w:rsidRDefault="00CD65C2">
      <w:pPr>
        <w:pStyle w:val="Corpo"/>
        <w:rPr>
          <w:rFonts w:hint="eastAsia"/>
          <w:color w:val="404040" w:themeColor="text1" w:themeTint="BF"/>
        </w:rPr>
      </w:pPr>
    </w:p>
    <w:p w14:paraId="4A5265F9"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561EEF87" w14:textId="77777777" w:rsidR="00CD65C2" w:rsidRDefault="00FA41FC">
      <w:pPr>
        <w:pStyle w:val="Corpo"/>
        <w:numPr>
          <w:ilvl w:val="0"/>
          <w:numId w:val="5"/>
        </w:numPr>
        <w:spacing w:after="0"/>
        <w:rPr>
          <w:rFonts w:hint="eastAsia"/>
          <w:color w:val="404040" w:themeColor="text1" w:themeTint="BF"/>
          <w:sz w:val="24"/>
        </w:rPr>
      </w:pPr>
      <w:r>
        <w:rPr>
          <w:color w:val="404040" w:themeColor="text1" w:themeTint="BF"/>
          <w:sz w:val="24"/>
        </w:rPr>
        <w:t>Após o final do tratamento, não houve diferença nas taxas de gravidez (P = 0,15), ovulação (P = 0,21) ou aborto espontâneo (P = 0,11) entre os dois grupos;</w:t>
      </w:r>
    </w:p>
    <w:p w14:paraId="7BD7E15C" w14:textId="77777777" w:rsidR="00CD65C2" w:rsidRDefault="00FA41FC">
      <w:pPr>
        <w:pStyle w:val="Corpo"/>
        <w:numPr>
          <w:ilvl w:val="0"/>
          <w:numId w:val="5"/>
        </w:numPr>
        <w:spacing w:after="0"/>
        <w:rPr>
          <w:rFonts w:hint="eastAsia"/>
          <w:color w:val="404040" w:themeColor="text1" w:themeTint="BF"/>
          <w:sz w:val="24"/>
        </w:rPr>
      </w:pPr>
      <w:r>
        <w:rPr>
          <w:color w:val="404040" w:themeColor="text1" w:themeTint="BF"/>
          <w:sz w:val="24"/>
        </w:rPr>
        <w:t>Houve melhorias no padrão menstrual, hormônio folículo-estimulante, hormônio luteinizante, testosterona livre e marcadores de resistência à insulina nos dois grupos (todos P &lt; 0,05);</w:t>
      </w:r>
    </w:p>
    <w:p w14:paraId="23ED8607" w14:textId="7B813606" w:rsidR="00CD65C2" w:rsidRDefault="00FA41FC">
      <w:pPr>
        <w:pStyle w:val="Corpo"/>
        <w:numPr>
          <w:ilvl w:val="0"/>
          <w:numId w:val="5"/>
        </w:numPr>
        <w:spacing w:after="0"/>
        <w:rPr>
          <w:rFonts w:hint="eastAsia"/>
          <w:color w:val="404040" w:themeColor="text1" w:themeTint="BF"/>
          <w:sz w:val="24"/>
        </w:rPr>
      </w:pPr>
      <w:r>
        <w:rPr>
          <w:color w:val="404040" w:themeColor="text1" w:themeTint="BF"/>
          <w:sz w:val="24"/>
        </w:rPr>
        <w:t>Uma melhora no perfil lipídico foi observada apenas no grupo L-carnitina (P &lt; 0,001);</w:t>
      </w:r>
    </w:p>
    <w:p w14:paraId="6A3B7AE7" w14:textId="2702806A" w:rsidR="00CD65C2" w:rsidRDefault="00FA41FC">
      <w:pPr>
        <w:pStyle w:val="Corpo"/>
        <w:numPr>
          <w:ilvl w:val="0"/>
          <w:numId w:val="5"/>
        </w:numPr>
        <w:spacing w:after="0"/>
        <w:rPr>
          <w:rFonts w:hint="eastAsia"/>
          <w:color w:val="404040" w:themeColor="text1" w:themeTint="BF"/>
          <w:sz w:val="24"/>
        </w:rPr>
      </w:pPr>
      <w:r>
        <w:rPr>
          <w:color w:val="404040" w:themeColor="text1" w:themeTint="BF"/>
          <w:sz w:val="24"/>
        </w:rPr>
        <w:t>O tratamento com N-acetilcisteína levou a uma melhora significativamente maior nos parâmetros livres de resistência à testosterona e à insulina em comparação com a L-carnitina (todos P &lt; 0,05).</w:t>
      </w:r>
    </w:p>
    <w:p w14:paraId="06E6F13F" w14:textId="77777777" w:rsidR="00CD65C2" w:rsidRDefault="00CD65C2">
      <w:pPr>
        <w:pStyle w:val="Corpo"/>
        <w:spacing w:after="120"/>
        <w:ind w:left="786"/>
        <w:rPr>
          <w:rFonts w:hint="eastAsia"/>
          <w:color w:val="404040" w:themeColor="text1" w:themeTint="BF"/>
          <w:sz w:val="24"/>
        </w:rPr>
      </w:pPr>
    </w:p>
    <w:p w14:paraId="64C1C4FE"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 xml:space="preserve">Conclusão: </w:t>
      </w:r>
    </w:p>
    <w:p w14:paraId="78AF2C92"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734DD73F" w14:textId="2D1AAB5B" w:rsidR="00CD65C2" w:rsidRDefault="00FA41FC">
      <w:pPr>
        <w:pStyle w:val="Corpo"/>
        <w:jc w:val="center"/>
        <w:rPr>
          <w:rFonts w:hint="eastAsia"/>
          <w:b/>
          <w:i/>
          <w:color w:val="404040" w:themeColor="text1" w:themeTint="BF"/>
        </w:rPr>
      </w:pPr>
      <w:r>
        <w:rPr>
          <w:b/>
          <w:i/>
          <w:color w:val="404040" w:themeColor="text1" w:themeTint="BF"/>
        </w:rPr>
        <w:t>Ambas as posologias foram eficazes em melhorar as taxas de gravidez e ovulação entre mulheres com SOPC resistente ao Citrato de Clomifeno. No entanto, a N-acetilcisteína foi superior na melhora da resistência à insulina e apenas a L-carnitina melhorou o perfil lipídico.</w:t>
      </w:r>
    </w:p>
    <w:p w14:paraId="0C476F9F" w14:textId="77777777" w:rsidR="00CD65C2" w:rsidRDefault="00FA41FC">
      <w:pPr>
        <w:pStyle w:val="Ttulo1"/>
        <w:jc w:val="center"/>
        <w:rPr>
          <w:rFonts w:hint="eastAsia"/>
        </w:rPr>
      </w:pPr>
      <w:bookmarkStart w:id="40" w:name="_Toc165537192"/>
      <w:r>
        <w:t>Formulário</w:t>
      </w:r>
      <w:bookmarkEnd w:id="40"/>
    </w:p>
    <w:p w14:paraId="2B91D13F" w14:textId="77777777" w:rsidR="00CD65C2" w:rsidRDefault="00CD65C2">
      <w:pPr>
        <w:pStyle w:val="Corpo"/>
        <w:rPr>
          <w:rFonts w:hint="eastAsia"/>
          <w:b/>
          <w:i/>
          <w:color w:val="404040" w:themeColor="text1" w:themeTint="BF"/>
        </w:rPr>
      </w:pPr>
    </w:p>
    <w:p w14:paraId="1415375B" w14:textId="77777777" w:rsidR="00CD65C2" w:rsidRDefault="00CD65C2">
      <w:pPr>
        <w:pStyle w:val="Corpo"/>
        <w:rPr>
          <w:rFonts w:hint="eastAsia"/>
          <w:b/>
          <w:i/>
          <w:color w:val="404040" w:themeColor="text1" w:themeTint="BF"/>
        </w:rPr>
      </w:pPr>
    </w:p>
    <w:p w14:paraId="0CF94CE4" w14:textId="77777777" w:rsidR="00CD65C2" w:rsidRDefault="00FA41FC">
      <w:pPr>
        <w:pStyle w:val="Corpo"/>
        <w:rPr>
          <w:rFonts w:hint="eastAsia"/>
          <w:b/>
          <w:i/>
          <w:color w:val="404040" w:themeColor="text1" w:themeTint="BF"/>
          <w:sz w:val="24"/>
        </w:rPr>
      </w:pPr>
      <w:r>
        <w:rPr>
          <w:b/>
          <w:i/>
          <w:color w:val="404040" w:themeColor="text1" w:themeTint="BF"/>
          <w:sz w:val="24"/>
        </w:rPr>
        <w:t xml:space="preserve">N-Acetilcisteína em Associação com o Citrato de Clomifeno </w:t>
      </w:r>
    </w:p>
    <w:p w14:paraId="53078E75" w14:textId="77777777" w:rsidR="00CD65C2" w:rsidRDefault="00CD65C2">
      <w:pPr>
        <w:pStyle w:val="Corpo"/>
        <w:rPr>
          <w:rFonts w:hint="eastAsia"/>
          <w:b/>
          <w:i/>
          <w:color w:val="404040" w:themeColor="text1" w:themeTint="BF"/>
          <w:sz w:val="24"/>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322E6EB5"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63F11138" w14:textId="77777777" w:rsidR="00CD65C2" w:rsidRDefault="00FA41FC">
            <w:pPr>
              <w:pStyle w:val="Corpo"/>
              <w:jc w:val="center"/>
              <w:rPr>
                <w:rFonts w:hint="eastAsia"/>
                <w:b/>
                <w:color w:val="FFFFFF" w:themeColor="background1"/>
              </w:rPr>
            </w:pPr>
            <w:r>
              <w:rPr>
                <w:b/>
                <w:color w:val="FFFFFF" w:themeColor="background1"/>
              </w:rPr>
              <w:t>N-Acetilcisteína</w:t>
            </w:r>
          </w:p>
        </w:tc>
      </w:tr>
      <w:tr w:rsidR="00CD65C2" w14:paraId="2366D8A4"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A59D5AB" w14:textId="77777777" w:rsidR="00CD65C2" w:rsidRDefault="00FA41FC">
            <w:pPr>
              <w:pStyle w:val="Corpo"/>
              <w:rPr>
                <w:rFonts w:hint="eastAsia"/>
                <w:color w:val="404040" w:themeColor="text1" w:themeTint="BF"/>
              </w:rPr>
            </w:pPr>
            <w:r>
              <w:rPr>
                <w:color w:val="404040" w:themeColor="text1" w:themeTint="BF"/>
              </w:rPr>
              <w:t>N-Acetilcisteína.............................. 600 mg</w:t>
            </w:r>
          </w:p>
        </w:tc>
      </w:tr>
      <w:tr w:rsidR="00CD65C2" w14:paraId="62414369"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B91C50C" w14:textId="732C9A8C" w:rsidR="00CD65C2" w:rsidRDefault="00FA41FC">
            <w:pPr>
              <w:pStyle w:val="Corpo"/>
              <w:rPr>
                <w:rFonts w:hint="eastAsia"/>
                <w:color w:val="404040" w:themeColor="text1" w:themeTint="BF"/>
              </w:rPr>
            </w:pPr>
            <w:r>
              <w:rPr>
                <w:color w:val="404040" w:themeColor="text1" w:themeTint="BF"/>
              </w:rPr>
              <w:t>Excipiente q.s.p. ...........................1 Sachê</w:t>
            </w:r>
          </w:p>
        </w:tc>
      </w:tr>
    </w:tbl>
    <w:p w14:paraId="7CC3FC1E" w14:textId="77777777" w:rsidR="00CD65C2" w:rsidRDefault="00FA41FC">
      <w:pPr>
        <w:pStyle w:val="Corpo"/>
        <w:ind w:right="4676"/>
        <w:jc w:val="center"/>
        <w:rPr>
          <w:rFonts w:hint="eastAsia"/>
          <w:color w:val="404040" w:themeColor="text1" w:themeTint="BF"/>
          <w:sz w:val="22"/>
          <w:szCs w:val="22"/>
        </w:rPr>
      </w:pPr>
      <w:r>
        <w:rPr>
          <w:color w:val="404040" w:themeColor="text1" w:themeTint="BF"/>
          <w:sz w:val="22"/>
          <w:szCs w:val="22"/>
        </w:rPr>
        <w:t>Administrar 1 sachê três vezes ao dia ou conforme orientação médica.</w:t>
      </w:r>
    </w:p>
    <w:p w14:paraId="05ABF719" w14:textId="77777777" w:rsidR="00CD65C2" w:rsidRDefault="00CD65C2">
      <w:pPr>
        <w:pStyle w:val="SemEspaamento"/>
      </w:pPr>
    </w:p>
    <w:p w14:paraId="313338A6" w14:textId="77777777" w:rsidR="00CD65C2" w:rsidRDefault="00CD65C2">
      <w:pPr>
        <w:pStyle w:val="SemEspaamento"/>
      </w:pPr>
    </w:p>
    <w:p w14:paraId="1511057C" w14:textId="77777777" w:rsidR="00CD65C2" w:rsidRDefault="00CD65C2">
      <w:pPr>
        <w:pStyle w:val="SemEspaamento"/>
      </w:pPr>
    </w:p>
    <w:p w14:paraId="490C1CF8" w14:textId="77777777" w:rsidR="00CD65C2" w:rsidRDefault="00CD65C2">
      <w:pPr>
        <w:pStyle w:val="SemEspaamento"/>
      </w:pPr>
    </w:p>
    <w:p w14:paraId="70C03566" w14:textId="77777777" w:rsidR="00CD65C2" w:rsidRDefault="00FA41FC">
      <w:pPr>
        <w:pStyle w:val="Corpo"/>
        <w:rPr>
          <w:rFonts w:hint="eastAsia"/>
          <w:b/>
          <w:i/>
          <w:color w:val="404040" w:themeColor="text1" w:themeTint="BF"/>
          <w:sz w:val="24"/>
        </w:rPr>
      </w:pPr>
      <w:r>
        <w:rPr>
          <w:b/>
          <w:i/>
          <w:color w:val="404040" w:themeColor="text1" w:themeTint="BF"/>
          <w:sz w:val="24"/>
        </w:rPr>
        <w:t xml:space="preserve">L-Carnitina em Associação com o Citrato de Clomifeno </w:t>
      </w:r>
    </w:p>
    <w:p w14:paraId="18CD8C0F" w14:textId="77777777" w:rsidR="00CD65C2" w:rsidRDefault="00CD65C2">
      <w:pPr>
        <w:pStyle w:val="Corpo"/>
        <w:rPr>
          <w:rFonts w:hint="eastAsia"/>
          <w:b/>
          <w:i/>
          <w:color w:val="404040" w:themeColor="text1" w:themeTint="BF"/>
          <w:sz w:val="24"/>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5623A1F1"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2082D49F" w14:textId="77777777" w:rsidR="00CD65C2" w:rsidRDefault="00FA41FC">
            <w:pPr>
              <w:pStyle w:val="Corpo"/>
              <w:jc w:val="center"/>
              <w:rPr>
                <w:rFonts w:hint="eastAsia"/>
                <w:b/>
                <w:color w:val="FFFFFF" w:themeColor="background1"/>
              </w:rPr>
            </w:pPr>
            <w:r>
              <w:rPr>
                <w:b/>
                <w:color w:val="FFFFFF" w:themeColor="background1"/>
              </w:rPr>
              <w:t>L-Carnitina</w:t>
            </w:r>
          </w:p>
        </w:tc>
      </w:tr>
      <w:tr w:rsidR="00CD65C2" w14:paraId="4E633DA4"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0086DA6" w14:textId="77777777" w:rsidR="00CD65C2" w:rsidRDefault="00FA41FC">
            <w:pPr>
              <w:pStyle w:val="Corpo"/>
              <w:rPr>
                <w:rFonts w:hint="eastAsia"/>
                <w:color w:val="404040" w:themeColor="text1" w:themeTint="BF"/>
              </w:rPr>
            </w:pPr>
            <w:r>
              <w:rPr>
                <w:color w:val="404040" w:themeColor="text1" w:themeTint="BF"/>
              </w:rPr>
              <w:t>L-Carnitina............................................ 3 g</w:t>
            </w:r>
          </w:p>
        </w:tc>
      </w:tr>
      <w:tr w:rsidR="00CD65C2" w14:paraId="56DD6F4E"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040893B" w14:textId="1131DA8F" w:rsidR="00CD65C2" w:rsidRDefault="00FA41FC">
            <w:pPr>
              <w:pStyle w:val="Corpo"/>
              <w:rPr>
                <w:rFonts w:hint="eastAsia"/>
                <w:color w:val="404040" w:themeColor="text1" w:themeTint="BF"/>
              </w:rPr>
            </w:pPr>
            <w:r>
              <w:rPr>
                <w:color w:val="404040" w:themeColor="text1" w:themeTint="BF"/>
              </w:rPr>
              <w:t>Excipiente q.s.p. ...........................1 Sachê</w:t>
            </w:r>
          </w:p>
        </w:tc>
      </w:tr>
    </w:tbl>
    <w:p w14:paraId="0803D922" w14:textId="77777777" w:rsidR="00CD65C2" w:rsidRDefault="00FA41FC">
      <w:pPr>
        <w:pStyle w:val="Corpo"/>
        <w:ind w:right="4818"/>
        <w:jc w:val="center"/>
        <w:rPr>
          <w:rFonts w:hint="eastAsia"/>
          <w:color w:val="404040" w:themeColor="text1" w:themeTint="BF"/>
          <w:sz w:val="22"/>
          <w:szCs w:val="22"/>
        </w:rPr>
      </w:pPr>
      <w:r>
        <w:rPr>
          <w:color w:val="404040" w:themeColor="text1" w:themeTint="BF"/>
          <w:sz w:val="22"/>
          <w:szCs w:val="22"/>
        </w:rPr>
        <w:t>Administrar 1 sachê ao dia ou conforme orientação médica.</w:t>
      </w:r>
    </w:p>
    <w:p w14:paraId="16ADA002" w14:textId="77777777" w:rsidR="00CD65C2" w:rsidRDefault="00CD65C2">
      <w:pPr>
        <w:pStyle w:val="SemEspaamento"/>
      </w:pPr>
    </w:p>
    <w:p w14:paraId="1DE0181D" w14:textId="77777777" w:rsidR="00CD65C2" w:rsidRDefault="00CD65C2">
      <w:pPr>
        <w:pStyle w:val="SemEspaamento"/>
      </w:pPr>
    </w:p>
    <w:p w14:paraId="3909CA88" w14:textId="77777777" w:rsidR="00CD65C2" w:rsidRDefault="00CD65C2">
      <w:pPr>
        <w:pStyle w:val="SemEspaamento"/>
      </w:pPr>
    </w:p>
    <w:p w14:paraId="47AB8D83" w14:textId="77777777" w:rsidR="00CD65C2" w:rsidRDefault="00CD65C2">
      <w:pPr>
        <w:pStyle w:val="SemEspaamento"/>
      </w:pPr>
    </w:p>
    <w:p w14:paraId="1B60A6B8" w14:textId="77777777" w:rsidR="00CD65C2" w:rsidRDefault="00CD65C2">
      <w:pPr>
        <w:pStyle w:val="SemEspaamento"/>
      </w:pPr>
    </w:p>
    <w:p w14:paraId="65E8A94C" w14:textId="77777777" w:rsidR="00CD65C2" w:rsidRDefault="00CD65C2">
      <w:pPr>
        <w:pStyle w:val="SemEspaamento"/>
      </w:pPr>
    </w:p>
    <w:p w14:paraId="29B3BB40" w14:textId="77777777" w:rsidR="00CD65C2" w:rsidRDefault="00CD65C2">
      <w:pPr>
        <w:pStyle w:val="SemEspaamento"/>
      </w:pPr>
    </w:p>
    <w:p w14:paraId="6F235CA4" w14:textId="77777777" w:rsidR="00CD65C2" w:rsidRDefault="00CD65C2">
      <w:pPr>
        <w:pStyle w:val="SemEspaamento"/>
      </w:pPr>
    </w:p>
    <w:p w14:paraId="3AA5E9FA" w14:textId="77777777" w:rsidR="00CD65C2" w:rsidRDefault="00CD65C2">
      <w:pPr>
        <w:pStyle w:val="SemEspaamento"/>
      </w:pPr>
    </w:p>
    <w:p w14:paraId="0A0DF2F7" w14:textId="77777777" w:rsidR="00CD65C2" w:rsidRDefault="00CD65C2">
      <w:pPr>
        <w:pStyle w:val="SemEspaamento"/>
      </w:pPr>
    </w:p>
    <w:p w14:paraId="542EAAB9" w14:textId="77777777" w:rsidR="00CD65C2" w:rsidRDefault="00CD65C2">
      <w:pPr>
        <w:pStyle w:val="SemEspaamento"/>
      </w:pPr>
    </w:p>
    <w:p w14:paraId="1D584F81" w14:textId="77777777" w:rsidR="00CD65C2" w:rsidRDefault="00CD65C2">
      <w:pPr>
        <w:pStyle w:val="SemEspaamento"/>
      </w:pPr>
    </w:p>
    <w:p w14:paraId="5FEEC89A" w14:textId="77777777" w:rsidR="00CD65C2" w:rsidRDefault="00CD65C2">
      <w:pPr>
        <w:pStyle w:val="SemEspaamento"/>
      </w:pPr>
    </w:p>
    <w:p w14:paraId="66929362" w14:textId="77777777" w:rsidR="00CD65C2" w:rsidRDefault="00CD65C2">
      <w:pPr>
        <w:pStyle w:val="SemEspaamento"/>
      </w:pPr>
    </w:p>
    <w:p w14:paraId="202D15D5" w14:textId="77777777" w:rsidR="00CD65C2" w:rsidRDefault="00CD65C2">
      <w:pPr>
        <w:pStyle w:val="SemEspaamento"/>
      </w:pPr>
    </w:p>
    <w:p w14:paraId="7CAB5030" w14:textId="77777777" w:rsidR="00CD65C2" w:rsidRDefault="00CD65C2">
      <w:pPr>
        <w:pStyle w:val="SemEspaamento"/>
      </w:pPr>
    </w:p>
    <w:p w14:paraId="53302A09" w14:textId="77777777" w:rsidR="00CD65C2" w:rsidRDefault="00CD65C2">
      <w:pPr>
        <w:pStyle w:val="SemEspaamento"/>
      </w:pPr>
    </w:p>
    <w:p w14:paraId="79C98AFC" w14:textId="77777777" w:rsidR="00CD65C2" w:rsidRDefault="00FA41FC">
      <w:pPr>
        <w:pStyle w:val="Ttulo1"/>
        <w:jc w:val="center"/>
        <w:rPr>
          <w:rFonts w:hint="eastAsia"/>
        </w:rPr>
      </w:pPr>
      <w:bookmarkStart w:id="41" w:name="_Toc165537193"/>
      <w:r>
        <w:t>N-acetilcisteína</w:t>
      </w:r>
      <w:bookmarkEnd w:id="41"/>
      <w:r>
        <w:t xml:space="preserve"> </w:t>
      </w:r>
    </w:p>
    <w:p w14:paraId="43E5DF15" w14:textId="77777777" w:rsidR="00CD65C2" w:rsidRPr="00D1428E" w:rsidRDefault="00FA41FC">
      <w:pPr>
        <w:pStyle w:val="Corpo"/>
        <w:jc w:val="center"/>
        <w:rPr>
          <w:rFonts w:hint="eastAsia"/>
          <w:color w:val="0070C0"/>
          <w:sz w:val="24"/>
        </w:rPr>
      </w:pPr>
      <w:r w:rsidRPr="00D1428E">
        <w:rPr>
          <w:b/>
          <w:color w:val="0070C0"/>
          <w:sz w:val="40"/>
        </w:rPr>
        <w:t>Diminui os Níveis de Testosterona e Melhora a Função do Sistema Reprodutivo</w:t>
      </w:r>
    </w:p>
    <w:p w14:paraId="64ABF414" w14:textId="77777777" w:rsidR="00CD65C2" w:rsidRDefault="00CD65C2">
      <w:pPr>
        <w:pStyle w:val="Corpo"/>
        <w:rPr>
          <w:rFonts w:hint="eastAsia"/>
          <w:color w:val="404040" w:themeColor="text1" w:themeTint="BF"/>
          <w:sz w:val="24"/>
        </w:rPr>
      </w:pPr>
    </w:p>
    <w:p w14:paraId="33BFA019" w14:textId="77777777" w:rsidR="00CD65C2" w:rsidRDefault="00CD65C2">
      <w:pPr>
        <w:pStyle w:val="Corpo"/>
        <w:rPr>
          <w:rFonts w:hint="eastAsia"/>
          <w:color w:val="404040" w:themeColor="text1" w:themeTint="BF"/>
          <w:sz w:val="24"/>
        </w:rPr>
      </w:pPr>
    </w:p>
    <w:p w14:paraId="596DAA16" w14:textId="77777777" w:rsidR="00CD65C2" w:rsidRDefault="00FA41FC">
      <w:pPr>
        <w:pStyle w:val="Corpo"/>
        <w:rPr>
          <w:rFonts w:hint="eastAsia"/>
          <w:color w:val="404040" w:themeColor="text1" w:themeTint="BF"/>
          <w:sz w:val="24"/>
        </w:rPr>
      </w:pPr>
      <w:r>
        <w:rPr>
          <w:color w:val="404040" w:themeColor="text1" w:themeTint="BF"/>
          <w:sz w:val="24"/>
        </w:rPr>
        <w:t xml:space="preserve">Zahra </w:t>
      </w:r>
      <w:r>
        <w:rPr>
          <w:i/>
          <w:color w:val="404040" w:themeColor="text1" w:themeTint="BF"/>
          <w:sz w:val="24"/>
        </w:rPr>
        <w:t>et al</w:t>
      </w:r>
      <w:r>
        <w:rPr>
          <w:color w:val="404040" w:themeColor="text1" w:themeTint="BF"/>
          <w:sz w:val="24"/>
        </w:rPr>
        <w:t xml:space="preserve">. (2023) realizaram uma revisão sistemática e meta-análise com o objetivo de avaliar os efeitos potenciais da suplementação de NAC na ovulação e no perfil de hormônios sexuais. </w:t>
      </w:r>
    </w:p>
    <w:p w14:paraId="5F22E103"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36064" behindDoc="0" locked="0" layoutInCell="1" allowOverlap="1">
                <wp:simplePos x="0" y="0"/>
                <wp:positionH relativeFrom="margin">
                  <wp:align>right</wp:align>
                </wp:positionH>
                <wp:positionV relativeFrom="paragraph">
                  <wp:posOffset>100330</wp:posOffset>
                </wp:positionV>
                <wp:extent cx="5732145" cy="1050925"/>
                <wp:effectExtent l="0" t="0" r="20955" b="15875"/>
                <wp:wrapNone/>
                <wp:docPr id="236" name="Caixa de texto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060" cy="1050878"/>
                        </a:xfrm>
                        <a:prstGeom prst="rect">
                          <a:avLst/>
                        </a:prstGeom>
                        <a:solidFill>
                          <a:schemeClr val="bg1">
                            <a:lumMod val="100000"/>
                            <a:lumOff val="0"/>
                          </a:schemeClr>
                        </a:solidFill>
                        <a:ln w="9525">
                          <a:solidFill>
                            <a:srgbClr val="0070C0"/>
                          </a:solidFill>
                          <a:miter lim="800000"/>
                        </a:ln>
                      </wps:spPr>
                      <wps:txbx>
                        <w:txbxContent>
                          <w:p w14:paraId="5B68A84F" w14:textId="77777777" w:rsidR="00FA41FC" w:rsidRDefault="00FA41FC">
                            <w:pPr>
                              <w:jc w:val="center"/>
                              <w:rPr>
                                <w:rFonts w:ascii="Swis721 Th BT" w:hAnsi="Swis721 Th BT"/>
                                <w:sz w:val="23"/>
                                <w:szCs w:val="23"/>
                              </w:rPr>
                            </w:pPr>
                            <w:r>
                              <w:rPr>
                                <w:rFonts w:ascii="Swis721 Th BT" w:hAnsi="Swis721 Th BT"/>
                                <w:sz w:val="23"/>
                                <w:szCs w:val="23"/>
                              </w:rPr>
                              <w:t xml:space="preserve">Para isso, foram feitas pesquisas nas bases de dados internacionais da biblioteca PubMed, Scopus, Embase, </w:t>
                            </w:r>
                            <w:r>
                              <w:rPr>
                                <w:rFonts w:ascii="Swis721 Th BT" w:hAnsi="Swis721 Th BT"/>
                                <w:i/>
                                <w:sz w:val="23"/>
                                <w:szCs w:val="23"/>
                              </w:rPr>
                              <w:t>Web of Science</w:t>
                            </w:r>
                            <w:r>
                              <w:rPr>
                                <w:rFonts w:ascii="Swis721 Th BT" w:hAnsi="Swis721 Th BT"/>
                                <w:sz w:val="23"/>
                                <w:szCs w:val="23"/>
                              </w:rPr>
                              <w:t xml:space="preserve"> e </w:t>
                            </w:r>
                            <w:r>
                              <w:rPr>
                                <w:rFonts w:ascii="Swis721 Th BT" w:hAnsi="Swis721 Th BT"/>
                                <w:i/>
                                <w:sz w:val="23"/>
                                <w:szCs w:val="23"/>
                              </w:rPr>
                              <w:t xml:space="preserve">Cochrane Central </w:t>
                            </w:r>
                            <w:r>
                              <w:rPr>
                                <w:rFonts w:ascii="Swis721 Th BT" w:hAnsi="Swis721 Th BT"/>
                                <w:iCs/>
                                <w:sz w:val="23"/>
                                <w:szCs w:val="23"/>
                              </w:rPr>
                              <w:t xml:space="preserve">de artigos datados a partir de </w:t>
                            </w:r>
                            <w:r>
                              <w:rPr>
                                <w:rFonts w:ascii="Swis721 Th BT" w:hAnsi="Swis721 Th BT"/>
                                <w:sz w:val="23"/>
                                <w:szCs w:val="23"/>
                              </w:rPr>
                              <w:t>setembro de 2021</w:t>
                            </w:r>
                            <w:r>
                              <w:rPr>
                                <w:rFonts w:ascii="Swis721 Th BT" w:hAnsi="Swis721 Th BT"/>
                                <w:i/>
                                <w:sz w:val="23"/>
                                <w:szCs w:val="23"/>
                              </w:rPr>
                              <w:t xml:space="preserve">. </w:t>
                            </w:r>
                            <w:r>
                              <w:rPr>
                                <w:rFonts w:ascii="Swis721 Th BT" w:hAnsi="Swis721 Th BT"/>
                                <w:sz w:val="23"/>
                                <w:szCs w:val="23"/>
                              </w:rPr>
                              <w:t>A meta-análise foi realizada usando uma abordagem de efeitos aleatórios em caso de heterogeneidade significativa entre os estudos. Dezoito estudos, incluindo 2.185 participantes, foram incluídos no presente trabalho.</w:t>
                            </w:r>
                          </w:p>
                        </w:txbxContent>
                      </wps:txbx>
                      <wps:bodyPr rot="0" vert="horz" wrap="square" lIns="91440" tIns="45720" rIns="91440" bIns="45720" anchor="t" anchorCtr="0" upright="1">
                        <a:noAutofit/>
                      </wps:bodyPr>
                    </wps:wsp>
                  </a:graphicData>
                </a:graphic>
              </wp:anchor>
            </w:drawing>
          </mc:Choice>
          <mc:Fallback>
            <w:pict>
              <v:shape id="Caixa de texto 236" o:spid="_x0000_s1075" type="#_x0000_t202" style="position:absolute;left:0;text-align:left;margin-left:400.15pt;margin-top:7.9pt;width:451.35pt;height:82.75pt;z-index:2517360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" fillcolor="white [3212]" strokecolor="#0070c0">
                <v:textbox>
                  <w:txbxContent>
                    <w:p w14:paraId="5B68A84F" w14:textId="77777777" w:rsidR="00FA41FC" w:rsidRDefault="00FA41FC">
                      <w:pPr>
                        <w:jc w:val="center"/>
                        <w:rPr>
                          <w:rFonts w:ascii="Swis721 Th BT" w:hAnsi="Swis721 Th BT"/>
                          <w:sz w:val="23"/>
                          <w:szCs w:val="23"/>
                        </w:rPr>
                      </w:pPr>
                      <w:r>
                        <w:rPr>
                          <w:rFonts w:ascii="Swis721 Th BT" w:hAnsi="Swis721 Th BT"/>
                          <w:sz w:val="23"/>
                          <w:szCs w:val="23"/>
                        </w:rPr>
                        <w:t xml:space="preserve">Para isso, foram feitas pesquisas nas bases de dados internacionais da biblioteca PubMed, Scopus, Embase, </w:t>
                      </w:r>
                      <w:r>
                        <w:rPr>
                          <w:rFonts w:ascii="Swis721 Th BT" w:hAnsi="Swis721 Th BT"/>
                          <w:i/>
                          <w:sz w:val="23"/>
                          <w:szCs w:val="23"/>
                        </w:rPr>
                        <w:t>Web of Science</w:t>
                      </w:r>
                      <w:r>
                        <w:rPr>
                          <w:rFonts w:ascii="Swis721 Th BT" w:hAnsi="Swis721 Th BT"/>
                          <w:sz w:val="23"/>
                          <w:szCs w:val="23"/>
                        </w:rPr>
                        <w:t xml:space="preserve"> e </w:t>
                      </w:r>
                      <w:r>
                        <w:rPr>
                          <w:rFonts w:ascii="Swis721 Th BT" w:hAnsi="Swis721 Th BT"/>
                          <w:i/>
                          <w:sz w:val="23"/>
                          <w:szCs w:val="23"/>
                        </w:rPr>
                        <w:t xml:space="preserve">Cochrane Central </w:t>
                      </w:r>
                      <w:r>
                        <w:rPr>
                          <w:rFonts w:ascii="Swis721 Th BT" w:hAnsi="Swis721 Th BT"/>
                          <w:iCs/>
                          <w:sz w:val="23"/>
                          <w:szCs w:val="23"/>
                        </w:rPr>
                        <w:t xml:space="preserve">de artigos datados a partir de </w:t>
                      </w:r>
                      <w:r>
                        <w:rPr>
                          <w:rFonts w:ascii="Swis721 Th BT" w:hAnsi="Swis721 Th BT"/>
                          <w:sz w:val="23"/>
                          <w:szCs w:val="23"/>
                        </w:rPr>
                        <w:t>setembro de 2021</w:t>
                      </w:r>
                      <w:r>
                        <w:rPr>
                          <w:rFonts w:ascii="Swis721 Th BT" w:hAnsi="Swis721 Th BT"/>
                          <w:i/>
                          <w:sz w:val="23"/>
                          <w:szCs w:val="23"/>
                        </w:rPr>
                        <w:t xml:space="preserve">. </w:t>
                      </w:r>
                      <w:r>
                        <w:rPr>
                          <w:rFonts w:ascii="Swis721 Th BT" w:hAnsi="Swis721 Th BT"/>
                          <w:sz w:val="23"/>
                          <w:szCs w:val="23"/>
                        </w:rPr>
                        <w:t>A meta-análise foi realizada usando uma abordagem de efeitos aleatórios em caso de heterogeneidade significativa entre os estudos. Dezoito estudos, incluindo 2.185 participantes, foram incluídos no presente trabalho.</w:t>
                      </w:r>
                    </w:p>
                  </w:txbxContent>
                </v:textbox>
                <w10:wrap anchorx="margin"/>
              </v:shape>
            </w:pict>
          </mc:Fallback>
        </mc:AlternateContent>
      </w:r>
      <w:r>
        <w:rPr>
          <w:color w:val="404040" w:themeColor="text1" w:themeTint="BF"/>
          <w:sz w:val="24"/>
        </w:rPr>
        <w:br/>
      </w:r>
    </w:p>
    <w:p w14:paraId="590DB803" w14:textId="77777777" w:rsidR="00CD65C2" w:rsidRDefault="00CD65C2">
      <w:pPr>
        <w:pStyle w:val="Corpo"/>
        <w:rPr>
          <w:rFonts w:hint="eastAsia"/>
          <w:color w:val="404040" w:themeColor="text1" w:themeTint="BF"/>
        </w:rPr>
      </w:pPr>
    </w:p>
    <w:p w14:paraId="7E5938B5" w14:textId="77777777" w:rsidR="00CD65C2" w:rsidRDefault="00CD65C2">
      <w:pPr>
        <w:pStyle w:val="Corpo"/>
        <w:rPr>
          <w:rFonts w:hint="eastAsia"/>
          <w:color w:val="404040" w:themeColor="text1" w:themeTint="BF"/>
        </w:rPr>
      </w:pPr>
    </w:p>
    <w:p w14:paraId="3FE16DFE" w14:textId="77777777" w:rsidR="00CD65C2" w:rsidRDefault="00CD65C2">
      <w:pPr>
        <w:pStyle w:val="Corpo"/>
        <w:rPr>
          <w:rFonts w:hint="eastAsia"/>
          <w:color w:val="404040" w:themeColor="text1" w:themeTint="BF"/>
        </w:rPr>
      </w:pPr>
    </w:p>
    <w:p w14:paraId="46457507" w14:textId="77777777" w:rsidR="00CD65C2" w:rsidRDefault="00CD65C2">
      <w:pPr>
        <w:pStyle w:val="Corpo"/>
        <w:rPr>
          <w:rFonts w:hint="eastAsia"/>
          <w:color w:val="404040" w:themeColor="text1" w:themeTint="BF"/>
        </w:rPr>
      </w:pPr>
    </w:p>
    <w:p w14:paraId="71A75984"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738112" behindDoc="0" locked="0" layoutInCell="1" allowOverlap="1">
                <wp:simplePos x="0" y="0"/>
                <wp:positionH relativeFrom="column">
                  <wp:posOffset>2764790</wp:posOffset>
                </wp:positionH>
                <wp:positionV relativeFrom="paragraph">
                  <wp:posOffset>126365</wp:posOffset>
                </wp:positionV>
                <wp:extent cx="226695" cy="138430"/>
                <wp:effectExtent l="0" t="0" r="1905" b="0"/>
                <wp:wrapNone/>
                <wp:docPr id="237" name="Triângulo isósceles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37" o:spid="_x0000_s1026" o:spt="5" type="#_x0000_t5" style="position:absolute;left:0pt;flip:y;margin-left:217.7pt;margin-top:9.95pt;height:10.9pt;width:17.85pt;z-index:251738112;mso-width-relative:page;mso-height-relative:page;" fillcolor="#D9D9D9 [3212]" filled="t" stroked="f" coordsize="21600,21600" o:gfxdata="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wcctj&#10;1wAAAAkBAAAPAAAAAAAAAAEAIAAAACIAAABkcnMvZG93bnJldi54bWxQSwECFAAUAAAACACHTuJA&#10;gvLZPVsCAACnBAAADgAAAAAAAAABACAAAAAmAQAAZHJzL2Uyb0RvYy54bWxQSwUGAAAAAAYABgBZ&#10;AQAA8wUAAAAA&#10;" adj="10800">
                <v:fill on="t" focussize="0,0"/>
                <v:stroke on="f"/>
                <v:imagedata o:title=""/>
                <o:lock v:ext="edit" aspectratio="f"/>
              </v:shape>
            </w:pict>
          </mc:Fallback>
        </mc:AlternateContent>
      </w:r>
    </w:p>
    <w:p w14:paraId="3C222433"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737088" behindDoc="0" locked="0" layoutInCell="1" allowOverlap="1">
                <wp:simplePos x="0" y="0"/>
                <wp:positionH relativeFrom="column">
                  <wp:posOffset>1913890</wp:posOffset>
                </wp:positionH>
                <wp:positionV relativeFrom="paragraph">
                  <wp:posOffset>138430</wp:posOffset>
                </wp:positionV>
                <wp:extent cx="1913890" cy="781685"/>
                <wp:effectExtent l="0" t="0" r="10160" b="18415"/>
                <wp:wrapNone/>
                <wp:docPr id="238" name="Caixa de texto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35E2EA55"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N-acetilcistína </w:t>
                            </w:r>
                          </w:p>
                          <w:p w14:paraId="5D44993E"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1800 mg ao dia </w:t>
                            </w:r>
                          </w:p>
                          <w:p w14:paraId="2BB7BB9D"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238" o:spid="_x0000_s1076" type="#_x0000_t202" style="position:absolute;left:0;text-align:left;margin-left:150.7pt;margin-top:10.9pt;width:150.7pt;height:61.55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" fillcolor="#0070c0" strokecolor="#0070c0">
                <v:textbox>
                  <w:txbxContent>
                    <w:p w14:paraId="35E2EA55"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N-acetilcistína </w:t>
                      </w:r>
                    </w:p>
                    <w:p w14:paraId="5D44993E"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1800 mg ao dia </w:t>
                      </w:r>
                    </w:p>
                    <w:p w14:paraId="2BB7BB9D"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p>
    <w:p w14:paraId="42A53294" w14:textId="77777777" w:rsidR="00CD65C2" w:rsidRDefault="00CD65C2">
      <w:pPr>
        <w:pStyle w:val="Corpo"/>
        <w:rPr>
          <w:rFonts w:hint="eastAsia"/>
          <w:color w:val="404040" w:themeColor="text1" w:themeTint="BF"/>
        </w:rPr>
      </w:pPr>
    </w:p>
    <w:p w14:paraId="5692289D" w14:textId="77777777" w:rsidR="00CD65C2" w:rsidRDefault="00CD65C2">
      <w:pPr>
        <w:pStyle w:val="Corpo"/>
        <w:rPr>
          <w:rFonts w:hint="eastAsia"/>
          <w:color w:val="404040" w:themeColor="text1" w:themeTint="BF"/>
        </w:rPr>
      </w:pPr>
    </w:p>
    <w:p w14:paraId="402CE880" w14:textId="77777777" w:rsidR="00CD65C2" w:rsidRDefault="00CD65C2">
      <w:pPr>
        <w:pStyle w:val="Corpo"/>
        <w:rPr>
          <w:rFonts w:hint="eastAsia"/>
          <w:color w:val="404040" w:themeColor="text1" w:themeTint="BF"/>
        </w:rPr>
      </w:pPr>
    </w:p>
    <w:p w14:paraId="15E04BB2" w14:textId="77777777" w:rsidR="00CD65C2" w:rsidRDefault="00CD65C2">
      <w:pPr>
        <w:pStyle w:val="Corpo"/>
        <w:rPr>
          <w:rFonts w:hint="eastAsia"/>
          <w:color w:val="404040" w:themeColor="text1" w:themeTint="BF"/>
        </w:rPr>
      </w:pPr>
    </w:p>
    <w:p w14:paraId="58C4B34B"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0D1F36F7"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018C58BB"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0034BDDA" w14:textId="409A506E" w:rsidR="00CD65C2" w:rsidRDefault="00FA41FC">
      <w:pPr>
        <w:pStyle w:val="Corpo"/>
        <w:numPr>
          <w:ilvl w:val="0"/>
          <w:numId w:val="5"/>
        </w:numPr>
        <w:rPr>
          <w:rFonts w:hint="eastAsia"/>
          <w:color w:val="404040" w:themeColor="text1" w:themeTint="BF"/>
          <w:sz w:val="24"/>
        </w:rPr>
      </w:pPr>
      <w:r>
        <w:rPr>
          <w:color w:val="404040" w:themeColor="text1" w:themeTint="BF"/>
          <w:sz w:val="24"/>
        </w:rPr>
        <w:t xml:space="preserve">A NAC reduziu significativamente os níveis totais de testosterona (TT; diferença média padronizada [SMD]: -0,25 ng/ml; 95% CI [-0,39, -0,10]; </w:t>
      </w:r>
      <w:r>
        <w:rPr>
          <w:i/>
          <w:iCs/>
          <w:color w:val="404040" w:themeColor="text1" w:themeTint="BF"/>
          <w:sz w:val="24"/>
        </w:rPr>
        <w:t>P</w:t>
      </w:r>
      <w:r>
        <w:rPr>
          <w:color w:val="404040" w:themeColor="text1" w:themeTint="BF"/>
          <w:sz w:val="24"/>
        </w:rPr>
        <w:t xml:space="preserve"> &lt; 0,001. </w:t>
      </w:r>
      <w:r>
        <w:rPr>
          <w:i/>
          <w:iCs/>
          <w:color w:val="404040" w:themeColor="text1" w:themeTint="BF"/>
          <w:sz w:val="24"/>
        </w:rPr>
        <w:t>I</w:t>
      </w:r>
      <w:r>
        <w:rPr>
          <w:color w:val="404040" w:themeColor="text1" w:themeTint="BF"/>
          <w:sz w:val="24"/>
          <w:vertAlign w:val="superscript"/>
        </w:rPr>
        <w:t>2</w:t>
      </w:r>
      <w:r>
        <w:rPr>
          <w:color w:val="404040" w:themeColor="text1" w:themeTint="BF"/>
          <w:sz w:val="24"/>
        </w:rPr>
        <w:t> = 53,9%, </w:t>
      </w:r>
      <w:r>
        <w:rPr>
          <w:i/>
          <w:iCs/>
          <w:color w:val="404040" w:themeColor="text1" w:themeTint="BF"/>
          <w:sz w:val="24"/>
        </w:rPr>
        <w:t>P</w:t>
      </w:r>
      <w:r>
        <w:rPr>
          <w:color w:val="404040" w:themeColor="text1" w:themeTint="BF"/>
          <w:sz w:val="24"/>
        </w:rPr>
        <w:t> = 0,034) e aumentou os níveis de hormônio folículo-estimulante (FSH; SMD: 0,39 mg/ml; 95% CI [0,07, 0 ,71]; </w:t>
      </w:r>
      <w:r>
        <w:rPr>
          <w:i/>
          <w:iCs/>
          <w:color w:val="404040" w:themeColor="text1" w:themeTint="BF"/>
          <w:sz w:val="24"/>
        </w:rPr>
        <w:t>P</w:t>
      </w:r>
      <w:r>
        <w:rPr>
          <w:color w:val="404040" w:themeColor="text1" w:themeTint="BF"/>
          <w:sz w:val="24"/>
        </w:rPr>
        <w:t> = 0,01</w:t>
      </w:r>
      <w:r>
        <w:rPr>
          <w:i/>
          <w:iCs/>
          <w:color w:val="404040" w:themeColor="text1" w:themeTint="BF"/>
          <w:sz w:val="24"/>
        </w:rPr>
        <w:t>I</w:t>
      </w:r>
      <w:r>
        <w:rPr>
          <w:color w:val="404040" w:themeColor="text1" w:themeTint="BF"/>
          <w:sz w:val="24"/>
          <w:vertAlign w:val="superscript"/>
        </w:rPr>
        <w:t xml:space="preserve">2 </w:t>
      </w:r>
      <w:r>
        <w:rPr>
          <w:color w:val="404040" w:themeColor="text1" w:themeTint="BF"/>
          <w:sz w:val="24"/>
        </w:rPr>
        <w:t>= 70,9%, </w:t>
      </w:r>
      <w:r>
        <w:rPr>
          <w:i/>
          <w:iCs/>
          <w:color w:val="404040" w:themeColor="text1" w:themeTint="BF"/>
          <w:sz w:val="24"/>
        </w:rPr>
        <w:t>P</w:t>
      </w:r>
      <w:r>
        <w:rPr>
          <w:color w:val="404040" w:themeColor="text1" w:themeTint="BF"/>
          <w:sz w:val="24"/>
        </w:rPr>
        <w:t> = 0·002);</w:t>
      </w:r>
    </w:p>
    <w:p w14:paraId="0264055B" w14:textId="77777777" w:rsidR="00CD65C2" w:rsidRDefault="00FA41FC">
      <w:pPr>
        <w:pStyle w:val="Corpo"/>
        <w:numPr>
          <w:ilvl w:val="0"/>
          <w:numId w:val="5"/>
        </w:numPr>
        <w:rPr>
          <w:rFonts w:hint="eastAsia"/>
          <w:color w:val="404040" w:themeColor="text1" w:themeTint="BF"/>
          <w:sz w:val="24"/>
        </w:rPr>
      </w:pPr>
      <w:r>
        <w:rPr>
          <w:color w:val="404040" w:themeColor="text1" w:themeTint="BF"/>
          <w:sz w:val="24"/>
        </w:rPr>
        <w:t>Os níveis de estrogênio também aumentaram após a correção do viés de publicação;</w:t>
      </w:r>
    </w:p>
    <w:p w14:paraId="522E12AA" w14:textId="77777777" w:rsidR="00CD65C2" w:rsidRDefault="00FA41FC">
      <w:pPr>
        <w:pStyle w:val="Corpo"/>
        <w:numPr>
          <w:ilvl w:val="0"/>
          <w:numId w:val="5"/>
        </w:numPr>
        <w:rPr>
          <w:rFonts w:hint="eastAsia"/>
          <w:color w:val="404040" w:themeColor="text1" w:themeTint="BF"/>
          <w:sz w:val="24"/>
        </w:rPr>
      </w:pPr>
      <w:r>
        <w:rPr>
          <w:color w:val="404040" w:themeColor="text1" w:themeTint="BF"/>
          <w:sz w:val="24"/>
        </w:rPr>
        <w:t>No entanto, nenhum efeito significativo foi observado no número de folículos, espessura endometrial, progesterona, níveis séricos de hormônio luteinizante e globulina de ligação ao hormônio sexual.</w:t>
      </w:r>
    </w:p>
    <w:p w14:paraId="4C8EE457" w14:textId="77777777" w:rsidR="00CD65C2" w:rsidRDefault="00CD65C2">
      <w:pPr>
        <w:pStyle w:val="Corpo"/>
        <w:spacing w:after="120"/>
        <w:ind w:left="786"/>
        <w:rPr>
          <w:rFonts w:hint="eastAsia"/>
          <w:color w:val="404040" w:themeColor="text1" w:themeTint="BF"/>
          <w:sz w:val="24"/>
        </w:rPr>
      </w:pPr>
    </w:p>
    <w:p w14:paraId="20DABC9E"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 xml:space="preserve">Conclusão: </w:t>
      </w:r>
    </w:p>
    <w:p w14:paraId="0282B92B"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6C0649D6" w14:textId="77777777" w:rsidR="00CD65C2" w:rsidRDefault="00FA41FC">
      <w:pPr>
        <w:pStyle w:val="Corpo"/>
        <w:jc w:val="center"/>
        <w:rPr>
          <w:rFonts w:hint="eastAsia"/>
          <w:b/>
          <w:i/>
          <w:color w:val="404040" w:themeColor="text1" w:themeTint="BF"/>
        </w:rPr>
      </w:pPr>
      <w:r>
        <w:rPr>
          <w:b/>
          <w:i/>
          <w:color w:val="404040" w:themeColor="text1" w:themeTint="BF"/>
        </w:rPr>
        <w:t>Os resultados indicaram que a suplementação de NAC diminuiu os níveis de TT e aumentou os níveis de FSH. No geral, essa suplementação pode ser eficaz na melhora da função do sistema reprodutivo em pacientes com SOPC.</w:t>
      </w:r>
    </w:p>
    <w:p w14:paraId="484B7ED2" w14:textId="77777777" w:rsidR="00CD65C2" w:rsidRDefault="00CD65C2">
      <w:pPr>
        <w:pStyle w:val="Corpo"/>
        <w:jc w:val="center"/>
        <w:rPr>
          <w:rFonts w:hint="eastAsia"/>
          <w:b/>
          <w:i/>
          <w:color w:val="404040" w:themeColor="text1" w:themeTint="BF"/>
        </w:rPr>
      </w:pPr>
    </w:p>
    <w:p w14:paraId="134D143C" w14:textId="77777777" w:rsidR="00CD65C2" w:rsidRDefault="00FA41FC">
      <w:pPr>
        <w:pStyle w:val="Ttulo1"/>
        <w:jc w:val="center"/>
        <w:rPr>
          <w:rFonts w:hint="eastAsia"/>
        </w:rPr>
      </w:pPr>
      <w:bookmarkStart w:id="42" w:name="_Toc165537194"/>
      <w:r>
        <w:t>Formulário</w:t>
      </w:r>
      <w:bookmarkEnd w:id="42"/>
    </w:p>
    <w:p w14:paraId="0F0E0263" w14:textId="77777777" w:rsidR="00CD65C2" w:rsidRDefault="00CD65C2">
      <w:pPr>
        <w:pStyle w:val="Corpo"/>
        <w:rPr>
          <w:rFonts w:hint="eastAsia"/>
          <w:b/>
          <w:i/>
          <w:color w:val="404040" w:themeColor="text1" w:themeTint="BF"/>
        </w:rPr>
      </w:pPr>
    </w:p>
    <w:p w14:paraId="277E5979" w14:textId="77777777" w:rsidR="00CD65C2" w:rsidRDefault="00CD65C2">
      <w:pPr>
        <w:pStyle w:val="Corpo"/>
        <w:rPr>
          <w:rFonts w:hint="eastAsia"/>
          <w:b/>
          <w:i/>
          <w:color w:val="404040" w:themeColor="text1" w:themeTint="BF"/>
        </w:rPr>
      </w:pPr>
    </w:p>
    <w:p w14:paraId="353B31B4" w14:textId="77777777" w:rsidR="00CD65C2" w:rsidRDefault="00FA41FC">
      <w:pPr>
        <w:pStyle w:val="Corpo"/>
        <w:rPr>
          <w:rFonts w:hint="eastAsia"/>
          <w:b/>
          <w:bCs/>
          <w:i/>
          <w:color w:val="404040" w:themeColor="text1" w:themeTint="BF"/>
          <w:sz w:val="24"/>
        </w:rPr>
      </w:pPr>
      <w:r>
        <w:rPr>
          <w:b/>
          <w:bCs/>
          <w:i/>
          <w:color w:val="404040" w:themeColor="text1" w:themeTint="BF"/>
          <w:sz w:val="24"/>
        </w:rPr>
        <w:t>N-acetilcisteína na Ovulação e no Perfil Hormonal em Mulheres com essa Patologia</w:t>
      </w:r>
    </w:p>
    <w:p w14:paraId="3AEE8974"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06E32B71"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6C1BF06B" w14:textId="77777777" w:rsidR="00CD65C2" w:rsidRDefault="00FA41FC">
            <w:pPr>
              <w:pStyle w:val="Corpo"/>
              <w:jc w:val="center"/>
              <w:rPr>
                <w:rFonts w:hint="eastAsia"/>
                <w:b/>
                <w:color w:val="FFFFFF" w:themeColor="background1"/>
              </w:rPr>
            </w:pPr>
            <w:r>
              <w:rPr>
                <w:b/>
                <w:color w:val="FFFFFF" w:themeColor="background1"/>
                <w:sz w:val="22"/>
              </w:rPr>
              <w:t>N-acetilcisteína</w:t>
            </w:r>
          </w:p>
        </w:tc>
      </w:tr>
      <w:tr w:rsidR="00CD65C2" w14:paraId="0D7FFB91"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406372F" w14:textId="77777777" w:rsidR="00CD65C2" w:rsidRDefault="00FA41FC">
            <w:pPr>
              <w:pStyle w:val="Corpo"/>
              <w:rPr>
                <w:rFonts w:hint="eastAsia"/>
                <w:color w:val="404040" w:themeColor="text1" w:themeTint="BF"/>
              </w:rPr>
            </w:pPr>
            <w:r>
              <w:rPr>
                <w:color w:val="404040" w:themeColor="text1" w:themeTint="BF"/>
              </w:rPr>
              <w:t>N-acetilcisteína...............................600 mg</w:t>
            </w:r>
          </w:p>
        </w:tc>
      </w:tr>
      <w:tr w:rsidR="00CD65C2" w14:paraId="6C9FBF41"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1E295F6" w14:textId="7B0C5370" w:rsidR="00CD65C2" w:rsidRDefault="00FA41FC">
            <w:pPr>
              <w:pStyle w:val="Corpo"/>
              <w:rPr>
                <w:rFonts w:hint="eastAsia"/>
                <w:color w:val="404040" w:themeColor="text1" w:themeTint="BF"/>
              </w:rPr>
            </w:pPr>
            <w:r>
              <w:rPr>
                <w:color w:val="404040" w:themeColor="text1" w:themeTint="BF"/>
              </w:rPr>
              <w:t>Exipiente q.s.p. ............................1 Sachê</w:t>
            </w:r>
          </w:p>
        </w:tc>
      </w:tr>
    </w:tbl>
    <w:p w14:paraId="477905FE" w14:textId="77777777" w:rsidR="00CD65C2" w:rsidRDefault="00FA41FC">
      <w:pPr>
        <w:pStyle w:val="Corpo"/>
        <w:ind w:right="4818"/>
        <w:jc w:val="center"/>
        <w:rPr>
          <w:rFonts w:hint="eastAsia"/>
          <w:color w:val="404040" w:themeColor="text1" w:themeTint="BF"/>
          <w:sz w:val="22"/>
          <w:szCs w:val="22"/>
        </w:rPr>
      </w:pPr>
      <w:r>
        <w:rPr>
          <w:color w:val="404040" w:themeColor="text1" w:themeTint="BF"/>
          <w:sz w:val="22"/>
          <w:szCs w:val="22"/>
        </w:rPr>
        <w:t>Administrar 1 sachê três vezes ao dia ou conforme orientação médica.</w:t>
      </w:r>
    </w:p>
    <w:p w14:paraId="08E7C8E7" w14:textId="77777777" w:rsidR="00CD65C2" w:rsidRDefault="00CD65C2">
      <w:pPr>
        <w:pStyle w:val="SemEspaamento"/>
      </w:pPr>
    </w:p>
    <w:p w14:paraId="3F130169" w14:textId="77777777" w:rsidR="00CD65C2" w:rsidRDefault="00CD65C2">
      <w:pPr>
        <w:pStyle w:val="SemEspaamento"/>
      </w:pPr>
    </w:p>
    <w:p w14:paraId="5729FB86" w14:textId="77777777" w:rsidR="00CD65C2" w:rsidRDefault="00CD65C2">
      <w:pPr>
        <w:pStyle w:val="SemEspaamento"/>
      </w:pPr>
    </w:p>
    <w:p w14:paraId="00A3307B" w14:textId="77777777" w:rsidR="00CD65C2" w:rsidRDefault="00CD65C2">
      <w:pPr>
        <w:pStyle w:val="SemEspaamento"/>
      </w:pPr>
    </w:p>
    <w:p w14:paraId="0F878846" w14:textId="77777777" w:rsidR="00CD65C2" w:rsidRDefault="00CD65C2">
      <w:pPr>
        <w:pStyle w:val="SemEspaamento"/>
      </w:pPr>
    </w:p>
    <w:p w14:paraId="5D8391A3" w14:textId="77777777" w:rsidR="00CD65C2" w:rsidRDefault="00CD65C2">
      <w:pPr>
        <w:pStyle w:val="SemEspaamento"/>
      </w:pPr>
    </w:p>
    <w:p w14:paraId="1B770600" w14:textId="77777777" w:rsidR="00CD65C2" w:rsidRDefault="00CD65C2">
      <w:pPr>
        <w:pStyle w:val="SemEspaamento"/>
      </w:pPr>
    </w:p>
    <w:p w14:paraId="402DFFD2" w14:textId="77777777" w:rsidR="00CD65C2" w:rsidRDefault="00CD65C2">
      <w:pPr>
        <w:pStyle w:val="SemEspaamento"/>
      </w:pPr>
    </w:p>
    <w:p w14:paraId="3FBC029E" w14:textId="77777777" w:rsidR="00CD65C2" w:rsidRDefault="00CD65C2">
      <w:pPr>
        <w:pStyle w:val="SemEspaamento"/>
      </w:pPr>
    </w:p>
    <w:p w14:paraId="2ABD2D62" w14:textId="77777777" w:rsidR="00CD65C2" w:rsidRDefault="00CD65C2">
      <w:pPr>
        <w:pStyle w:val="SemEspaamento"/>
      </w:pPr>
    </w:p>
    <w:p w14:paraId="3682D51B" w14:textId="77777777" w:rsidR="00CD65C2" w:rsidRDefault="00CD65C2">
      <w:pPr>
        <w:pStyle w:val="SemEspaamento"/>
      </w:pPr>
    </w:p>
    <w:p w14:paraId="543631BE" w14:textId="77777777" w:rsidR="00CD65C2" w:rsidRDefault="00CD65C2">
      <w:pPr>
        <w:pStyle w:val="SemEspaamento"/>
      </w:pPr>
    </w:p>
    <w:p w14:paraId="3E1F240F" w14:textId="77777777" w:rsidR="00CD65C2" w:rsidRDefault="00CD65C2">
      <w:pPr>
        <w:pStyle w:val="SemEspaamento"/>
      </w:pPr>
    </w:p>
    <w:p w14:paraId="4BB72BB7" w14:textId="77777777" w:rsidR="00CD65C2" w:rsidRDefault="00CD65C2">
      <w:pPr>
        <w:pStyle w:val="SemEspaamento"/>
      </w:pPr>
    </w:p>
    <w:p w14:paraId="4D14E445" w14:textId="77777777" w:rsidR="00CD65C2" w:rsidRDefault="00CD65C2">
      <w:pPr>
        <w:pStyle w:val="SemEspaamento"/>
      </w:pPr>
    </w:p>
    <w:p w14:paraId="35860E46" w14:textId="77777777" w:rsidR="00CD65C2" w:rsidRDefault="00CD65C2">
      <w:pPr>
        <w:pStyle w:val="SemEspaamento"/>
      </w:pPr>
    </w:p>
    <w:p w14:paraId="72DE59C9" w14:textId="77777777" w:rsidR="00CD65C2" w:rsidRDefault="00CD65C2">
      <w:pPr>
        <w:pStyle w:val="SemEspaamento"/>
      </w:pPr>
    </w:p>
    <w:p w14:paraId="5727635D" w14:textId="77777777" w:rsidR="00CD65C2" w:rsidRDefault="00CD65C2">
      <w:pPr>
        <w:pStyle w:val="SemEspaamento"/>
      </w:pPr>
    </w:p>
    <w:p w14:paraId="1D1BBDA1" w14:textId="77777777" w:rsidR="00CD65C2" w:rsidRDefault="00CD65C2">
      <w:pPr>
        <w:pStyle w:val="SemEspaamento"/>
      </w:pPr>
    </w:p>
    <w:p w14:paraId="4C4690F8" w14:textId="77777777" w:rsidR="00CD65C2" w:rsidRDefault="00CD65C2">
      <w:pPr>
        <w:pStyle w:val="SemEspaamento"/>
      </w:pPr>
    </w:p>
    <w:p w14:paraId="4A345EDF" w14:textId="77777777" w:rsidR="00CD65C2" w:rsidRDefault="00CD65C2">
      <w:pPr>
        <w:pStyle w:val="SemEspaamento"/>
      </w:pPr>
    </w:p>
    <w:p w14:paraId="5628769D" w14:textId="77777777" w:rsidR="00CD65C2" w:rsidRDefault="00CD65C2">
      <w:pPr>
        <w:pStyle w:val="SemEspaamento"/>
      </w:pPr>
    </w:p>
    <w:p w14:paraId="695B4A90" w14:textId="77777777" w:rsidR="00CD65C2" w:rsidRDefault="00CD65C2">
      <w:pPr>
        <w:pStyle w:val="SemEspaamento"/>
      </w:pPr>
    </w:p>
    <w:p w14:paraId="6E4854DF" w14:textId="77777777" w:rsidR="00CD65C2" w:rsidRDefault="00CD65C2">
      <w:pPr>
        <w:pStyle w:val="SemEspaamento"/>
      </w:pPr>
    </w:p>
    <w:p w14:paraId="67ECD1B1" w14:textId="77777777" w:rsidR="00CD65C2" w:rsidRDefault="00CD65C2">
      <w:pPr>
        <w:pStyle w:val="SemEspaamento"/>
      </w:pPr>
    </w:p>
    <w:p w14:paraId="033555B0" w14:textId="77777777" w:rsidR="00CD65C2" w:rsidRDefault="00CD65C2">
      <w:pPr>
        <w:pStyle w:val="SemEspaamento"/>
      </w:pPr>
    </w:p>
    <w:p w14:paraId="3024E102" w14:textId="77777777" w:rsidR="00CD65C2" w:rsidRDefault="00CD65C2">
      <w:pPr>
        <w:pStyle w:val="SemEspaamento"/>
      </w:pPr>
    </w:p>
    <w:p w14:paraId="11D8D9AE" w14:textId="77777777" w:rsidR="00CD65C2" w:rsidRDefault="00CD65C2">
      <w:pPr>
        <w:pStyle w:val="SemEspaamento"/>
      </w:pPr>
    </w:p>
    <w:p w14:paraId="4723AB6C" w14:textId="77777777" w:rsidR="00CD65C2" w:rsidRDefault="00CD65C2">
      <w:pPr>
        <w:pStyle w:val="SemEspaamento"/>
      </w:pPr>
    </w:p>
    <w:p w14:paraId="3E742574" w14:textId="77777777" w:rsidR="00CD65C2" w:rsidRDefault="00CD65C2">
      <w:pPr>
        <w:pStyle w:val="SemEspaamento"/>
      </w:pPr>
    </w:p>
    <w:p w14:paraId="08CD971B" w14:textId="77777777" w:rsidR="00CD65C2" w:rsidRDefault="00CD65C2">
      <w:pPr>
        <w:pStyle w:val="SemEspaamento"/>
      </w:pPr>
    </w:p>
    <w:p w14:paraId="522A909E" w14:textId="77777777" w:rsidR="00CD65C2" w:rsidRDefault="00CD65C2">
      <w:pPr>
        <w:pStyle w:val="SemEspaamento"/>
      </w:pPr>
    </w:p>
    <w:p w14:paraId="45FAE4E0" w14:textId="77777777" w:rsidR="00CD65C2" w:rsidRDefault="00FA41FC">
      <w:pPr>
        <w:pStyle w:val="Ttulo1"/>
        <w:jc w:val="center"/>
        <w:rPr>
          <w:rFonts w:hint="eastAsia"/>
        </w:rPr>
      </w:pPr>
      <w:bookmarkStart w:id="43" w:name="_Toc165537195"/>
      <w:r>
        <w:t>Acetil-L-Carnitina</w:t>
      </w:r>
      <w:bookmarkEnd w:id="43"/>
    </w:p>
    <w:p w14:paraId="452B394B" w14:textId="77777777" w:rsidR="00CD65C2" w:rsidRPr="00D1428E" w:rsidRDefault="00FA41FC">
      <w:pPr>
        <w:pStyle w:val="Corpo"/>
        <w:jc w:val="center"/>
        <w:rPr>
          <w:rFonts w:hint="eastAsia"/>
          <w:b/>
          <w:color w:val="0070C0"/>
          <w:sz w:val="40"/>
        </w:rPr>
      </w:pPr>
      <w:r w:rsidRPr="00D1428E">
        <w:rPr>
          <w:b/>
          <w:color w:val="0070C0"/>
          <w:sz w:val="40"/>
        </w:rPr>
        <w:t>Melhora da Resistência à Insulina, Ovários Policísticos, Irregularidades Mentruais e Hipoadiponectinemia</w:t>
      </w:r>
    </w:p>
    <w:p w14:paraId="2641DCDF" w14:textId="77777777" w:rsidR="00CD65C2" w:rsidRDefault="00CD65C2">
      <w:pPr>
        <w:pStyle w:val="Corpo"/>
        <w:rPr>
          <w:rFonts w:hint="eastAsia"/>
          <w:color w:val="404040" w:themeColor="text1" w:themeTint="BF"/>
          <w:sz w:val="24"/>
        </w:rPr>
      </w:pPr>
    </w:p>
    <w:p w14:paraId="47C31CB2" w14:textId="05487CB2" w:rsidR="00CD65C2" w:rsidRDefault="00FA41FC">
      <w:pPr>
        <w:pStyle w:val="Corpo"/>
        <w:spacing w:after="120"/>
        <w:rPr>
          <w:rFonts w:hint="eastAsia"/>
          <w:color w:val="404040" w:themeColor="text1" w:themeTint="BF"/>
          <w:szCs w:val="23"/>
        </w:rPr>
      </w:pPr>
      <w:r>
        <w:rPr>
          <w:color w:val="404040" w:themeColor="text1" w:themeTint="BF"/>
          <w:szCs w:val="23"/>
        </w:rPr>
        <w:t xml:space="preserve">Este estudo avaliou a eficácia do tratamento com acetil-L-carnitina e metformina associados à pioglitazona nos parâmetros metabólicos, endócrinos e medidas objetivas e subjetivas de estresse em mulheres com SOPC </w:t>
      </w:r>
      <w:r>
        <w:rPr>
          <w:color w:val="404040" w:themeColor="text1" w:themeTint="BF"/>
          <w:szCs w:val="23"/>
        </w:rPr>
        <w:fldChar w:fldCharType="begin">
          <w:fldData xml:space="preserve">PEVuZE5vdGU+PENpdGU+PEF1dGhvcj5UYXVxaXI8L0F1dGhvcj48WWVhcj4yMDIxPC9ZZWFyPjxJ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==
</w:fldData>
        </w:fldChar>
      </w:r>
      <w:r>
        <w:rPr>
          <w:color w:val="404040" w:themeColor="text1" w:themeTint="BF"/>
          <w:szCs w:val="23"/>
        </w:rPr>
        <w:instrText xml:space="preserve"> ADDIN EN.CITE </w:instrText>
      </w:r>
      <w:r>
        <w:rPr>
          <w:color w:val="404040" w:themeColor="text1" w:themeTint="BF"/>
          <w:szCs w:val="23"/>
        </w:rPr>
        <w:fldChar w:fldCharType="begin">
          <w:fldData xml:space="preserve">PEVuZE5vdGU+PENpdGU+PEF1dGhvcj5UYXVxaXI8L0F1dGhvcj48WWVhcj4yMDIxPC9ZZWFyPjxJ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==
</w:fldData>
        </w:fldChar>
      </w:r>
      <w:r>
        <w:rPr>
          <w:color w:val="404040" w:themeColor="text1" w:themeTint="BF"/>
          <w:szCs w:val="23"/>
        </w:rPr>
        <w:instrText xml:space="preserve"> ADDIN EN.CITE.DATA </w:instrText>
      </w:r>
      <w:r>
        <w:rPr>
          <w:color w:val="404040" w:themeColor="text1" w:themeTint="BF"/>
          <w:szCs w:val="23"/>
        </w:rPr>
      </w:r>
      <w:r>
        <w:rPr>
          <w:color w:val="404040" w:themeColor="text1" w:themeTint="BF"/>
          <w:szCs w:val="23"/>
        </w:rPr>
        <w:fldChar w:fldCharType="end"/>
      </w:r>
      <w:r>
        <w:rPr>
          <w:color w:val="404040" w:themeColor="text1" w:themeTint="BF"/>
          <w:szCs w:val="23"/>
        </w:rPr>
      </w:r>
      <w:r>
        <w:rPr>
          <w:color w:val="404040" w:themeColor="text1" w:themeTint="BF"/>
          <w:szCs w:val="23"/>
        </w:rPr>
        <w:fldChar w:fldCharType="separate"/>
      </w:r>
      <w:r>
        <w:rPr>
          <w:color w:val="404040" w:themeColor="text1" w:themeTint="BF"/>
          <w:szCs w:val="23"/>
        </w:rPr>
        <w:t>(TAUQIR; ISRAR; RAUF; MALIK</w:t>
      </w:r>
      <w:r>
        <w:rPr>
          <w:i/>
          <w:color w:val="404040" w:themeColor="text1" w:themeTint="BF"/>
          <w:szCs w:val="23"/>
        </w:rPr>
        <w:t xml:space="preserve"> et al.</w:t>
      </w:r>
      <w:r>
        <w:rPr>
          <w:color w:val="404040" w:themeColor="text1" w:themeTint="BF"/>
          <w:szCs w:val="23"/>
        </w:rPr>
        <w:t>, 2021)</w:t>
      </w:r>
      <w:r>
        <w:rPr>
          <w:color w:val="404040" w:themeColor="text1" w:themeTint="BF"/>
          <w:szCs w:val="23"/>
        </w:rPr>
        <w:fldChar w:fldCharType="end"/>
      </w:r>
      <w:r>
        <w:rPr>
          <w:color w:val="404040" w:themeColor="text1" w:themeTint="BF"/>
          <w:szCs w:val="23"/>
        </w:rPr>
        <w:t>.</w:t>
      </w:r>
    </w:p>
    <w:p w14:paraId="2330AFA8"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39136" behindDoc="0" locked="0" layoutInCell="1" allowOverlap="1">
                <wp:simplePos x="0" y="0"/>
                <wp:positionH relativeFrom="margin">
                  <wp:align>right</wp:align>
                </wp:positionH>
                <wp:positionV relativeFrom="paragraph">
                  <wp:posOffset>96520</wp:posOffset>
                </wp:positionV>
                <wp:extent cx="5743575" cy="518160"/>
                <wp:effectExtent l="0" t="0" r="28575" b="15240"/>
                <wp:wrapNone/>
                <wp:docPr id="242" name="Caixa de texto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0070C0"/>
                          </a:solidFill>
                          <a:miter lim="800000"/>
                        </a:ln>
                      </wps:spPr>
                      <wps:txbx>
                        <w:txbxContent>
                          <w:p w14:paraId="4094986A" w14:textId="6C82F8F0" w:rsidR="00FA41FC" w:rsidRDefault="00FA41FC">
                            <w:pPr>
                              <w:jc w:val="center"/>
                              <w:rPr>
                                <w:rFonts w:ascii="Swis721 Th BT" w:hAnsi="Swis721 Th BT"/>
                                <w:sz w:val="23"/>
                                <w:szCs w:val="23"/>
                              </w:rPr>
                            </w:pPr>
                            <w:r>
                              <w:rPr>
                                <w:rFonts w:ascii="Swis721 Th BT" w:hAnsi="Swis721 Th BT"/>
                                <w:sz w:val="23"/>
                                <w:szCs w:val="23"/>
                              </w:rPr>
                              <w:t xml:space="preserve">Para isso, 147 mulheres com esse quadro clínico foram randomizadas para receberem durante 12 semanas: </w:t>
                            </w:r>
                          </w:p>
                        </w:txbxContent>
                      </wps:txbx>
                      <wps:bodyPr rot="0" vert="horz" wrap="square" lIns="91440" tIns="45720" rIns="91440" bIns="45720" anchor="t" anchorCtr="0" upright="1">
                        <a:noAutofit/>
                      </wps:bodyPr>
                    </wps:wsp>
                  </a:graphicData>
                </a:graphic>
              </wp:anchor>
            </w:drawing>
          </mc:Choice>
          <mc:Fallback>
            <w:pict>
              <v:shape id="Caixa de texto 242" o:spid="_x0000_s1077" type="#_x0000_t202" style="position:absolute;left:0;text-align:left;margin-left:401.05pt;margin-top:7.6pt;width:452.25pt;height:40.8pt;z-index:2517391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" fillcolor="white [3212]" strokecolor="#0070c0">
                <v:textbox>
                  <w:txbxContent>
                    <w:p w14:paraId="4094986A" w14:textId="6C82F8F0" w:rsidR="00FA41FC" w:rsidRDefault="00FA41FC">
                      <w:pPr>
                        <w:jc w:val="center"/>
                        <w:rPr>
                          <w:rFonts w:ascii="Swis721 Th BT" w:hAnsi="Swis721 Th BT"/>
                          <w:sz w:val="23"/>
                          <w:szCs w:val="23"/>
                        </w:rPr>
                      </w:pPr>
                      <w:r>
                        <w:rPr>
                          <w:rFonts w:ascii="Swis721 Th BT" w:hAnsi="Swis721 Th BT"/>
                          <w:sz w:val="23"/>
                          <w:szCs w:val="23"/>
                        </w:rPr>
                        <w:t xml:space="preserve">Para isso, 147 mulheres com esse quadro clínico foram randomizadas para receberem durante 12 semanas: </w:t>
                      </w:r>
                    </w:p>
                  </w:txbxContent>
                </v:textbox>
                <w10:wrap anchorx="margin"/>
              </v:shape>
            </w:pict>
          </mc:Fallback>
        </mc:AlternateContent>
      </w:r>
      <w:r>
        <w:rPr>
          <w:color w:val="404040" w:themeColor="text1" w:themeTint="BF"/>
          <w:sz w:val="24"/>
        </w:rPr>
        <w:br/>
      </w:r>
    </w:p>
    <w:p w14:paraId="1FA7F8FF"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741184" behindDoc="0" locked="0" layoutInCell="1" allowOverlap="1">
                <wp:simplePos x="0" y="0"/>
                <wp:positionH relativeFrom="column">
                  <wp:posOffset>1952625</wp:posOffset>
                </wp:positionH>
                <wp:positionV relativeFrom="paragraph">
                  <wp:posOffset>290195</wp:posOffset>
                </wp:positionV>
                <wp:extent cx="1871980" cy="1009015"/>
                <wp:effectExtent l="0" t="0" r="13970" b="19685"/>
                <wp:wrapNone/>
                <wp:docPr id="246" name="Caixa de texto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1009015"/>
                        </a:xfrm>
                        <a:prstGeom prst="rect">
                          <a:avLst/>
                        </a:prstGeom>
                        <a:solidFill>
                          <a:srgbClr val="0070C0"/>
                        </a:solidFill>
                        <a:ln w="9525">
                          <a:solidFill>
                            <a:srgbClr val="0070C0"/>
                          </a:solidFill>
                          <a:miter lim="800000"/>
                        </a:ln>
                      </wps:spPr>
                      <wps:txbx>
                        <w:txbxContent>
                          <w:p w14:paraId="0930F5EA"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3656C363"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Metformina 500 mg</w:t>
                            </w:r>
                          </w:p>
                          <w:p w14:paraId="39927B57"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Pioglitazona 15 mg</w:t>
                            </w:r>
                          </w:p>
                          <w:p w14:paraId="4392924B" w14:textId="77950D24"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Administrado 2 vezes ao dia</w:t>
                            </w:r>
                          </w:p>
                        </w:txbxContent>
                      </wps:txbx>
                      <wps:bodyPr rot="0" vert="horz" wrap="square" lIns="91440" tIns="45720" rIns="91440" bIns="45720" anchor="ctr" anchorCtr="0" upright="1">
                        <a:noAutofit/>
                      </wps:bodyPr>
                    </wps:wsp>
                  </a:graphicData>
                </a:graphic>
              </wp:anchor>
            </w:drawing>
          </mc:Choice>
          <mc:Fallback>
            <w:pict>
              <v:shape id="Caixa de texto 246" o:spid="_x0000_s1078" type="#_x0000_t202" style="position:absolute;left:0;text-align:left;margin-left:153.75pt;margin-top:22.85pt;width:147.4pt;height:79.45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" fillcolor="#0070c0" strokecolor="#0070c0">
                <v:textbox>
                  <w:txbxContent>
                    <w:p w14:paraId="0930F5EA"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3656C363"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Metformina 500 mg</w:t>
                      </w:r>
                    </w:p>
                    <w:p w14:paraId="39927B57"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Pioglitazona 15 mg</w:t>
                      </w:r>
                    </w:p>
                    <w:p w14:paraId="4392924B" w14:textId="77950D24"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Administrado 2 vezes ao dia</w:t>
                      </w: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742208" behindDoc="0" locked="0" layoutInCell="1" allowOverlap="1">
                <wp:simplePos x="0" y="0"/>
                <wp:positionH relativeFrom="column">
                  <wp:posOffset>3871595</wp:posOffset>
                </wp:positionH>
                <wp:positionV relativeFrom="paragraph">
                  <wp:posOffset>292100</wp:posOffset>
                </wp:positionV>
                <wp:extent cx="1871980" cy="1009015"/>
                <wp:effectExtent l="0" t="0" r="13970" b="19685"/>
                <wp:wrapNone/>
                <wp:docPr id="247" name="Caixa de texto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1009015"/>
                        </a:xfrm>
                        <a:prstGeom prst="rect">
                          <a:avLst/>
                        </a:prstGeom>
                        <a:solidFill>
                          <a:srgbClr val="0070C0"/>
                        </a:solidFill>
                        <a:ln w="9525">
                          <a:solidFill>
                            <a:srgbClr val="0070C0"/>
                          </a:solidFill>
                          <a:miter lim="800000"/>
                        </a:ln>
                      </wps:spPr>
                      <wps:txbx>
                        <w:txbxContent>
                          <w:p w14:paraId="2FD0876C"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3 </w:t>
                            </w:r>
                          </w:p>
                          <w:p w14:paraId="6DE80D07" w14:textId="77777777" w:rsidR="00FA41FC" w:rsidRDefault="00FA41FC">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247" o:spid="_x0000_s1079" type="#_x0000_t202" style="position:absolute;left:0;text-align:left;margin-left:304.85pt;margin-top:23pt;width:147.4pt;height:79.45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" fillcolor="#0070c0" strokecolor="#0070c0">
                <v:textbox>
                  <w:txbxContent>
                    <w:p w14:paraId="2FD0876C"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3 </w:t>
                      </w:r>
                    </w:p>
                    <w:p w14:paraId="6DE80D07" w14:textId="77777777" w:rsidR="00FA41FC" w:rsidRDefault="00FA41FC">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740160" behindDoc="0" locked="0" layoutInCell="1" allowOverlap="1">
                <wp:simplePos x="0" y="0"/>
                <wp:positionH relativeFrom="column">
                  <wp:posOffset>-1270</wp:posOffset>
                </wp:positionH>
                <wp:positionV relativeFrom="paragraph">
                  <wp:posOffset>290195</wp:posOffset>
                </wp:positionV>
                <wp:extent cx="1913890" cy="1009015"/>
                <wp:effectExtent l="0" t="0" r="10160" b="19685"/>
                <wp:wrapNone/>
                <wp:docPr id="248" name="Caixa de texto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009015"/>
                        </a:xfrm>
                        <a:prstGeom prst="rect">
                          <a:avLst/>
                        </a:prstGeom>
                        <a:solidFill>
                          <a:srgbClr val="0070C0"/>
                        </a:solidFill>
                        <a:ln w="9525">
                          <a:solidFill>
                            <a:srgbClr val="0070C0"/>
                          </a:solidFill>
                          <a:miter lim="800000"/>
                        </a:ln>
                      </wps:spPr>
                      <wps:txbx>
                        <w:txbxContent>
                          <w:p w14:paraId="050804FD"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Metformina 500 mg</w:t>
                            </w:r>
                          </w:p>
                          <w:p w14:paraId="1FB42266"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Pioglitazona 15 mg</w:t>
                            </w:r>
                          </w:p>
                          <w:p w14:paraId="5C985747"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Acetil-L-Carnitina</w:t>
                            </w:r>
                            <w:r>
                              <w:rPr>
                                <w:rFonts w:ascii="Swis721 Th BT" w:hAnsi="Swis721 Th BT"/>
                                <w:color w:val="FFFFFF" w:themeColor="background1"/>
                                <w:szCs w:val="23"/>
                              </w:rPr>
                              <w:t xml:space="preserve"> 1500 mg</w:t>
                            </w:r>
                          </w:p>
                          <w:p w14:paraId="5B592FC9" w14:textId="2C2604F5"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Administrado 2 vezes ao dia</w:t>
                            </w:r>
                          </w:p>
                        </w:txbxContent>
                      </wps:txbx>
                      <wps:bodyPr rot="0" vert="horz" wrap="square" lIns="91440" tIns="45720" rIns="91440" bIns="45720" anchor="ctr" anchorCtr="0" upright="1">
                        <a:noAutofit/>
                      </wps:bodyPr>
                    </wps:wsp>
                  </a:graphicData>
                </a:graphic>
              </wp:anchor>
            </w:drawing>
          </mc:Choice>
          <mc:Fallback>
            <w:pict>
              <v:shape id="Caixa de texto 248" o:spid="_x0000_s1080" type="#_x0000_t202" style="position:absolute;left:0;text-align:left;margin-left:-.1pt;margin-top:22.85pt;width:150.7pt;height:79.45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" fillcolor="#0070c0" strokecolor="#0070c0">
                <v:textbox>
                  <w:txbxContent>
                    <w:p w14:paraId="050804FD"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Metformina 500 mg</w:t>
                      </w:r>
                    </w:p>
                    <w:p w14:paraId="1FB42266"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Pioglitazona 15 mg</w:t>
                      </w:r>
                    </w:p>
                    <w:p w14:paraId="5C985747"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Acetil-L-Carnitina</w:t>
                      </w:r>
                      <w:r>
                        <w:rPr>
                          <w:rFonts w:ascii="Swis721 Th BT" w:hAnsi="Swis721 Th BT"/>
                          <w:color w:val="FFFFFF" w:themeColor="background1"/>
                          <w:szCs w:val="23"/>
                        </w:rPr>
                        <w:t xml:space="preserve"> 1500 mg</w:t>
                      </w:r>
                    </w:p>
                    <w:p w14:paraId="5B592FC9" w14:textId="2C2604F5"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Administrado 2 vezes ao dia</w:t>
                      </w:r>
                    </w:p>
                  </w:txbxContent>
                </v:textbox>
              </v:shape>
            </w:pict>
          </mc:Fallback>
        </mc:AlternateContent>
      </w:r>
    </w:p>
    <w:p w14:paraId="078B0891" w14:textId="77777777" w:rsidR="00CD65C2" w:rsidRDefault="00CD65C2">
      <w:pPr>
        <w:pStyle w:val="Corpo"/>
        <w:rPr>
          <w:rFonts w:hint="eastAsia"/>
          <w:color w:val="404040" w:themeColor="text1" w:themeTint="BF"/>
        </w:rPr>
      </w:pPr>
    </w:p>
    <w:p w14:paraId="7BD44E48" w14:textId="77777777" w:rsidR="00CD65C2" w:rsidRDefault="00CD65C2">
      <w:pPr>
        <w:pStyle w:val="Corpo"/>
        <w:rPr>
          <w:rFonts w:hint="eastAsia"/>
          <w:color w:val="404040" w:themeColor="text1" w:themeTint="BF"/>
        </w:rPr>
      </w:pPr>
    </w:p>
    <w:p w14:paraId="1ACC156C" w14:textId="77777777" w:rsidR="00CD65C2" w:rsidRDefault="00CD65C2">
      <w:pPr>
        <w:pStyle w:val="Corpo"/>
        <w:rPr>
          <w:rFonts w:hint="eastAsia"/>
          <w:color w:val="404040" w:themeColor="text1" w:themeTint="BF"/>
        </w:rPr>
      </w:pPr>
    </w:p>
    <w:p w14:paraId="225E8E0D" w14:textId="77777777" w:rsidR="00CD65C2" w:rsidRDefault="00CD65C2">
      <w:pPr>
        <w:pStyle w:val="Corpo"/>
        <w:rPr>
          <w:rFonts w:hint="eastAsia"/>
          <w:color w:val="404040" w:themeColor="text1" w:themeTint="BF"/>
        </w:rPr>
      </w:pPr>
    </w:p>
    <w:p w14:paraId="207C5CF2" w14:textId="77777777" w:rsidR="00CD65C2" w:rsidRDefault="00CD65C2">
      <w:pPr>
        <w:pStyle w:val="Corpo"/>
        <w:rPr>
          <w:rFonts w:hint="eastAsia"/>
          <w:color w:val="404040" w:themeColor="text1" w:themeTint="BF"/>
        </w:rPr>
      </w:pPr>
    </w:p>
    <w:p w14:paraId="5E0669AF" w14:textId="77777777" w:rsidR="00CD65C2" w:rsidRDefault="00CD65C2">
      <w:pPr>
        <w:pStyle w:val="Corpo"/>
        <w:spacing w:before="120"/>
        <w:rPr>
          <w:rFonts w:hint="eastAsia"/>
          <w:color w:val="404040" w:themeColor="text1" w:themeTint="BF"/>
          <w:sz w:val="20"/>
        </w:rPr>
      </w:pPr>
    </w:p>
    <w:p w14:paraId="2AF02935" w14:textId="77777777" w:rsidR="00CD65C2" w:rsidRDefault="00FA41FC">
      <w:pPr>
        <w:pStyle w:val="Corpo"/>
        <w:numPr>
          <w:ilvl w:val="0"/>
          <w:numId w:val="4"/>
        </w:numPr>
        <w:spacing w:after="0"/>
        <w:ind w:left="360"/>
        <w:rPr>
          <w:rFonts w:hint="eastAsia"/>
          <w:color w:val="404040" w:themeColor="text1" w:themeTint="BF"/>
          <w:sz w:val="20"/>
          <w:szCs w:val="23"/>
        </w:rPr>
      </w:pPr>
      <w:r>
        <w:rPr>
          <w:color w:val="404040" w:themeColor="text1" w:themeTint="BF"/>
          <w:sz w:val="20"/>
          <w:szCs w:val="23"/>
        </w:rPr>
        <w:t xml:space="preserve">A </w:t>
      </w:r>
      <w:r>
        <w:rPr>
          <w:i/>
          <w:iCs/>
          <w:color w:val="404040" w:themeColor="text1" w:themeTint="BF"/>
          <w:sz w:val="20"/>
          <w:szCs w:val="23"/>
        </w:rPr>
        <w:t>Perceived Stress Scale</w:t>
      </w:r>
      <w:r>
        <w:rPr>
          <w:color w:val="404040" w:themeColor="text1" w:themeTint="BF"/>
          <w:sz w:val="20"/>
          <w:szCs w:val="23"/>
        </w:rPr>
        <w:t xml:space="preserve"> (PSS14) e o </w:t>
      </w:r>
      <w:r>
        <w:rPr>
          <w:i/>
          <w:iCs/>
          <w:color w:val="404040" w:themeColor="text1" w:themeTint="BF"/>
          <w:sz w:val="20"/>
          <w:szCs w:val="23"/>
        </w:rPr>
        <w:t xml:space="preserve">Profile of Mood States </w:t>
      </w:r>
      <w:r>
        <w:rPr>
          <w:color w:val="404040" w:themeColor="text1" w:themeTint="BF"/>
          <w:sz w:val="20"/>
          <w:szCs w:val="23"/>
        </w:rPr>
        <w:t xml:space="preserve">(POMS) foram empregados como medidas subjetivas de estresse. As funções endócrinas e metabólicas de mulheres com SOPC foram avaliadas medindo os níveis de insulina, hormônio leutinizante (LH), hormônio folículo-estimulante (FSH), testosterona e adiponectina em amostras de sangue em jejum. A resistência à insulina foi calculada pelo </w:t>
      </w:r>
      <w:r>
        <w:rPr>
          <w:i/>
          <w:iCs/>
          <w:color w:val="404040" w:themeColor="text1" w:themeTint="BF"/>
          <w:sz w:val="20"/>
          <w:szCs w:val="23"/>
        </w:rPr>
        <w:t>Homeostatic Model Assessment of Insulin Resistance</w:t>
      </w:r>
      <w:r>
        <w:rPr>
          <w:color w:val="404040" w:themeColor="text1" w:themeTint="BF"/>
          <w:sz w:val="20"/>
          <w:szCs w:val="23"/>
        </w:rPr>
        <w:t xml:space="preserve"> (HOMA-IR). Os medicamentos foram interrompidos quando a gravidez foi confirmada.</w:t>
      </w:r>
    </w:p>
    <w:p w14:paraId="5A699D96"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20CF5A56"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4DC95CB9" w14:textId="77777777" w:rsidR="00CD65C2" w:rsidRDefault="00FA41FC">
      <w:pPr>
        <w:pStyle w:val="Corpo"/>
        <w:numPr>
          <w:ilvl w:val="0"/>
          <w:numId w:val="5"/>
        </w:numPr>
        <w:spacing w:after="0"/>
        <w:rPr>
          <w:rFonts w:hint="eastAsia"/>
          <w:color w:val="404040" w:themeColor="text1" w:themeTint="BF"/>
          <w:szCs w:val="23"/>
        </w:rPr>
      </w:pPr>
      <w:r>
        <w:rPr>
          <w:color w:val="404040" w:themeColor="text1" w:themeTint="BF"/>
          <w:szCs w:val="23"/>
        </w:rPr>
        <w:t>As mulheres no início do estudo tinham concentração circulante de insulina significativamente elevada e baixo nível de adiponectina;</w:t>
      </w:r>
    </w:p>
    <w:p w14:paraId="40F709FC" w14:textId="77777777" w:rsidR="00CD65C2" w:rsidRDefault="00FA41FC">
      <w:pPr>
        <w:pStyle w:val="Corpo"/>
        <w:numPr>
          <w:ilvl w:val="0"/>
          <w:numId w:val="5"/>
        </w:numPr>
        <w:spacing w:after="0"/>
        <w:rPr>
          <w:rFonts w:hint="eastAsia"/>
          <w:color w:val="404040" w:themeColor="text1" w:themeTint="BF"/>
          <w:szCs w:val="23"/>
        </w:rPr>
      </w:pPr>
      <w:r>
        <w:rPr>
          <w:color w:val="404040" w:themeColor="text1" w:themeTint="BF"/>
          <w:szCs w:val="23"/>
        </w:rPr>
        <w:t>O tratamento diminuiu a insulina em ambos os grupos; no entanto, o grupo 1 apresentou uma diminuição significativa;</w:t>
      </w:r>
    </w:p>
    <w:p w14:paraId="6046EE26" w14:textId="77777777" w:rsidR="00CD65C2" w:rsidRDefault="00FA41FC">
      <w:pPr>
        <w:pStyle w:val="Corpo"/>
        <w:numPr>
          <w:ilvl w:val="0"/>
          <w:numId w:val="5"/>
        </w:numPr>
        <w:spacing w:after="0"/>
        <w:rPr>
          <w:rFonts w:hint="eastAsia"/>
          <w:color w:val="404040" w:themeColor="text1" w:themeTint="BF"/>
          <w:szCs w:val="23"/>
        </w:rPr>
      </w:pPr>
      <w:r>
        <w:rPr>
          <w:color w:val="404040" w:themeColor="text1" w:themeTint="BF"/>
          <w:szCs w:val="23"/>
        </w:rPr>
        <w:t>O nível de adiponectina sérica aumentou significativamente após o tratamento em ambos os grupos;</w:t>
      </w:r>
    </w:p>
    <w:p w14:paraId="1C2B0D56" w14:textId="77777777" w:rsidR="00CD65C2" w:rsidRDefault="00FA41FC">
      <w:pPr>
        <w:pStyle w:val="Corpo"/>
        <w:numPr>
          <w:ilvl w:val="0"/>
          <w:numId w:val="5"/>
        </w:numPr>
        <w:spacing w:after="0"/>
        <w:rPr>
          <w:rFonts w:hint="eastAsia"/>
          <w:color w:val="404040" w:themeColor="text1" w:themeTint="BF"/>
          <w:szCs w:val="23"/>
        </w:rPr>
      </w:pPr>
      <w:r>
        <w:rPr>
          <w:color w:val="404040" w:themeColor="text1" w:themeTint="BF"/>
          <w:szCs w:val="23"/>
        </w:rPr>
        <w:t>O HOMA-IR também diminuiu em ambos os grupos;</w:t>
      </w:r>
    </w:p>
    <w:p w14:paraId="3AAB5470" w14:textId="77777777" w:rsidR="00CD65C2" w:rsidRDefault="00FA41FC">
      <w:pPr>
        <w:pStyle w:val="Corpo"/>
        <w:numPr>
          <w:ilvl w:val="0"/>
          <w:numId w:val="5"/>
        </w:numPr>
        <w:spacing w:after="0"/>
        <w:rPr>
          <w:rFonts w:hint="eastAsia"/>
          <w:color w:val="404040" w:themeColor="text1" w:themeTint="BF"/>
          <w:szCs w:val="23"/>
        </w:rPr>
      </w:pPr>
      <w:r>
        <w:rPr>
          <w:color w:val="404040" w:themeColor="text1" w:themeTint="BF"/>
          <w:szCs w:val="23"/>
        </w:rPr>
        <w:t>Testosterona, FSH e LH melhoraram significativamente em ambos os grupos;</w:t>
      </w:r>
    </w:p>
    <w:p w14:paraId="59D32F5E" w14:textId="77777777" w:rsidR="00CD65C2" w:rsidRDefault="00FA41FC">
      <w:pPr>
        <w:pStyle w:val="Corpo"/>
        <w:numPr>
          <w:ilvl w:val="0"/>
          <w:numId w:val="5"/>
        </w:numPr>
        <w:spacing w:after="0"/>
        <w:rPr>
          <w:rFonts w:hint="eastAsia"/>
          <w:color w:val="404040" w:themeColor="text1" w:themeTint="BF"/>
          <w:szCs w:val="23"/>
        </w:rPr>
      </w:pPr>
      <w:r>
        <w:rPr>
          <w:color w:val="404040" w:themeColor="text1" w:themeTint="BF"/>
          <w:szCs w:val="23"/>
        </w:rPr>
        <w:t>LH também diminuiu em ambos os grupos; no entanto, a mudança foi significativa apenas no grupo de 1;</w:t>
      </w:r>
    </w:p>
    <w:p w14:paraId="15CD0B75" w14:textId="77777777" w:rsidR="00CD65C2" w:rsidRDefault="00FA41FC">
      <w:pPr>
        <w:pStyle w:val="Corpo"/>
        <w:numPr>
          <w:ilvl w:val="0"/>
          <w:numId w:val="5"/>
        </w:numPr>
        <w:spacing w:after="0"/>
        <w:rPr>
          <w:rFonts w:hint="eastAsia"/>
          <w:color w:val="404040" w:themeColor="text1" w:themeTint="BF"/>
          <w:szCs w:val="23"/>
        </w:rPr>
      </w:pPr>
      <w:r>
        <w:rPr>
          <w:color w:val="404040" w:themeColor="text1" w:themeTint="BF"/>
          <w:szCs w:val="23"/>
        </w:rPr>
        <w:t>Houve uma melhora significativa na circunferência corporal e escores PSS no grupo 1;</w:t>
      </w:r>
    </w:p>
    <w:p w14:paraId="763D46F7" w14:textId="77777777" w:rsidR="00CD65C2" w:rsidRDefault="00FA41FC">
      <w:pPr>
        <w:pStyle w:val="Corpo"/>
        <w:numPr>
          <w:ilvl w:val="0"/>
          <w:numId w:val="5"/>
        </w:numPr>
        <w:spacing w:after="0"/>
        <w:rPr>
          <w:rFonts w:hint="eastAsia"/>
          <w:color w:val="404040" w:themeColor="text1" w:themeTint="BF"/>
          <w:szCs w:val="23"/>
        </w:rPr>
      </w:pPr>
      <w:r>
        <w:rPr>
          <w:color w:val="404040" w:themeColor="text1" w:themeTint="BF"/>
          <w:szCs w:val="23"/>
        </w:rPr>
        <w:t>Ciclos menstruais regulares foram encontrados (97,2%) no grupo carnitina, mas em apenas 12,9% do outro grupo.</w:t>
      </w:r>
    </w:p>
    <w:p w14:paraId="27D86C2A"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34BA599B"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 xml:space="preserve">Conclusão: </w:t>
      </w:r>
    </w:p>
    <w:p w14:paraId="30FFE170" w14:textId="77777777" w:rsidR="00CD65C2" w:rsidRDefault="00FA41FC">
      <w:pPr>
        <w:pStyle w:val="Corpo"/>
        <w:jc w:val="center"/>
        <w:rPr>
          <w:rFonts w:hint="eastAsia"/>
          <w:b/>
          <w:i/>
          <w:color w:val="404040" w:themeColor="text1" w:themeTint="BF"/>
        </w:rPr>
      </w:pPr>
      <w:r>
        <w:rPr>
          <w:b/>
          <w:i/>
          <w:color w:val="404040" w:themeColor="text1" w:themeTint="BF"/>
        </w:rPr>
        <w:t>A adição de acetil-L-carnitina é superior a metformina mais pioglitazona na melhoria da resistência à insulina, ovários policísticos, irregularidades menstruais e hipoadiponectinemia em mulheres com SOPC.</w:t>
      </w:r>
    </w:p>
    <w:p w14:paraId="637854E3" w14:textId="77777777" w:rsidR="00CD65C2" w:rsidRDefault="00FA41FC">
      <w:pPr>
        <w:pStyle w:val="Ttulo1"/>
        <w:jc w:val="center"/>
        <w:rPr>
          <w:rFonts w:hint="eastAsia"/>
        </w:rPr>
      </w:pPr>
      <w:bookmarkStart w:id="44" w:name="_Toc165537196"/>
      <w:r>
        <w:t>Formulário</w:t>
      </w:r>
      <w:bookmarkEnd w:id="44"/>
    </w:p>
    <w:p w14:paraId="1A5D6215" w14:textId="77777777" w:rsidR="00CD65C2" w:rsidRDefault="00CD65C2">
      <w:pPr>
        <w:pStyle w:val="Corpo"/>
        <w:rPr>
          <w:rFonts w:hint="eastAsia"/>
          <w:b/>
          <w:i/>
          <w:color w:val="404040" w:themeColor="text1" w:themeTint="BF"/>
        </w:rPr>
      </w:pPr>
    </w:p>
    <w:p w14:paraId="0B887C66" w14:textId="77777777" w:rsidR="00CD65C2" w:rsidRDefault="00CD65C2">
      <w:pPr>
        <w:pStyle w:val="Corpo"/>
        <w:rPr>
          <w:rFonts w:hint="eastAsia"/>
          <w:b/>
          <w:i/>
          <w:color w:val="404040" w:themeColor="text1" w:themeTint="BF"/>
        </w:rPr>
      </w:pPr>
    </w:p>
    <w:p w14:paraId="0E191473" w14:textId="77777777" w:rsidR="00CD65C2" w:rsidRDefault="00FA41FC">
      <w:pPr>
        <w:pStyle w:val="Corpo"/>
        <w:rPr>
          <w:rFonts w:hint="eastAsia"/>
          <w:b/>
          <w:i/>
          <w:color w:val="404040" w:themeColor="text1" w:themeTint="BF"/>
          <w:sz w:val="24"/>
        </w:rPr>
      </w:pPr>
      <w:r>
        <w:rPr>
          <w:b/>
          <w:i/>
          <w:color w:val="404040" w:themeColor="text1" w:themeTint="BF"/>
          <w:sz w:val="24"/>
        </w:rPr>
        <w:t xml:space="preserve">Melhora da Resistência à Insulina, Ovários Policísticos, Irregularidades Mentruais e </w:t>
      </w:r>
      <w:r>
        <w:rPr>
          <w:b/>
          <w:i/>
          <w:color w:val="404040" w:themeColor="text1" w:themeTint="BF"/>
          <w:szCs w:val="23"/>
        </w:rPr>
        <w:t>Hipoadiponectinemia na SOPC</w:t>
      </w:r>
    </w:p>
    <w:p w14:paraId="73322683" w14:textId="77777777" w:rsidR="00CD65C2" w:rsidRDefault="00CD65C2">
      <w:pPr>
        <w:pStyle w:val="Corpo"/>
        <w:ind w:right="4762"/>
        <w:rPr>
          <w:rFonts w:hint="eastAsia"/>
          <w:color w:val="404040" w:themeColor="text1" w:themeTint="BF"/>
          <w:sz w:val="16"/>
          <w:szCs w:val="16"/>
        </w:rPr>
      </w:pPr>
    </w:p>
    <w:p w14:paraId="65FC6C45" w14:textId="77777777" w:rsidR="00CD65C2" w:rsidRDefault="00CD65C2">
      <w:pPr>
        <w:pStyle w:val="Corpo"/>
        <w:ind w:right="4762"/>
        <w:jc w:val="center"/>
        <w:rPr>
          <w:rFonts w:hint="eastAsia"/>
          <w:color w:val="404040" w:themeColor="text1" w:themeTint="BF"/>
          <w:sz w:val="16"/>
          <w:szCs w:val="16"/>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6818C166"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1FD27680" w14:textId="77777777" w:rsidR="00CD65C2" w:rsidRDefault="00FA41FC">
            <w:pPr>
              <w:pStyle w:val="Corpo"/>
              <w:jc w:val="center"/>
              <w:rPr>
                <w:rFonts w:hint="eastAsia"/>
                <w:b/>
                <w:color w:val="FFFFFF" w:themeColor="background1"/>
              </w:rPr>
            </w:pPr>
            <w:r>
              <w:rPr>
                <w:b/>
                <w:color w:val="FFFFFF" w:themeColor="background1"/>
                <w:sz w:val="22"/>
              </w:rPr>
              <w:t>Sachê de Acetil-L-Carnitina</w:t>
            </w:r>
          </w:p>
        </w:tc>
      </w:tr>
      <w:tr w:rsidR="00CD65C2" w14:paraId="23BEB616"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8C0490A" w14:textId="77777777" w:rsidR="00CD65C2" w:rsidRDefault="00FA41FC">
            <w:pPr>
              <w:pStyle w:val="Corpo"/>
              <w:rPr>
                <w:rFonts w:hint="eastAsia"/>
                <w:color w:val="404040" w:themeColor="text1" w:themeTint="BF"/>
              </w:rPr>
            </w:pPr>
            <w:r>
              <w:rPr>
                <w:color w:val="404040" w:themeColor="text1" w:themeTint="BF"/>
              </w:rPr>
              <w:t>Acetil-L-Carnitina…………………1500 mg</w:t>
            </w:r>
          </w:p>
        </w:tc>
      </w:tr>
      <w:tr w:rsidR="00CD65C2" w14:paraId="7BF69BCF"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65C3F55" w14:textId="5A5D07EA" w:rsidR="00CD65C2" w:rsidRDefault="00FA41FC">
            <w:pPr>
              <w:pStyle w:val="Corpo"/>
              <w:rPr>
                <w:rFonts w:hint="eastAsia"/>
                <w:color w:val="404040" w:themeColor="text1" w:themeTint="BF"/>
              </w:rPr>
            </w:pPr>
            <w:r>
              <w:rPr>
                <w:color w:val="404040" w:themeColor="text1" w:themeTint="BF"/>
              </w:rPr>
              <w:t>Excipiente q.s.p. ...........................1 Sachê</w:t>
            </w:r>
          </w:p>
        </w:tc>
      </w:tr>
    </w:tbl>
    <w:p w14:paraId="3EC43EAC" w14:textId="3E057ACB" w:rsidR="00CD65C2" w:rsidRDefault="00FA41FC">
      <w:pPr>
        <w:pStyle w:val="Corpo"/>
        <w:ind w:right="4960"/>
        <w:jc w:val="center"/>
        <w:rPr>
          <w:rFonts w:hint="eastAsia"/>
          <w:color w:val="404040" w:themeColor="text1" w:themeTint="BF"/>
          <w:sz w:val="22"/>
          <w:szCs w:val="22"/>
        </w:rPr>
      </w:pPr>
      <w:r>
        <w:rPr>
          <w:color w:val="404040" w:themeColor="text1" w:themeTint="BF"/>
          <w:sz w:val="22"/>
          <w:szCs w:val="22"/>
        </w:rPr>
        <w:t>Administrar 1 sachê duas vezes ao dia ou conforme orientação médica.</w:t>
      </w:r>
    </w:p>
    <w:p w14:paraId="09A52AAC" w14:textId="77777777" w:rsidR="00CD65C2" w:rsidRDefault="00CD65C2">
      <w:pPr>
        <w:pStyle w:val="SemEspaamento"/>
      </w:pPr>
    </w:p>
    <w:p w14:paraId="2062C853" w14:textId="77777777" w:rsidR="00CD65C2" w:rsidRDefault="00CD65C2">
      <w:pPr>
        <w:pStyle w:val="SemEspaamento"/>
      </w:pPr>
    </w:p>
    <w:p w14:paraId="08ABE8B4" w14:textId="77777777" w:rsidR="00CD65C2" w:rsidRDefault="00CD65C2">
      <w:pPr>
        <w:pStyle w:val="SemEspaamento"/>
      </w:pPr>
    </w:p>
    <w:p w14:paraId="460AFEFB" w14:textId="77777777" w:rsidR="00CD65C2" w:rsidRDefault="00CD65C2">
      <w:pPr>
        <w:pStyle w:val="SemEspaamento"/>
      </w:pPr>
    </w:p>
    <w:p w14:paraId="2EE4C8DD" w14:textId="77777777" w:rsidR="00CD65C2" w:rsidRDefault="00CD65C2">
      <w:pPr>
        <w:pStyle w:val="SemEspaamento"/>
      </w:pPr>
    </w:p>
    <w:p w14:paraId="19FA8C6C" w14:textId="77777777" w:rsidR="00CD65C2" w:rsidRDefault="00CD65C2">
      <w:pPr>
        <w:pStyle w:val="SemEspaamento"/>
      </w:pPr>
    </w:p>
    <w:p w14:paraId="3BE9BF4F" w14:textId="77777777" w:rsidR="00CD65C2" w:rsidRDefault="00CD65C2">
      <w:pPr>
        <w:pStyle w:val="SemEspaamento"/>
      </w:pPr>
    </w:p>
    <w:p w14:paraId="115D1CC2" w14:textId="77777777" w:rsidR="00CD65C2" w:rsidRDefault="00CD65C2">
      <w:pPr>
        <w:pStyle w:val="SemEspaamento"/>
      </w:pPr>
    </w:p>
    <w:p w14:paraId="3C24F6E6" w14:textId="77777777" w:rsidR="00CD65C2" w:rsidRDefault="00CD65C2">
      <w:pPr>
        <w:pStyle w:val="SemEspaamento"/>
      </w:pPr>
    </w:p>
    <w:p w14:paraId="7120A6C6" w14:textId="77777777" w:rsidR="00CD65C2" w:rsidRDefault="00CD65C2">
      <w:pPr>
        <w:pStyle w:val="SemEspaamento"/>
      </w:pPr>
    </w:p>
    <w:p w14:paraId="0CAAF63D" w14:textId="77777777" w:rsidR="00CD65C2" w:rsidRDefault="00CD65C2">
      <w:pPr>
        <w:pStyle w:val="SemEspaamento"/>
      </w:pPr>
    </w:p>
    <w:p w14:paraId="15B542D4" w14:textId="77777777" w:rsidR="00CD65C2" w:rsidRDefault="00CD65C2">
      <w:pPr>
        <w:pStyle w:val="SemEspaamento"/>
      </w:pPr>
    </w:p>
    <w:p w14:paraId="65D16920" w14:textId="77777777" w:rsidR="00CD65C2" w:rsidRDefault="00CD65C2">
      <w:pPr>
        <w:pStyle w:val="SemEspaamento"/>
      </w:pPr>
    </w:p>
    <w:p w14:paraId="2DBACD9D" w14:textId="77777777" w:rsidR="00CD65C2" w:rsidRDefault="00CD65C2">
      <w:pPr>
        <w:pStyle w:val="SemEspaamento"/>
      </w:pPr>
    </w:p>
    <w:p w14:paraId="726EC378" w14:textId="77777777" w:rsidR="00CD65C2" w:rsidRDefault="00CD65C2">
      <w:pPr>
        <w:pStyle w:val="SemEspaamento"/>
      </w:pPr>
    </w:p>
    <w:p w14:paraId="1E4DBEB8" w14:textId="77777777" w:rsidR="00CD65C2" w:rsidRDefault="00CD65C2">
      <w:pPr>
        <w:pStyle w:val="SemEspaamento"/>
      </w:pPr>
    </w:p>
    <w:p w14:paraId="279A5084" w14:textId="77777777" w:rsidR="00CD65C2" w:rsidRDefault="00CD65C2">
      <w:pPr>
        <w:pStyle w:val="SemEspaamento"/>
      </w:pPr>
    </w:p>
    <w:p w14:paraId="660FB037" w14:textId="77777777" w:rsidR="00CD65C2" w:rsidRDefault="00CD65C2">
      <w:pPr>
        <w:pStyle w:val="SemEspaamento"/>
      </w:pPr>
    </w:p>
    <w:p w14:paraId="02E82D23" w14:textId="77777777" w:rsidR="00CD65C2" w:rsidRDefault="00CD65C2">
      <w:pPr>
        <w:pStyle w:val="SemEspaamento"/>
      </w:pPr>
    </w:p>
    <w:p w14:paraId="2018548F" w14:textId="77777777" w:rsidR="00CD65C2" w:rsidRDefault="00CD65C2">
      <w:pPr>
        <w:pStyle w:val="SemEspaamento"/>
      </w:pPr>
    </w:p>
    <w:p w14:paraId="6070B84F" w14:textId="77777777" w:rsidR="00CD65C2" w:rsidRDefault="00CD65C2">
      <w:pPr>
        <w:pStyle w:val="SemEspaamento"/>
      </w:pPr>
    </w:p>
    <w:p w14:paraId="5F5B8EAE" w14:textId="77777777" w:rsidR="00CD65C2" w:rsidRDefault="00CD65C2">
      <w:pPr>
        <w:pStyle w:val="SemEspaamento"/>
      </w:pPr>
    </w:p>
    <w:p w14:paraId="567D9D33" w14:textId="77777777" w:rsidR="00CD65C2" w:rsidRDefault="00CD65C2">
      <w:pPr>
        <w:pStyle w:val="SemEspaamento"/>
      </w:pPr>
    </w:p>
    <w:p w14:paraId="2C048E43" w14:textId="77777777" w:rsidR="00CD65C2" w:rsidRDefault="00CD65C2">
      <w:pPr>
        <w:pStyle w:val="SemEspaamento"/>
      </w:pPr>
    </w:p>
    <w:p w14:paraId="45D266EC" w14:textId="77777777" w:rsidR="00CD65C2" w:rsidRDefault="00CD65C2">
      <w:pPr>
        <w:pStyle w:val="SemEspaamento"/>
      </w:pPr>
    </w:p>
    <w:p w14:paraId="33C3499F" w14:textId="77777777" w:rsidR="00CD65C2" w:rsidRDefault="00CD65C2">
      <w:pPr>
        <w:pStyle w:val="SemEspaamento"/>
      </w:pPr>
    </w:p>
    <w:p w14:paraId="65EC2317" w14:textId="77777777" w:rsidR="00CD65C2" w:rsidRDefault="00CD65C2">
      <w:pPr>
        <w:pStyle w:val="SemEspaamento"/>
      </w:pPr>
    </w:p>
    <w:p w14:paraId="2F0B0A64" w14:textId="77777777" w:rsidR="00CD65C2" w:rsidRDefault="00CD65C2">
      <w:pPr>
        <w:pStyle w:val="SemEspaamento"/>
      </w:pPr>
    </w:p>
    <w:p w14:paraId="559A5A6B" w14:textId="77777777" w:rsidR="00CD65C2" w:rsidRDefault="00CD65C2">
      <w:pPr>
        <w:pStyle w:val="SemEspaamento"/>
      </w:pPr>
    </w:p>
    <w:p w14:paraId="1D8BAEA3" w14:textId="77777777" w:rsidR="00CD65C2" w:rsidRDefault="00CD65C2">
      <w:pPr>
        <w:pStyle w:val="SemEspaamento"/>
      </w:pPr>
    </w:p>
    <w:p w14:paraId="12B76F0C" w14:textId="77777777" w:rsidR="00CD65C2" w:rsidRDefault="00FA41FC">
      <w:pPr>
        <w:pStyle w:val="Ttulo1"/>
        <w:jc w:val="center"/>
        <w:rPr>
          <w:rFonts w:hint="eastAsia"/>
        </w:rPr>
      </w:pPr>
      <w:bookmarkStart w:id="45" w:name="_Toc165537197"/>
      <w:r>
        <w:t>Melatonina</w:t>
      </w:r>
      <w:bookmarkEnd w:id="45"/>
    </w:p>
    <w:p w14:paraId="222BCBF2" w14:textId="77777777" w:rsidR="00CD65C2" w:rsidRPr="00D1428E" w:rsidRDefault="00FA41FC">
      <w:pPr>
        <w:pStyle w:val="Corpo"/>
        <w:jc w:val="center"/>
        <w:rPr>
          <w:rFonts w:hint="eastAsia"/>
          <w:b/>
          <w:color w:val="0070C0"/>
          <w:sz w:val="40"/>
        </w:rPr>
      </w:pPr>
      <w:r w:rsidRPr="00D1428E">
        <w:rPr>
          <w:b/>
          <w:color w:val="0070C0"/>
          <w:sz w:val="40"/>
        </w:rPr>
        <w:t>Reduz a Resistência à Insulina, Melhora a Qualidade do Sono e os Parâmetros Relacionados com a Depressão e Ansiedade</w:t>
      </w:r>
    </w:p>
    <w:p w14:paraId="053BB951" w14:textId="77777777" w:rsidR="00CD65C2" w:rsidRDefault="00CD65C2">
      <w:pPr>
        <w:pStyle w:val="Corpo"/>
        <w:rPr>
          <w:rFonts w:hint="eastAsia"/>
          <w:color w:val="404040" w:themeColor="text1" w:themeTint="BF"/>
          <w:sz w:val="24"/>
        </w:rPr>
      </w:pPr>
    </w:p>
    <w:p w14:paraId="5F4106F4" w14:textId="5FF7077E" w:rsidR="00CD65C2" w:rsidRDefault="00FA41FC">
      <w:pPr>
        <w:pStyle w:val="Corpo"/>
        <w:rPr>
          <w:rFonts w:hint="eastAsia"/>
          <w:b/>
          <w:color w:val="404040" w:themeColor="text1" w:themeTint="BF"/>
          <w:sz w:val="24"/>
        </w:rPr>
      </w:pPr>
      <w:r>
        <w:rPr>
          <w:color w:val="404040" w:themeColor="text1" w:themeTint="BF"/>
          <w:sz w:val="24"/>
        </w:rPr>
        <w:t xml:space="preserve">Este estudo conduzido por Shabani </w:t>
      </w:r>
      <w:r>
        <w:rPr>
          <w:i/>
          <w:color w:val="404040" w:themeColor="text1" w:themeTint="BF"/>
          <w:sz w:val="24"/>
        </w:rPr>
        <w:t>et al.</w:t>
      </w:r>
      <w:r>
        <w:rPr>
          <w:color w:val="404040" w:themeColor="text1" w:themeTint="BF"/>
          <w:sz w:val="24"/>
        </w:rPr>
        <w:t xml:space="preserve"> (2019) avaliou os efeitos da melatonina nos parâmetros relacionados com a saúde mental e nas alterações metabólicas em mulheres com SOPC.</w:t>
      </w:r>
    </w:p>
    <w:p w14:paraId="5CB4B720"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55520" behindDoc="0" locked="0" layoutInCell="1" allowOverlap="1">
                <wp:simplePos x="0" y="0"/>
                <wp:positionH relativeFrom="margin">
                  <wp:posOffset>5715</wp:posOffset>
                </wp:positionH>
                <wp:positionV relativeFrom="paragraph">
                  <wp:posOffset>97790</wp:posOffset>
                </wp:positionV>
                <wp:extent cx="5724525" cy="666750"/>
                <wp:effectExtent l="0" t="0" r="28575" b="19050"/>
                <wp:wrapNone/>
                <wp:docPr id="15" name="Caixa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666750"/>
                        </a:xfrm>
                        <a:prstGeom prst="rect">
                          <a:avLst/>
                        </a:prstGeom>
                        <a:solidFill>
                          <a:schemeClr val="bg1">
                            <a:lumMod val="100000"/>
                            <a:lumOff val="0"/>
                          </a:schemeClr>
                        </a:solidFill>
                        <a:ln w="9525">
                          <a:solidFill>
                            <a:srgbClr val="0070C0"/>
                          </a:solidFill>
                          <a:miter lim="800000"/>
                        </a:ln>
                      </wps:spPr>
                      <wps:txbx>
                        <w:txbxContent>
                          <w:p w14:paraId="732170EE" w14:textId="7191F4F5" w:rsidR="00FA41FC" w:rsidRDefault="00FA41FC">
                            <w:pPr>
                              <w:jc w:val="center"/>
                              <w:rPr>
                                <w:rFonts w:ascii="Swis721 Th BT" w:hAnsi="Swis721 Th BT"/>
                                <w:sz w:val="23"/>
                                <w:szCs w:val="23"/>
                              </w:rPr>
                            </w:pPr>
                            <w:r>
                              <w:rPr>
                                <w:rFonts w:ascii="Swis721 Th BT" w:hAnsi="Swis721 Th BT"/>
                                <w:sz w:val="23"/>
                                <w:szCs w:val="23"/>
                              </w:rPr>
                              <w:t>Para isso, 58 mulheres com essa condição e idades entre 18 e 40 anos participaram deste estudo clínico duplo-cego e placebo-controlado. As participantes foram randomizadas em dois grupos para receberem por 12 semanas a seguinte posologia:</w:t>
                            </w:r>
                          </w:p>
                          <w:p w14:paraId="64F65E08"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15" o:spid="_x0000_s1081" type="#_x0000_t202" style="position:absolute;left:0;text-align:left;margin-left:.45pt;margin-top:7.7pt;width:450.75pt;height:52.5pt;z-index:2517555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" fillcolor="white [3212]" strokecolor="#0070c0">
                <v:textbox>
                  <w:txbxContent>
                    <w:p w14:paraId="732170EE" w14:textId="7191F4F5" w:rsidR="00FA41FC" w:rsidRDefault="00FA41FC">
                      <w:pPr>
                        <w:jc w:val="center"/>
                        <w:rPr>
                          <w:rFonts w:ascii="Swis721 Th BT" w:hAnsi="Swis721 Th BT"/>
                          <w:sz w:val="23"/>
                          <w:szCs w:val="23"/>
                        </w:rPr>
                      </w:pPr>
                      <w:r>
                        <w:rPr>
                          <w:rFonts w:ascii="Swis721 Th BT" w:hAnsi="Swis721 Th BT"/>
                          <w:sz w:val="23"/>
                          <w:szCs w:val="23"/>
                        </w:rPr>
                        <w:t>Para isso, 58 mulheres com essa condição e idades entre 18 e 40 anos participaram deste estudo clínico duplo-cego e placebo-controlado. As participantes foram randomizadas em dois grupos para receberem por 12 semanas a seguinte posologia:</w:t>
                      </w:r>
                    </w:p>
                    <w:p w14:paraId="64F65E08"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5A82579C" w14:textId="77777777" w:rsidR="00CD65C2" w:rsidRDefault="00CD65C2">
      <w:pPr>
        <w:pStyle w:val="Corpo"/>
        <w:rPr>
          <w:rFonts w:hint="eastAsia"/>
          <w:color w:val="404040" w:themeColor="text1" w:themeTint="BF"/>
        </w:rPr>
      </w:pPr>
    </w:p>
    <w:p w14:paraId="0C59EA0C" w14:textId="77777777" w:rsidR="00CD65C2" w:rsidRDefault="00CD65C2">
      <w:pPr>
        <w:pStyle w:val="Corpo"/>
        <w:rPr>
          <w:rFonts w:hint="eastAsia"/>
          <w:color w:val="404040" w:themeColor="text1" w:themeTint="BF"/>
        </w:rPr>
      </w:pPr>
    </w:p>
    <w:p w14:paraId="70749517"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753472"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16" name="Triângulo isóscele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6" o:spid="_x0000_s1026" o:spt="5" type="#_x0000_t5" style="position:absolute;left:0pt;flip:y;margin-left:65.25pt;margin-top:0.85pt;height:10.9pt;width:17.85pt;z-index:251753472;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f64Nt1gAA&#10;AAgBAAAPAAAAAAAAAAEAIAAAACIAAABkcnMvZG93bnJldi54bWxQSwECFAAUAAAACACHTuJAcago&#10;QlkCAAClBAAADgAAAAAAAAABACAAAAAlAQAAZHJzL2Uyb0RvYy54bWxQSwUGAAAAAAYABgBZAQAA&#10;8AU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752448" behindDoc="0" locked="0" layoutInCell="1" allowOverlap="1">
                <wp:simplePos x="0" y="0"/>
                <wp:positionH relativeFrom="column">
                  <wp:posOffset>4664710</wp:posOffset>
                </wp:positionH>
                <wp:positionV relativeFrom="paragraph">
                  <wp:posOffset>10795</wp:posOffset>
                </wp:positionV>
                <wp:extent cx="226695" cy="138430"/>
                <wp:effectExtent l="0" t="0" r="1905" b="0"/>
                <wp:wrapNone/>
                <wp:docPr id="18" name="Triângulo isóscele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8" o:spid="_x0000_s1026" o:spt="5" type="#_x0000_t5" style="position:absolute;left:0pt;flip:y;margin-left:367.3pt;margin-top:0.85pt;height:10.9pt;width:17.85pt;z-index:251752448;mso-width-relative:page;mso-height-relative:page;" fillcolor="#D9D9D9 [3212]" filled="t" stroked="f" coordsize="21600,21600" o:gfxdata="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qyKZW1gAA&#10;AAgBAAAPAAAAAAAAAAEAIAAAACIAAABkcnMvZG93bnJldi54bWxQSwECFAAUAAAACACHTuJAP6RU&#10;J1kCAAClBAAADgAAAAAAAAABACAAAAAlAQAAZHJzL2Uyb0RvYy54bWxQSwUGAAAAAAYABgBZAQAA&#10;8AUAAAAA&#10;" adj="10800">
                <v:fill on="t" focussize="0,0"/>
                <v:stroke on="f"/>
                <v:imagedata o:title=""/>
                <o:lock v:ext="edit" aspectratio="f"/>
              </v:shape>
            </w:pict>
          </mc:Fallback>
        </mc:AlternateContent>
      </w:r>
    </w:p>
    <w:p w14:paraId="43887F2D"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751424" behindDoc="0" locked="0" layoutInCell="1" allowOverlap="1">
                <wp:simplePos x="0" y="0"/>
                <wp:positionH relativeFrom="column">
                  <wp:posOffset>-5715</wp:posOffset>
                </wp:positionH>
                <wp:positionV relativeFrom="paragraph">
                  <wp:posOffset>88900</wp:posOffset>
                </wp:positionV>
                <wp:extent cx="1913890" cy="781685"/>
                <wp:effectExtent l="0" t="0" r="10160" b="18415"/>
                <wp:wrapNone/>
                <wp:docPr id="25" name="Caixa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1B2E0822"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Melatonina 5 mg</w:t>
                            </w:r>
                          </w:p>
                          <w:p w14:paraId="4FFACB47"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 1 hora antes de dormir</w:t>
                            </w:r>
                          </w:p>
                          <w:p w14:paraId="63555535"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25" o:spid="_x0000_s1082" type="#_x0000_t202" style="position:absolute;left:0;text-align:left;margin-left:-.45pt;margin-top:7pt;width:150.7pt;height:61.55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" fillcolor="#0070c0" strokecolor="#0070c0">
                <v:textbox>
                  <w:txbxContent>
                    <w:p w14:paraId="1B2E0822"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Melatonina 5 mg</w:t>
                      </w:r>
                    </w:p>
                    <w:p w14:paraId="4FFACB47"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 1 hora antes de dormir</w:t>
                      </w:r>
                    </w:p>
                    <w:p w14:paraId="63555535"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754496" behindDoc="0" locked="0" layoutInCell="1" allowOverlap="1">
                <wp:simplePos x="0" y="0"/>
                <wp:positionH relativeFrom="column">
                  <wp:posOffset>3839210</wp:posOffset>
                </wp:positionH>
                <wp:positionV relativeFrom="paragraph">
                  <wp:posOffset>88900</wp:posOffset>
                </wp:positionV>
                <wp:extent cx="1905000" cy="781685"/>
                <wp:effectExtent l="0" t="0" r="19050" b="18415"/>
                <wp:wrapNone/>
                <wp:docPr id="26" name="Caixa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2982BD46"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17A3EDFD" w14:textId="77777777" w:rsidR="00FA41FC" w:rsidRDefault="00FA41FC">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26" o:spid="_x0000_s1083" type="#_x0000_t202" style="position:absolute;left:0;text-align:left;margin-left:302.3pt;margin-top:7pt;width:150pt;height:61.55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" fillcolor="#0070c0" strokecolor="#0070c0">
                <v:textbox>
                  <w:txbxContent>
                    <w:p w14:paraId="2982BD46"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17A3EDFD" w14:textId="77777777" w:rsidR="00FA41FC" w:rsidRDefault="00FA41FC">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14:paraId="06EDC84C" w14:textId="77777777" w:rsidR="00CD65C2" w:rsidRDefault="00CD65C2">
      <w:pPr>
        <w:pStyle w:val="Corpo"/>
        <w:rPr>
          <w:rFonts w:hint="eastAsia"/>
          <w:color w:val="404040" w:themeColor="text1" w:themeTint="BF"/>
        </w:rPr>
      </w:pPr>
    </w:p>
    <w:p w14:paraId="6B29C6BA" w14:textId="77777777" w:rsidR="00CD65C2" w:rsidRDefault="00CD65C2">
      <w:pPr>
        <w:pStyle w:val="Corpo"/>
        <w:rPr>
          <w:rFonts w:hint="eastAsia"/>
          <w:color w:val="404040" w:themeColor="text1" w:themeTint="BF"/>
        </w:rPr>
      </w:pPr>
    </w:p>
    <w:p w14:paraId="3CB9B379" w14:textId="77777777" w:rsidR="00CD65C2" w:rsidRDefault="00CD65C2">
      <w:pPr>
        <w:pStyle w:val="Corpo"/>
        <w:rPr>
          <w:rFonts w:hint="eastAsia"/>
          <w:color w:val="404040" w:themeColor="text1" w:themeTint="BF"/>
        </w:rPr>
      </w:pPr>
    </w:p>
    <w:p w14:paraId="3B2703FF" w14:textId="77777777" w:rsidR="00CD65C2" w:rsidRDefault="00CD65C2">
      <w:pPr>
        <w:pStyle w:val="Corpo"/>
        <w:rPr>
          <w:rFonts w:hint="eastAsia"/>
          <w:color w:val="404040" w:themeColor="text1" w:themeTint="BF"/>
          <w:sz w:val="20"/>
        </w:rPr>
      </w:pPr>
    </w:p>
    <w:p w14:paraId="62D11BB6"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0B20F94D"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0B08ACD5" w14:textId="77777777" w:rsidR="00CD65C2" w:rsidRDefault="00CD65C2">
      <w:pPr>
        <w:pStyle w:val="Corpo"/>
        <w:rPr>
          <w:rFonts w:hint="eastAsia"/>
          <w:b/>
          <w:color w:val="404040" w:themeColor="text1" w:themeTint="BF"/>
          <w:szCs w:val="23"/>
        </w:rPr>
      </w:pPr>
    </w:p>
    <w:p w14:paraId="66DB2126" w14:textId="77777777" w:rsidR="00CD65C2" w:rsidRDefault="00FA41FC">
      <w:pPr>
        <w:pStyle w:val="Corpo"/>
        <w:numPr>
          <w:ilvl w:val="0"/>
          <w:numId w:val="24"/>
        </w:numPr>
        <w:rPr>
          <w:rFonts w:hint="eastAsia"/>
          <w:color w:val="404040" w:themeColor="text1" w:themeTint="BF"/>
          <w:szCs w:val="23"/>
        </w:rPr>
      </w:pPr>
      <w:r>
        <w:rPr>
          <w:color w:val="404040" w:themeColor="text1" w:themeTint="BF"/>
          <w:szCs w:val="23"/>
        </w:rPr>
        <w:t xml:space="preserve">A suplementação de melatonina reduziu de maneira significativa os escores do </w:t>
      </w:r>
      <w:r>
        <w:rPr>
          <w:i/>
          <w:color w:val="404040" w:themeColor="text1" w:themeTint="BF"/>
          <w:szCs w:val="23"/>
        </w:rPr>
        <w:t>Pittsburgh Sleep Quality Index</w:t>
      </w:r>
      <w:r>
        <w:rPr>
          <w:color w:val="404040" w:themeColor="text1" w:themeTint="BF"/>
          <w:szCs w:val="23"/>
        </w:rPr>
        <w:t xml:space="preserve"> (-2,15 – IC: -3,62 a -0,68 – p=0,005), do </w:t>
      </w:r>
      <w:r>
        <w:rPr>
          <w:i/>
          <w:color w:val="404040" w:themeColor="text1" w:themeTint="BF"/>
          <w:szCs w:val="23"/>
        </w:rPr>
        <w:t>Beck Depression Inventory Index</w:t>
      </w:r>
      <w:r>
        <w:rPr>
          <w:color w:val="404040" w:themeColor="text1" w:themeTint="BF"/>
          <w:szCs w:val="23"/>
        </w:rPr>
        <w:t xml:space="preserve"> (-3,62 – IC: -5,53 a -1,78 – p &lt; 0,001) e </w:t>
      </w:r>
      <w:r>
        <w:rPr>
          <w:i/>
          <w:color w:val="404040" w:themeColor="text1" w:themeTint="BF"/>
          <w:szCs w:val="23"/>
        </w:rPr>
        <w:t>Beck Anxiety Inventory Index</w:t>
      </w:r>
      <w:r>
        <w:rPr>
          <w:color w:val="404040" w:themeColor="text1" w:themeTint="BF"/>
          <w:szCs w:val="23"/>
        </w:rPr>
        <w:t xml:space="preserve"> (-1,95– IC: -3,41 a -0,48 – p &lt; 0,01) em comparação com o placebo;</w:t>
      </w:r>
    </w:p>
    <w:p w14:paraId="7F938A5D" w14:textId="36B23BC4" w:rsidR="00CD65C2" w:rsidRDefault="00FA41FC">
      <w:pPr>
        <w:pStyle w:val="Corpo"/>
        <w:numPr>
          <w:ilvl w:val="0"/>
          <w:numId w:val="24"/>
        </w:numPr>
        <w:rPr>
          <w:rFonts w:hint="eastAsia"/>
          <w:color w:val="404040" w:themeColor="text1" w:themeTint="BF"/>
          <w:szCs w:val="23"/>
        </w:rPr>
      </w:pPr>
      <w:r>
        <w:rPr>
          <w:color w:val="404040" w:themeColor="text1" w:themeTint="BF"/>
          <w:szCs w:val="23"/>
        </w:rPr>
        <w:t>A administração de melatonina, comparado com o placebo, reduziu significativamente os níveis séricos da insulina (-1,20 µlU/ml – IC: -2,14 a -0,26 – p &lt; 0,01), HOMA-IR (</w:t>
      </w:r>
      <w:r>
        <w:rPr>
          <w:i/>
          <w:color w:val="404040" w:themeColor="text1" w:themeTint="BF"/>
          <w:szCs w:val="23"/>
        </w:rPr>
        <w:t xml:space="preserve">Homeostasis Modelo f Assessment-Insulin Resistance; </w:t>
      </w:r>
      <w:r>
        <w:rPr>
          <w:color w:val="404040" w:themeColor="text1" w:themeTint="BF"/>
          <w:szCs w:val="23"/>
        </w:rPr>
        <w:t>-0,28 – IC: -0,50 a -0,05 – p = 0,01) e os níveis de colesterol LDL (-5,88 mg/dl – IC: -11,42 a -0,33 – p = 0,03);</w:t>
      </w:r>
    </w:p>
    <w:p w14:paraId="5A3010A3" w14:textId="77777777" w:rsidR="00CD65C2" w:rsidRDefault="00FA41FC">
      <w:pPr>
        <w:pStyle w:val="Corpo"/>
        <w:numPr>
          <w:ilvl w:val="0"/>
          <w:numId w:val="24"/>
        </w:numPr>
        <w:rPr>
          <w:rFonts w:hint="eastAsia"/>
          <w:color w:val="404040" w:themeColor="text1" w:themeTint="BF"/>
          <w:szCs w:val="23"/>
        </w:rPr>
      </w:pPr>
      <w:r>
        <w:rPr>
          <w:color w:val="404040" w:themeColor="text1" w:themeTint="BF"/>
          <w:szCs w:val="23"/>
        </w:rPr>
        <w:t xml:space="preserve">Houve um aumento significativo no </w:t>
      </w:r>
      <w:r>
        <w:rPr>
          <w:i/>
          <w:color w:val="404040" w:themeColor="text1" w:themeTint="BF"/>
          <w:szCs w:val="23"/>
        </w:rPr>
        <w:t xml:space="preserve">Quantitative Insulin Sensitivity Check Index </w:t>
      </w:r>
      <w:r>
        <w:rPr>
          <w:color w:val="404040" w:themeColor="text1" w:themeTint="BF"/>
          <w:szCs w:val="23"/>
        </w:rPr>
        <w:t>(0,008 – IC: -0,002 a 0,014 – p = 0,007) no grupo tratado com melatonina quando comparado com o placebo;</w:t>
      </w:r>
    </w:p>
    <w:p w14:paraId="00FB2AFD" w14:textId="57A179FA" w:rsidR="00CD65C2" w:rsidRDefault="00FA41FC">
      <w:pPr>
        <w:pStyle w:val="Corpo"/>
        <w:numPr>
          <w:ilvl w:val="0"/>
          <w:numId w:val="24"/>
        </w:numPr>
        <w:rPr>
          <w:rFonts w:hint="eastAsia"/>
          <w:color w:val="404040" w:themeColor="text1" w:themeTint="BF"/>
          <w:szCs w:val="23"/>
        </w:rPr>
      </w:pPr>
      <w:r>
        <w:rPr>
          <w:color w:val="404040" w:themeColor="text1" w:themeTint="BF"/>
          <w:szCs w:val="23"/>
        </w:rPr>
        <w:t xml:space="preserve">A melatonina promoveu </w:t>
      </w:r>
      <w:r w:rsidRPr="00D1428E">
        <w:rPr>
          <w:rFonts w:hint="eastAsia"/>
          <w:i/>
          <w:iCs/>
          <w:color w:val="404040" w:themeColor="text1" w:themeTint="BF"/>
          <w:szCs w:val="23"/>
        </w:rPr>
        <w:t xml:space="preserve">upregulation </w:t>
      </w:r>
      <w:r>
        <w:rPr>
          <w:color w:val="404040" w:themeColor="text1" w:themeTint="BF"/>
          <w:szCs w:val="23"/>
        </w:rPr>
        <w:t xml:space="preserve">na expressão dos genes do </w:t>
      </w:r>
      <w:r>
        <w:rPr>
          <w:i/>
          <w:color w:val="404040" w:themeColor="text1" w:themeTint="BF"/>
          <w:szCs w:val="23"/>
        </w:rPr>
        <w:t xml:space="preserve">Peroxisome Prolifertor-Actived Receptor Gamma </w:t>
      </w:r>
      <w:r>
        <w:rPr>
          <w:color w:val="404040" w:themeColor="text1" w:themeTint="BF"/>
          <w:szCs w:val="23"/>
        </w:rPr>
        <w:t>(PPAR-</w:t>
      </w:r>
      <w:r>
        <w:rPr>
          <w:rFonts w:ascii="Calibri" w:hAnsi="Calibri" w:cs="Calibri"/>
          <w:color w:val="404040" w:themeColor="text1" w:themeTint="BF"/>
          <w:szCs w:val="23"/>
        </w:rPr>
        <w:t>γ</w:t>
      </w:r>
      <w:r>
        <w:rPr>
          <w:color w:val="404040" w:themeColor="text1" w:themeTint="BF"/>
          <w:szCs w:val="23"/>
        </w:rPr>
        <w:t>) e nos receptores do colesterol LDL (LDLR; p = 0,01) em comparação com o placebo.</w:t>
      </w:r>
    </w:p>
    <w:p w14:paraId="3EACE35C"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099B03CA"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 xml:space="preserve">Conclusão: </w:t>
      </w:r>
    </w:p>
    <w:p w14:paraId="1AED0047"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1130577F" w14:textId="77777777" w:rsidR="00CD65C2" w:rsidRDefault="00FA41FC">
      <w:pPr>
        <w:pStyle w:val="Corpo"/>
        <w:jc w:val="center"/>
        <w:rPr>
          <w:rFonts w:hint="eastAsia"/>
          <w:b/>
          <w:i/>
          <w:color w:val="404040" w:themeColor="text1" w:themeTint="BF"/>
        </w:rPr>
      </w:pPr>
      <w:r>
        <w:rPr>
          <w:b/>
          <w:i/>
          <w:color w:val="404040" w:themeColor="text1" w:themeTint="BF"/>
        </w:rPr>
        <w:t>A suplementação de melatonina por 12 semanas apresentou efeitos benéficos nos parâmetros mentais e metabólicos em pacientes com SOPC.</w:t>
      </w:r>
    </w:p>
    <w:p w14:paraId="0699635B" w14:textId="77777777" w:rsidR="00CD65C2" w:rsidRDefault="00FA41FC">
      <w:pPr>
        <w:pStyle w:val="Ttulo1"/>
        <w:jc w:val="center"/>
        <w:rPr>
          <w:rFonts w:hint="eastAsia"/>
        </w:rPr>
      </w:pPr>
      <w:bookmarkStart w:id="46" w:name="_Toc165537198"/>
      <w:r>
        <w:t>Formulário</w:t>
      </w:r>
      <w:bookmarkEnd w:id="46"/>
    </w:p>
    <w:p w14:paraId="458540B9" w14:textId="77777777" w:rsidR="00CD65C2" w:rsidRDefault="00CD65C2">
      <w:pPr>
        <w:pStyle w:val="Corpo"/>
        <w:rPr>
          <w:rFonts w:hint="eastAsia"/>
          <w:b/>
          <w:i/>
          <w:color w:val="404040" w:themeColor="text1" w:themeTint="BF"/>
        </w:rPr>
      </w:pPr>
    </w:p>
    <w:p w14:paraId="2410C88F" w14:textId="77777777" w:rsidR="00CD65C2" w:rsidRDefault="00CD65C2">
      <w:pPr>
        <w:pStyle w:val="Corpo"/>
        <w:rPr>
          <w:rFonts w:hint="eastAsia"/>
          <w:b/>
          <w:i/>
          <w:color w:val="404040" w:themeColor="text1" w:themeTint="BF"/>
        </w:rPr>
      </w:pPr>
    </w:p>
    <w:p w14:paraId="32EAD723" w14:textId="77777777" w:rsidR="00CD65C2" w:rsidRDefault="00FA41FC">
      <w:pPr>
        <w:pStyle w:val="Corpo"/>
        <w:rPr>
          <w:rFonts w:hint="eastAsia"/>
          <w:b/>
          <w:i/>
          <w:color w:val="404040" w:themeColor="text1" w:themeTint="BF"/>
          <w:sz w:val="24"/>
        </w:rPr>
      </w:pPr>
      <w:r>
        <w:rPr>
          <w:b/>
          <w:i/>
          <w:color w:val="404040" w:themeColor="text1" w:themeTint="BF"/>
          <w:sz w:val="24"/>
        </w:rPr>
        <w:t xml:space="preserve">Uso de Melatonina Melhora os Distúrbios Associados com os Ovários Policísticos </w:t>
      </w:r>
    </w:p>
    <w:p w14:paraId="764C349A"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3E84A7D6"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648ADE72" w14:textId="77777777" w:rsidR="00CD65C2" w:rsidRDefault="00FA41FC">
            <w:pPr>
              <w:pStyle w:val="Corpo"/>
              <w:jc w:val="center"/>
              <w:rPr>
                <w:rFonts w:hint="eastAsia"/>
                <w:b/>
                <w:color w:val="FFFFFF" w:themeColor="background1"/>
              </w:rPr>
            </w:pPr>
            <w:r>
              <w:rPr>
                <w:b/>
                <w:color w:val="FFFFFF" w:themeColor="background1"/>
                <w:sz w:val="22"/>
              </w:rPr>
              <w:t>Cápsulas de Melatonina</w:t>
            </w:r>
          </w:p>
        </w:tc>
      </w:tr>
      <w:tr w:rsidR="00CD65C2" w14:paraId="42D44ECB"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2279037" w14:textId="77777777" w:rsidR="00CD65C2" w:rsidRDefault="00FA41FC">
            <w:pPr>
              <w:pStyle w:val="Corpo"/>
              <w:jc w:val="center"/>
              <w:rPr>
                <w:rFonts w:hint="eastAsia"/>
                <w:b/>
                <w:color w:val="404040" w:themeColor="text1" w:themeTint="BF"/>
              </w:rPr>
            </w:pPr>
            <w:r>
              <w:rPr>
                <w:color w:val="404040" w:themeColor="text1" w:themeTint="BF"/>
              </w:rPr>
              <w:t>Melatonina..........................................5 mg</w:t>
            </w:r>
          </w:p>
        </w:tc>
      </w:tr>
      <w:tr w:rsidR="00CD65C2" w14:paraId="4F100A47" w14:textId="77777777">
        <w:trPr>
          <w:trHeight w:val="443"/>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5DFA028" w14:textId="68D14C2D" w:rsidR="00CD65C2" w:rsidRDefault="00FA41FC">
            <w:pPr>
              <w:pStyle w:val="Corpo"/>
              <w:jc w:val="center"/>
              <w:rPr>
                <w:rFonts w:hint="eastAsia"/>
                <w:b/>
                <w:color w:val="404040" w:themeColor="text1" w:themeTint="BF"/>
              </w:rPr>
            </w:pPr>
            <w:r>
              <w:rPr>
                <w:color w:val="404040" w:themeColor="text1" w:themeTint="BF"/>
              </w:rPr>
              <w:t>Excipiente q.s.p. ........................1 Cápsula</w:t>
            </w:r>
          </w:p>
        </w:tc>
      </w:tr>
    </w:tbl>
    <w:p w14:paraId="35672747" w14:textId="40644AD1" w:rsidR="00CD65C2" w:rsidRDefault="00FA41FC">
      <w:pPr>
        <w:pStyle w:val="Corpo"/>
        <w:ind w:right="4960"/>
        <w:jc w:val="center"/>
        <w:rPr>
          <w:rFonts w:hint="eastAsia"/>
          <w:color w:val="404040" w:themeColor="text1" w:themeTint="BF"/>
          <w:sz w:val="22"/>
          <w:szCs w:val="22"/>
        </w:rPr>
      </w:pPr>
      <w:r>
        <w:rPr>
          <w:color w:val="404040" w:themeColor="text1" w:themeTint="BF"/>
          <w:sz w:val="22"/>
          <w:szCs w:val="22"/>
        </w:rPr>
        <w:t>Administrar 1 cápsula duas vezes ao dia ou conforme a orientação médica.</w:t>
      </w:r>
    </w:p>
    <w:p w14:paraId="515A8E55" w14:textId="77777777" w:rsidR="00CD65C2" w:rsidRDefault="00CD65C2">
      <w:pPr>
        <w:pStyle w:val="SemEspaamento"/>
      </w:pPr>
    </w:p>
    <w:p w14:paraId="1A132DEB" w14:textId="77777777" w:rsidR="00CD65C2" w:rsidRDefault="00CD65C2">
      <w:pPr>
        <w:pStyle w:val="SemEspaamento"/>
      </w:pPr>
    </w:p>
    <w:p w14:paraId="6CD55E72" w14:textId="77777777" w:rsidR="00CD65C2" w:rsidRDefault="00CD65C2">
      <w:pPr>
        <w:pStyle w:val="SemEspaamento"/>
      </w:pPr>
    </w:p>
    <w:p w14:paraId="50951F98" w14:textId="77777777" w:rsidR="00CD65C2" w:rsidRDefault="00CD65C2">
      <w:pPr>
        <w:pStyle w:val="SemEspaamento"/>
      </w:pPr>
    </w:p>
    <w:p w14:paraId="03E9DE84" w14:textId="77777777" w:rsidR="00CD65C2" w:rsidRDefault="00CD65C2">
      <w:pPr>
        <w:pStyle w:val="SemEspaamento"/>
      </w:pPr>
    </w:p>
    <w:p w14:paraId="3E0A2EB1" w14:textId="77777777" w:rsidR="00CD65C2" w:rsidRDefault="00CD65C2">
      <w:pPr>
        <w:pStyle w:val="SemEspaamento"/>
      </w:pPr>
    </w:p>
    <w:p w14:paraId="27AE13BE" w14:textId="77777777" w:rsidR="00CD65C2" w:rsidRDefault="00CD65C2">
      <w:pPr>
        <w:pStyle w:val="SemEspaamento"/>
      </w:pPr>
    </w:p>
    <w:p w14:paraId="5C3838E3" w14:textId="77777777" w:rsidR="00CD65C2" w:rsidRDefault="00CD65C2">
      <w:pPr>
        <w:pStyle w:val="SemEspaamento"/>
      </w:pPr>
    </w:p>
    <w:p w14:paraId="73EB46A3" w14:textId="77777777" w:rsidR="00CD65C2" w:rsidRDefault="00CD65C2">
      <w:pPr>
        <w:pStyle w:val="SemEspaamento"/>
      </w:pPr>
    </w:p>
    <w:p w14:paraId="2401C3D1" w14:textId="77777777" w:rsidR="00CD65C2" w:rsidRDefault="00CD65C2">
      <w:pPr>
        <w:pStyle w:val="SemEspaamento"/>
      </w:pPr>
    </w:p>
    <w:p w14:paraId="72C1F247" w14:textId="77777777" w:rsidR="00CD65C2" w:rsidRDefault="00CD65C2">
      <w:pPr>
        <w:pStyle w:val="SemEspaamento"/>
      </w:pPr>
    </w:p>
    <w:p w14:paraId="15788754" w14:textId="77777777" w:rsidR="00CD65C2" w:rsidRDefault="00CD65C2">
      <w:pPr>
        <w:pStyle w:val="SemEspaamento"/>
      </w:pPr>
    </w:p>
    <w:p w14:paraId="4BEC6CF8" w14:textId="77777777" w:rsidR="00CD65C2" w:rsidRDefault="00CD65C2">
      <w:pPr>
        <w:pStyle w:val="SemEspaamento"/>
      </w:pPr>
    </w:p>
    <w:p w14:paraId="481D3C90" w14:textId="77777777" w:rsidR="00CD65C2" w:rsidRDefault="00CD65C2">
      <w:pPr>
        <w:pStyle w:val="SemEspaamento"/>
      </w:pPr>
    </w:p>
    <w:p w14:paraId="24A92B51" w14:textId="77777777" w:rsidR="00CD65C2" w:rsidRDefault="00CD65C2">
      <w:pPr>
        <w:pStyle w:val="SemEspaamento"/>
      </w:pPr>
    </w:p>
    <w:p w14:paraId="08EF9573" w14:textId="77777777" w:rsidR="00CD65C2" w:rsidRDefault="00CD65C2">
      <w:pPr>
        <w:pStyle w:val="SemEspaamento"/>
      </w:pPr>
    </w:p>
    <w:p w14:paraId="6A451A24" w14:textId="77777777" w:rsidR="00CD65C2" w:rsidRDefault="00CD65C2">
      <w:pPr>
        <w:pStyle w:val="SemEspaamento"/>
      </w:pPr>
    </w:p>
    <w:p w14:paraId="7808CE36" w14:textId="77777777" w:rsidR="00CD65C2" w:rsidRDefault="00CD65C2">
      <w:pPr>
        <w:pStyle w:val="SemEspaamento"/>
      </w:pPr>
    </w:p>
    <w:p w14:paraId="04DBE67B" w14:textId="77777777" w:rsidR="00CD65C2" w:rsidRDefault="00CD65C2">
      <w:pPr>
        <w:pStyle w:val="SemEspaamento"/>
      </w:pPr>
    </w:p>
    <w:p w14:paraId="0325AFB7" w14:textId="77777777" w:rsidR="00CD65C2" w:rsidRDefault="00CD65C2">
      <w:pPr>
        <w:pStyle w:val="SemEspaamento"/>
      </w:pPr>
    </w:p>
    <w:p w14:paraId="57D2A757" w14:textId="77777777" w:rsidR="00CD65C2" w:rsidRDefault="00CD65C2">
      <w:pPr>
        <w:pStyle w:val="SemEspaamento"/>
      </w:pPr>
    </w:p>
    <w:p w14:paraId="476AA6B9" w14:textId="77777777" w:rsidR="00CD65C2" w:rsidRDefault="00CD65C2">
      <w:pPr>
        <w:pStyle w:val="SemEspaamento"/>
      </w:pPr>
    </w:p>
    <w:p w14:paraId="618AEA30" w14:textId="77777777" w:rsidR="00CD65C2" w:rsidRDefault="00CD65C2">
      <w:pPr>
        <w:pStyle w:val="SemEspaamento"/>
      </w:pPr>
    </w:p>
    <w:p w14:paraId="29470B41" w14:textId="77777777" w:rsidR="00CD65C2" w:rsidRDefault="00CD65C2">
      <w:pPr>
        <w:pStyle w:val="SemEspaamento"/>
      </w:pPr>
    </w:p>
    <w:p w14:paraId="258791F5" w14:textId="77777777" w:rsidR="00CD65C2" w:rsidRDefault="00CD65C2">
      <w:pPr>
        <w:pStyle w:val="SemEspaamento"/>
      </w:pPr>
    </w:p>
    <w:p w14:paraId="5CF73992" w14:textId="77777777" w:rsidR="00CD65C2" w:rsidRDefault="00CD65C2">
      <w:pPr>
        <w:pStyle w:val="SemEspaamento"/>
      </w:pPr>
    </w:p>
    <w:p w14:paraId="13688084" w14:textId="77777777" w:rsidR="00CD65C2" w:rsidRDefault="00FA41FC">
      <w:pPr>
        <w:pStyle w:val="Ttulo1"/>
        <w:jc w:val="center"/>
        <w:rPr>
          <w:rFonts w:hint="eastAsia"/>
        </w:rPr>
      </w:pPr>
      <w:bookmarkStart w:id="47" w:name="_Toc165537199"/>
      <w:r>
        <w:t>Probióticos</w:t>
      </w:r>
      <w:bookmarkEnd w:id="47"/>
    </w:p>
    <w:p w14:paraId="2B16FFB4" w14:textId="77777777" w:rsidR="00CD65C2" w:rsidRPr="00D1428E" w:rsidRDefault="00FA41FC">
      <w:pPr>
        <w:pStyle w:val="Corpo"/>
        <w:jc w:val="center"/>
        <w:rPr>
          <w:rFonts w:hint="eastAsia"/>
          <w:b/>
          <w:color w:val="0070C0"/>
          <w:sz w:val="40"/>
        </w:rPr>
      </w:pPr>
      <w:r w:rsidRPr="00D1428E">
        <w:rPr>
          <w:b/>
          <w:color w:val="0070C0"/>
          <w:sz w:val="40"/>
        </w:rPr>
        <w:t>Melhora os Parâmetros Metabólicos em Mulheres Obesas e com SOPC</w:t>
      </w:r>
    </w:p>
    <w:p w14:paraId="2C5C5543" w14:textId="77777777" w:rsidR="00CD65C2" w:rsidRDefault="00CD65C2">
      <w:pPr>
        <w:pStyle w:val="Corpo"/>
        <w:rPr>
          <w:rFonts w:hint="eastAsia"/>
          <w:color w:val="404040" w:themeColor="text1" w:themeTint="BF"/>
          <w:sz w:val="24"/>
        </w:rPr>
      </w:pPr>
    </w:p>
    <w:p w14:paraId="6D3FC002" w14:textId="6297000D" w:rsidR="00CD65C2" w:rsidRDefault="00FA41FC">
      <w:pPr>
        <w:pStyle w:val="Subtitulocorpo"/>
        <w:spacing w:line="276" w:lineRule="auto"/>
        <w:jc w:val="both"/>
        <w:rPr>
          <w:rStyle w:val="CorpoChar"/>
          <w:rFonts w:hint="eastAsia"/>
          <w:b w:val="0"/>
          <w:bCs/>
          <w:color w:val="404040" w:themeColor="text1" w:themeTint="BF"/>
        </w:rPr>
      </w:pPr>
      <w:r>
        <w:rPr>
          <w:b w:val="0"/>
          <w:color w:val="404040" w:themeColor="text1" w:themeTint="BF"/>
          <w:sz w:val="23"/>
          <w:szCs w:val="23"/>
        </w:rPr>
        <w:t xml:space="preserve">Um estudo conduzido por Darvishi </w:t>
      </w:r>
      <w:r>
        <w:rPr>
          <w:b w:val="0"/>
          <w:i/>
          <w:iCs/>
          <w:color w:val="404040" w:themeColor="text1" w:themeTint="BF"/>
          <w:sz w:val="23"/>
          <w:szCs w:val="23"/>
        </w:rPr>
        <w:t>et al</w:t>
      </w:r>
      <w:r>
        <w:rPr>
          <w:b w:val="0"/>
          <w:color w:val="404040" w:themeColor="text1" w:themeTint="BF"/>
          <w:sz w:val="23"/>
          <w:szCs w:val="23"/>
        </w:rPr>
        <w:t>. (2021) teve como objetivo avaliar os efeitos de uma suplementação simbiótica nos níveis séricos de glicose, no perfil lipídico e nos níveis de apelina em mulheres com a síndrome dos ovários policísticos (SOPC).</w:t>
      </w:r>
      <w:r>
        <w:rPr>
          <w:b w:val="0"/>
          <w:bCs/>
        </w:rPr>
        <w:t xml:space="preserve"> </w:t>
      </w:r>
    </w:p>
    <w:p w14:paraId="41B5F04E" w14:textId="77777777" w:rsidR="00CD65C2" w:rsidRDefault="00CD65C2">
      <w:pPr>
        <w:pStyle w:val="Subtitulocorpo"/>
        <w:spacing w:line="276" w:lineRule="auto"/>
        <w:jc w:val="both"/>
        <w:rPr>
          <w:rStyle w:val="CorpoChar"/>
          <w:rFonts w:hint="eastAsia"/>
          <w:b w:val="0"/>
          <w:bCs/>
          <w:color w:val="404040" w:themeColor="text1" w:themeTint="BF"/>
          <w:sz w:val="16"/>
          <w:szCs w:val="16"/>
        </w:rPr>
      </w:pPr>
    </w:p>
    <w:p w14:paraId="7BD0C99B" w14:textId="77777777" w:rsidR="00CD65C2" w:rsidRDefault="00FA41FC">
      <w:pPr>
        <w:pStyle w:val="Subtitulocorpo"/>
        <w:rPr>
          <w:rFonts w:hint="eastAsia"/>
          <w:b w:val="0"/>
          <w:color w:val="404040" w:themeColor="text1" w:themeTint="BF"/>
          <w:sz w:val="23"/>
          <w:szCs w:val="24"/>
        </w:rPr>
      </w:pPr>
      <w:r>
        <w:rPr>
          <w:rFonts w:asciiTheme="minorHAnsi" w:eastAsiaTheme="minorHAnsi" w:hAnsiTheme="minorHAnsi" w:cs="Calibri"/>
          <w:bCs/>
          <w:noProof/>
          <w:color w:val="auto"/>
          <w:sz w:val="24"/>
          <w:lang w:eastAsia="pt-BR"/>
        </w:rPr>
        <mc:AlternateContent>
          <mc:Choice Requires="wps">
            <w:drawing>
              <wp:anchor distT="0" distB="0" distL="114300" distR="114300" simplePos="0" relativeHeight="251744256" behindDoc="0" locked="0" layoutInCell="1" allowOverlap="1">
                <wp:simplePos x="0" y="0"/>
                <wp:positionH relativeFrom="margin">
                  <wp:align>left</wp:align>
                </wp:positionH>
                <wp:positionV relativeFrom="paragraph">
                  <wp:posOffset>74930</wp:posOffset>
                </wp:positionV>
                <wp:extent cx="5780405" cy="885825"/>
                <wp:effectExtent l="0" t="0" r="10795" b="28575"/>
                <wp:wrapNone/>
                <wp:docPr id="255" name="Caixa de Texto 3"/>
                <wp:cNvGraphicFramePr/>
                <a:graphic xmlns:a="http://schemas.openxmlformats.org/drawingml/2006/main">
                  <a:graphicData uri="http://schemas.microsoft.com/office/word/2010/wordprocessingShape">
                    <wps:wsp>
                      <wps:cNvSpPr txBox="1"/>
                      <wps:spPr>
                        <a:xfrm>
                          <a:off x="0" y="0"/>
                          <a:ext cx="5780405" cy="886129"/>
                        </a:xfrm>
                        <a:prstGeom prst="rect">
                          <a:avLst/>
                        </a:prstGeom>
                        <a:noFill/>
                        <a:ln w="6350">
                          <a:solidFill>
                            <a:srgbClr val="0070C0"/>
                          </a:solidFill>
                        </a:ln>
                      </wps:spPr>
                      <wps:txbx>
                        <w:txbxContent>
                          <w:p w14:paraId="09339041" w14:textId="076F5EA8" w:rsidR="00FA41FC" w:rsidRDefault="00FA41FC">
                            <w:pPr>
                              <w:pStyle w:val="Subtitulocorpo"/>
                              <w:spacing w:line="276" w:lineRule="auto"/>
                              <w:rPr>
                                <w:rFonts w:hint="eastAsia"/>
                                <w:b w:val="0"/>
                                <w:color w:val="404040" w:themeColor="text1" w:themeTint="BF"/>
                                <w:sz w:val="23"/>
                                <w:szCs w:val="24"/>
                              </w:rPr>
                            </w:pPr>
                            <w:r>
                              <w:rPr>
                                <w:b w:val="0"/>
                                <w:color w:val="404040" w:themeColor="text1" w:themeTint="BF"/>
                                <w:sz w:val="23"/>
                                <w:szCs w:val="24"/>
                              </w:rPr>
                              <w:t>Para isso, 68 mulheres obesas ou sobrepesadas com idades entre 20 e 44 anos foram selecionadas para participarem deste estudo clínico, randomizado, duplo-cego e controlado por placebo. Elas foram divididas em dois grupos para recebem por oito semanas a seguinte posologia:</w:t>
                            </w:r>
                          </w:p>
                          <w:p w14:paraId="1A31B674" w14:textId="77777777" w:rsidR="00FA41FC" w:rsidRDefault="00FA41FC">
                            <w:pPr>
                              <w:pStyle w:val="Corpo"/>
                              <w:spacing w:line="276" w:lineRule="auto"/>
                              <w:jc w:val="center"/>
                              <w:rPr>
                                <w:rFonts w:hint="eastAsia"/>
                                <w:color w:val="404040" w:themeColor="text1" w:themeTint="BF"/>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Caixa de Texto 3" o:spid="_x0000_s1084" type="#_x0000_t202" style="position:absolute;left:0;text-align:left;margin-left:0;margin-top:5.9pt;width:455.15pt;height:69.75pt;z-index:25174425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" filled="f" strokecolor="#0070c0" strokeweight=".5pt">
                <v:textbox>
                  <w:txbxContent>
                    <w:p w14:paraId="09339041" w14:textId="076F5EA8" w:rsidR="00FA41FC" w:rsidRDefault="00FA41FC">
                      <w:pPr>
                        <w:pStyle w:val="Subtitulocorpo"/>
                        <w:spacing w:line="276" w:lineRule="auto"/>
                        <w:rPr>
                          <w:rFonts w:hint="eastAsia"/>
                          <w:b w:val="0"/>
                          <w:color w:val="404040" w:themeColor="text1" w:themeTint="BF"/>
                          <w:sz w:val="23"/>
                          <w:szCs w:val="24"/>
                        </w:rPr>
                      </w:pPr>
                      <w:r>
                        <w:rPr>
                          <w:b w:val="0"/>
                          <w:color w:val="404040" w:themeColor="text1" w:themeTint="BF"/>
                          <w:sz w:val="23"/>
                          <w:szCs w:val="24"/>
                        </w:rPr>
                        <w:t>Para isso, 68 mulheres obesas ou sobrepesadas com idades entre 20 e 44 anos foram selecionadas para participarem deste estudo clínico, randomizado, duplo-cego e controlado por placebo. Elas foram divididas em dois grupos para recebem por oito semanas a seguinte posologia:</w:t>
                      </w:r>
                    </w:p>
                    <w:p w14:paraId="1A31B674" w14:textId="77777777" w:rsidR="00FA41FC" w:rsidRDefault="00FA41FC">
                      <w:pPr>
                        <w:pStyle w:val="Corpo"/>
                        <w:spacing w:line="276" w:lineRule="auto"/>
                        <w:jc w:val="center"/>
                        <w:rPr>
                          <w:rFonts w:hint="eastAsia"/>
                          <w:color w:val="404040" w:themeColor="text1" w:themeTint="BF"/>
                        </w:rPr>
                      </w:pPr>
                    </w:p>
                  </w:txbxContent>
                </v:textbox>
                <w10:wrap anchorx="margin"/>
              </v:shape>
            </w:pict>
          </mc:Fallback>
        </mc:AlternateContent>
      </w:r>
    </w:p>
    <w:p w14:paraId="00313365" w14:textId="77777777" w:rsidR="00CD65C2" w:rsidRDefault="00CD65C2">
      <w:pPr>
        <w:pStyle w:val="Subtitulocorpo"/>
        <w:rPr>
          <w:rFonts w:hint="eastAsia"/>
          <w:sz w:val="4"/>
          <w:szCs w:val="4"/>
        </w:rPr>
      </w:pPr>
    </w:p>
    <w:p w14:paraId="7A8D6674" w14:textId="77777777" w:rsidR="00CD65C2" w:rsidRDefault="00CD65C2">
      <w:pPr>
        <w:pStyle w:val="Subtitulocorpo"/>
        <w:rPr>
          <w:rFonts w:hint="eastAsia"/>
          <w:sz w:val="4"/>
          <w:szCs w:val="4"/>
        </w:rPr>
      </w:pPr>
    </w:p>
    <w:p w14:paraId="1DA07C43" w14:textId="77777777" w:rsidR="00CD65C2" w:rsidRDefault="00CD65C2">
      <w:pPr>
        <w:pStyle w:val="Corpo"/>
        <w:spacing w:line="276" w:lineRule="auto"/>
        <w:rPr>
          <w:rFonts w:hint="eastAsia"/>
          <w:color w:val="404040" w:themeColor="text1" w:themeTint="BF"/>
        </w:rPr>
      </w:pPr>
    </w:p>
    <w:p w14:paraId="30CBCB77" w14:textId="77777777" w:rsidR="00CD65C2" w:rsidRDefault="00CD65C2">
      <w:pPr>
        <w:pStyle w:val="Corpo"/>
        <w:spacing w:line="276" w:lineRule="auto"/>
        <w:rPr>
          <w:rFonts w:hint="eastAsia"/>
          <w:color w:val="404040" w:themeColor="text1" w:themeTint="BF"/>
        </w:rPr>
      </w:pPr>
    </w:p>
    <w:p w14:paraId="154965C1" w14:textId="77777777" w:rsidR="00CD65C2" w:rsidRDefault="00CD65C2">
      <w:pPr>
        <w:pStyle w:val="Corpo"/>
        <w:spacing w:line="276" w:lineRule="auto"/>
        <w:rPr>
          <w:rFonts w:hint="eastAsia"/>
          <w:color w:val="404040" w:themeColor="text1" w:themeTint="BF"/>
        </w:rPr>
      </w:pPr>
    </w:p>
    <w:p w14:paraId="3BD16891" w14:textId="77777777" w:rsidR="00CD65C2" w:rsidRDefault="00CD65C2">
      <w:pPr>
        <w:pStyle w:val="Corpo"/>
        <w:spacing w:line="276" w:lineRule="auto"/>
        <w:rPr>
          <w:rFonts w:hint="eastAsia"/>
          <w:color w:val="404040" w:themeColor="text1" w:themeTint="BF"/>
        </w:rPr>
      </w:pPr>
    </w:p>
    <w:p w14:paraId="6BA55924" w14:textId="77777777" w:rsidR="00CD65C2" w:rsidRDefault="00FA41FC">
      <w:pPr>
        <w:pStyle w:val="Corpo"/>
        <w:spacing w:line="276" w:lineRule="auto"/>
        <w:rPr>
          <w:rFonts w:hint="eastAsia"/>
          <w:color w:val="404040" w:themeColor="text1" w:themeTint="BF"/>
        </w:rPr>
      </w:pPr>
      <w:r>
        <w:rPr>
          <w:rFonts w:ascii="Calibri" w:eastAsia="Calibri" w:hAnsi="Calibri" w:cs="Calibri"/>
          <w:bCs/>
          <w:noProof/>
          <w:color w:val="404040" w:themeColor="text1" w:themeTint="BF"/>
          <w:sz w:val="24"/>
          <w:lang w:eastAsia="pt-BR"/>
        </w:rPr>
        <mc:AlternateContent>
          <mc:Choice Requires="wps">
            <w:drawing>
              <wp:anchor distT="0" distB="0" distL="114300" distR="114300" simplePos="0" relativeHeight="251743232" behindDoc="0" locked="0" layoutInCell="1" allowOverlap="1">
                <wp:simplePos x="0" y="0"/>
                <wp:positionH relativeFrom="margin">
                  <wp:align>left</wp:align>
                </wp:positionH>
                <wp:positionV relativeFrom="paragraph">
                  <wp:posOffset>13335</wp:posOffset>
                </wp:positionV>
                <wp:extent cx="2814320" cy="1375410"/>
                <wp:effectExtent l="0" t="0" r="24130" b="15240"/>
                <wp:wrapNone/>
                <wp:docPr id="739657664"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320" cy="1375410"/>
                        </a:xfrm>
                        <a:prstGeom prst="rect">
                          <a:avLst/>
                        </a:prstGeom>
                        <a:solidFill>
                          <a:srgbClr val="0070C0"/>
                        </a:solidFill>
                        <a:ln w="9525">
                          <a:solidFill>
                            <a:srgbClr val="0070C0"/>
                          </a:solidFill>
                          <a:miter lim="800000"/>
                        </a:ln>
                      </wps:spPr>
                      <wps:txbx>
                        <w:txbxContent>
                          <w:p w14:paraId="7D13F0EC" w14:textId="77777777" w:rsidR="00FA41FC" w:rsidRDefault="00FA41FC">
                            <w:pPr>
                              <w:spacing w:after="0"/>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1 (n = 34)</w:t>
                            </w:r>
                          </w:p>
                          <w:p w14:paraId="010E80C1" w14:textId="77777777" w:rsidR="00FA41FC" w:rsidRDefault="00FA41FC">
                            <w:pPr>
                              <w:pStyle w:val="Corpo"/>
                              <w:jc w:val="center"/>
                              <w:rPr>
                                <w:rFonts w:hint="eastAsia"/>
                                <w:color w:val="FFFFFF" w:themeColor="background1"/>
                                <w:szCs w:val="23"/>
                              </w:rPr>
                            </w:pPr>
                            <w:r>
                              <w:rPr>
                                <w:i/>
                                <w:iCs/>
                                <w:color w:val="FFFFFF" w:themeColor="background1"/>
                                <w:szCs w:val="23"/>
                              </w:rPr>
                              <w:t>Lactobacillus casei, Lactobacillus rhamnosus, Lactobacillus bulgaricus, Lactobacillus acidophilus, Bifidobacterium longum, Bifidobacterium breve, Streptococcus thermophilus</w:t>
                            </w:r>
                            <w:r>
                              <w:rPr>
                                <w:color w:val="FFFFFF" w:themeColor="background1"/>
                                <w:szCs w:val="23"/>
                              </w:rPr>
                              <w:t xml:space="preserve"> e inulina</w:t>
                            </w:r>
                          </w:p>
                          <w:p w14:paraId="246E18B3" w14:textId="77777777" w:rsidR="00FA41FC" w:rsidRDefault="00FA41FC">
                            <w:pPr>
                              <w:pStyle w:val="Corpo"/>
                              <w:jc w:val="center"/>
                              <w:rPr>
                                <w:rFonts w:hint="eastAsia"/>
                                <w:color w:val="FFFFFF" w:themeColor="background1"/>
                                <w:szCs w:val="23"/>
                              </w:rPr>
                            </w:pPr>
                            <w:r>
                              <w:rPr>
                                <w:color w:val="FFFFFF" w:themeColor="background1"/>
                                <w:szCs w:val="23"/>
                              </w:rPr>
                              <w:t>Dose diária</w:t>
                            </w:r>
                          </w:p>
                        </w:txbxContent>
                      </wps:txbx>
                      <wps:bodyPr rot="0" vert="horz" wrap="square" lIns="91440" tIns="45720" rIns="91440" bIns="45720" anchor="ctr" anchorCtr="0" upright="1">
                        <a:noAutofit/>
                      </wps:bodyPr>
                    </wps:wsp>
                  </a:graphicData>
                </a:graphic>
              </wp:anchor>
            </w:drawing>
          </mc:Choice>
          <mc:Fallback>
            <w:pict>
              <v:shape id="_x0000_s1085" type="#_x0000_t202" style="position:absolute;left:0;text-align:left;margin-left:0;margin-top:1.05pt;width:221.6pt;height:108.3pt;z-index:25174323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" fillcolor="#0070c0" strokecolor="#0070c0">
                <v:textbox>
                  <w:txbxContent>
                    <w:p w14:paraId="7D13F0EC" w14:textId="77777777" w:rsidR="00FA41FC" w:rsidRDefault="00FA41FC">
                      <w:pPr>
                        <w:spacing w:after="0"/>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1 (n = 34)</w:t>
                      </w:r>
                    </w:p>
                    <w:p w14:paraId="010E80C1" w14:textId="77777777" w:rsidR="00FA41FC" w:rsidRDefault="00FA41FC">
                      <w:pPr>
                        <w:pStyle w:val="Corpo"/>
                        <w:jc w:val="center"/>
                        <w:rPr>
                          <w:rFonts w:hint="eastAsia"/>
                          <w:color w:val="FFFFFF" w:themeColor="background1"/>
                          <w:szCs w:val="23"/>
                        </w:rPr>
                      </w:pPr>
                      <w:r>
                        <w:rPr>
                          <w:i/>
                          <w:iCs/>
                          <w:color w:val="FFFFFF" w:themeColor="background1"/>
                          <w:szCs w:val="23"/>
                        </w:rPr>
                        <w:t>Lactobacillus casei, Lactobacillus rhamnosus, Lactobacillus bulgaricus, Lactobacillus acidophilus, Bifidobacterium longum, Bifidobacterium breve, Streptococcus thermophilus</w:t>
                      </w:r>
                      <w:r>
                        <w:rPr>
                          <w:color w:val="FFFFFF" w:themeColor="background1"/>
                          <w:szCs w:val="23"/>
                        </w:rPr>
                        <w:t xml:space="preserve"> e inulina</w:t>
                      </w:r>
                    </w:p>
                    <w:p w14:paraId="246E18B3" w14:textId="77777777" w:rsidR="00FA41FC" w:rsidRDefault="00FA41FC">
                      <w:pPr>
                        <w:pStyle w:val="Corpo"/>
                        <w:jc w:val="center"/>
                        <w:rPr>
                          <w:rFonts w:hint="eastAsia"/>
                          <w:color w:val="FFFFFF" w:themeColor="background1"/>
                          <w:szCs w:val="23"/>
                        </w:rPr>
                      </w:pPr>
                      <w:r>
                        <w:rPr>
                          <w:color w:val="FFFFFF" w:themeColor="background1"/>
                          <w:szCs w:val="23"/>
                        </w:rPr>
                        <w:t>Dose diária</w:t>
                      </w:r>
                    </w:p>
                  </w:txbxContent>
                </v:textbox>
                <w10:wrap anchorx="margin"/>
              </v:shape>
            </w:pict>
          </mc:Fallback>
        </mc:AlternateContent>
      </w:r>
      <w:r>
        <w:rPr>
          <w:rFonts w:ascii="Calibri" w:eastAsia="Calibri" w:hAnsi="Calibri" w:cs="Calibri"/>
          <w:bCs/>
          <w:noProof/>
          <w:color w:val="auto"/>
          <w:sz w:val="24"/>
          <w:szCs w:val="22"/>
          <w:lang w:eastAsia="pt-BR"/>
          <w14:textFill>
            <w14:solidFill>
              <w14:srgbClr w14:val="000000">
                <w14:lumMod w14:val="75000"/>
                <w14:lumOff w14:val="25000"/>
              </w14:srgbClr>
            </w14:solidFill>
          </w14:textFill>
        </w:rPr>
        <mc:AlternateContent>
          <mc:Choice Requires="wps">
            <w:drawing>
              <wp:anchor distT="0" distB="0" distL="114300" distR="114300" simplePos="0" relativeHeight="251745280" behindDoc="0" locked="0" layoutInCell="1" allowOverlap="1">
                <wp:simplePos x="0" y="0"/>
                <wp:positionH relativeFrom="margin">
                  <wp:posOffset>3014345</wp:posOffset>
                </wp:positionH>
                <wp:positionV relativeFrom="paragraph">
                  <wp:posOffset>9525</wp:posOffset>
                </wp:positionV>
                <wp:extent cx="2806700" cy="1375410"/>
                <wp:effectExtent l="0" t="0" r="12700" b="15240"/>
                <wp:wrapNone/>
                <wp:docPr id="739657665"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811" cy="1375576"/>
                        </a:xfrm>
                        <a:prstGeom prst="rect">
                          <a:avLst/>
                        </a:prstGeom>
                        <a:solidFill>
                          <a:srgbClr val="0070C0"/>
                        </a:solidFill>
                        <a:ln w="9525">
                          <a:solidFill>
                            <a:srgbClr val="0070C0"/>
                          </a:solidFill>
                          <a:miter lim="800000"/>
                        </a:ln>
                      </wps:spPr>
                      <wps:txbx>
                        <w:txbxContent>
                          <w:p w14:paraId="04C33B0C" w14:textId="77777777" w:rsidR="00FA41FC" w:rsidRDefault="00FA41FC">
                            <w:pPr>
                              <w:spacing w:after="0"/>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2 (n = 34)</w:t>
                            </w:r>
                          </w:p>
                          <w:p w14:paraId="50BCF23E" w14:textId="77777777" w:rsidR="00FA41FC" w:rsidRDefault="00FA41FC">
                            <w:pPr>
                              <w:spacing w:after="0"/>
                              <w:jc w:val="center"/>
                              <w:rPr>
                                <w:rFonts w:ascii="Swis721 Th BT" w:hAnsi="Swis721 Th BT"/>
                                <w:b/>
                                <w:bCs/>
                                <w:color w:val="FFFFFF" w:themeColor="background1"/>
                                <w:sz w:val="23"/>
                                <w:szCs w:val="23"/>
                              </w:rPr>
                            </w:pPr>
                          </w:p>
                          <w:p w14:paraId="7BA62387" w14:textId="77777777" w:rsidR="00FA41FC" w:rsidRDefault="00FA41FC">
                            <w:pPr>
                              <w:spacing w:after="0"/>
                              <w:jc w:val="center"/>
                              <w:rPr>
                                <w:rFonts w:ascii="Swis721 Th BT" w:hAnsi="Swis721 Th BT"/>
                                <w:b/>
                                <w:bCs/>
                                <w:color w:val="FFFFFF" w:themeColor="background1"/>
                                <w:sz w:val="23"/>
                                <w:szCs w:val="23"/>
                              </w:rPr>
                            </w:pPr>
                          </w:p>
                          <w:p w14:paraId="2FADE2E3" w14:textId="77777777" w:rsidR="00FA41FC" w:rsidRDefault="00FA41FC">
                            <w:pPr>
                              <w:pStyle w:val="Corpo"/>
                              <w:jc w:val="center"/>
                              <w:rPr>
                                <w:rFonts w:hint="eastAsia"/>
                                <w:color w:val="FFFFFF" w:themeColor="background1"/>
                                <w:szCs w:val="23"/>
                              </w:rPr>
                            </w:pPr>
                            <w:r>
                              <w:rPr>
                                <w:color w:val="FFFFFF" w:themeColor="background1"/>
                                <w:szCs w:val="23"/>
                              </w:rPr>
                              <w:t>Placebo</w:t>
                            </w:r>
                          </w:p>
                          <w:p w14:paraId="3CE5E739" w14:textId="77777777" w:rsidR="00FA41FC" w:rsidRDefault="00FA41FC">
                            <w:pPr>
                              <w:pStyle w:val="Corpo"/>
                              <w:jc w:val="center"/>
                              <w:rPr>
                                <w:rFonts w:hint="eastAsia"/>
                                <w:color w:val="FFFFFF" w:themeColor="background1"/>
                                <w:szCs w:val="23"/>
                              </w:rPr>
                            </w:pPr>
                            <w:r>
                              <w:rPr>
                                <w:color w:val="FFFFFF" w:themeColor="background1"/>
                                <w:szCs w:val="23"/>
                              </w:rPr>
                              <w:t>Dose diária</w:t>
                            </w:r>
                          </w:p>
                        </w:txbxContent>
                      </wps:txbx>
                      <wps:bodyPr rot="0" vert="horz" wrap="square" lIns="91440" tIns="45720" rIns="91440" bIns="45720" anchor="ctr" anchorCtr="0" upright="1">
                        <a:noAutofit/>
                      </wps:bodyPr>
                    </wps:wsp>
                  </a:graphicData>
                </a:graphic>
              </wp:anchor>
            </w:drawing>
          </mc:Choice>
          <mc:Fallback>
            <w:pict>
              <v:shape id="_x0000_s1086" type="#_x0000_t202" style="position:absolute;left:0;text-align:left;margin-left:237.35pt;margin-top:.75pt;width:221pt;height:108.3pt;z-index:2517452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" fillcolor="#0070c0" strokecolor="#0070c0">
                <v:textbox>
                  <w:txbxContent>
                    <w:p w14:paraId="04C33B0C" w14:textId="77777777" w:rsidR="00FA41FC" w:rsidRDefault="00FA41FC">
                      <w:pPr>
                        <w:spacing w:after="0"/>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2 (n = 34)</w:t>
                      </w:r>
                    </w:p>
                    <w:p w14:paraId="50BCF23E" w14:textId="77777777" w:rsidR="00FA41FC" w:rsidRDefault="00FA41FC">
                      <w:pPr>
                        <w:spacing w:after="0"/>
                        <w:jc w:val="center"/>
                        <w:rPr>
                          <w:rFonts w:ascii="Swis721 Th BT" w:hAnsi="Swis721 Th BT"/>
                          <w:b/>
                          <w:bCs/>
                          <w:color w:val="FFFFFF" w:themeColor="background1"/>
                          <w:sz w:val="23"/>
                          <w:szCs w:val="23"/>
                        </w:rPr>
                      </w:pPr>
                    </w:p>
                    <w:p w14:paraId="7BA62387" w14:textId="77777777" w:rsidR="00FA41FC" w:rsidRDefault="00FA41FC">
                      <w:pPr>
                        <w:spacing w:after="0"/>
                        <w:jc w:val="center"/>
                        <w:rPr>
                          <w:rFonts w:ascii="Swis721 Th BT" w:hAnsi="Swis721 Th BT"/>
                          <w:b/>
                          <w:bCs/>
                          <w:color w:val="FFFFFF" w:themeColor="background1"/>
                          <w:sz w:val="23"/>
                          <w:szCs w:val="23"/>
                        </w:rPr>
                      </w:pPr>
                    </w:p>
                    <w:p w14:paraId="2FADE2E3" w14:textId="77777777" w:rsidR="00FA41FC" w:rsidRDefault="00FA41FC">
                      <w:pPr>
                        <w:pStyle w:val="Corpo"/>
                        <w:jc w:val="center"/>
                        <w:rPr>
                          <w:rFonts w:hint="eastAsia"/>
                          <w:color w:val="FFFFFF" w:themeColor="background1"/>
                          <w:szCs w:val="23"/>
                        </w:rPr>
                      </w:pPr>
                      <w:r>
                        <w:rPr>
                          <w:color w:val="FFFFFF" w:themeColor="background1"/>
                          <w:szCs w:val="23"/>
                        </w:rPr>
                        <w:t>Placebo</w:t>
                      </w:r>
                    </w:p>
                    <w:p w14:paraId="3CE5E739" w14:textId="77777777" w:rsidR="00FA41FC" w:rsidRDefault="00FA41FC">
                      <w:pPr>
                        <w:pStyle w:val="Corpo"/>
                        <w:jc w:val="center"/>
                        <w:rPr>
                          <w:rFonts w:hint="eastAsia"/>
                          <w:color w:val="FFFFFF" w:themeColor="background1"/>
                          <w:szCs w:val="23"/>
                        </w:rPr>
                      </w:pPr>
                      <w:r>
                        <w:rPr>
                          <w:color w:val="FFFFFF" w:themeColor="background1"/>
                          <w:szCs w:val="23"/>
                        </w:rPr>
                        <w:t>Dose diária</w:t>
                      </w:r>
                    </w:p>
                  </w:txbxContent>
                </v:textbox>
                <w10:wrap anchorx="margin"/>
              </v:shape>
            </w:pict>
          </mc:Fallback>
        </mc:AlternateContent>
      </w:r>
    </w:p>
    <w:p w14:paraId="5AE4377E" w14:textId="77777777" w:rsidR="00CD65C2" w:rsidRDefault="00CD65C2">
      <w:pPr>
        <w:pStyle w:val="Corpo"/>
        <w:spacing w:line="276" w:lineRule="auto"/>
        <w:rPr>
          <w:rFonts w:hint="eastAsia"/>
          <w:color w:val="404040" w:themeColor="text1" w:themeTint="BF"/>
        </w:rPr>
      </w:pPr>
    </w:p>
    <w:p w14:paraId="0031C90D" w14:textId="77777777" w:rsidR="00CD65C2" w:rsidRDefault="00CD65C2">
      <w:pPr>
        <w:pStyle w:val="Corpo"/>
        <w:spacing w:line="276" w:lineRule="auto"/>
        <w:rPr>
          <w:rFonts w:ascii="Segoe UI" w:hAnsi="Segoe UI" w:cs="Segoe UI"/>
          <w:color w:val="212121"/>
          <w:shd w:val="clear" w:color="auto" w:fill="FFFFFF"/>
          <w14:textFill>
            <w14:solidFill>
              <w14:srgbClr w14:val="212121">
                <w14:lumMod w14:val="75000"/>
                <w14:lumOff w14:val="25000"/>
              </w14:srgbClr>
            </w14:solidFill>
          </w14:textFill>
        </w:rPr>
      </w:pPr>
    </w:p>
    <w:p w14:paraId="10FA96E5" w14:textId="77777777" w:rsidR="00CD65C2" w:rsidRDefault="00CD65C2">
      <w:pPr>
        <w:pStyle w:val="Subtitulocorpo"/>
        <w:rPr>
          <w:rFonts w:hint="eastAsia"/>
          <w:sz w:val="16"/>
          <w:szCs w:val="16"/>
        </w:rPr>
      </w:pPr>
    </w:p>
    <w:p w14:paraId="787B983F" w14:textId="77777777" w:rsidR="00CD65C2" w:rsidRDefault="00CD65C2">
      <w:pPr>
        <w:pStyle w:val="Subtitulocorpo"/>
        <w:rPr>
          <w:rFonts w:hint="eastAsia"/>
          <w:sz w:val="24"/>
          <w:szCs w:val="24"/>
        </w:rPr>
      </w:pPr>
    </w:p>
    <w:p w14:paraId="388C94EA" w14:textId="77777777" w:rsidR="00CD65C2" w:rsidRDefault="00CD65C2">
      <w:pPr>
        <w:pStyle w:val="Subtitulocorpo"/>
        <w:rPr>
          <w:rFonts w:hint="eastAsia"/>
          <w:sz w:val="24"/>
          <w:szCs w:val="24"/>
        </w:rPr>
      </w:pPr>
    </w:p>
    <w:p w14:paraId="0439B3F2" w14:textId="77777777" w:rsidR="00CD65C2" w:rsidRDefault="00CD65C2">
      <w:pPr>
        <w:pStyle w:val="Subtitulocorpo"/>
        <w:rPr>
          <w:rFonts w:hint="eastAsia"/>
          <w:sz w:val="24"/>
          <w:szCs w:val="24"/>
        </w:rPr>
      </w:pPr>
    </w:p>
    <w:p w14:paraId="34B903B6" w14:textId="77777777" w:rsidR="00CD65C2" w:rsidRDefault="00CD65C2">
      <w:pPr>
        <w:pStyle w:val="Corpo"/>
        <w:rPr>
          <w:rFonts w:hint="eastAsia"/>
          <w:color w:val="404040" w:themeColor="text1" w:themeTint="BF"/>
          <w:sz w:val="20"/>
        </w:rPr>
      </w:pPr>
    </w:p>
    <w:p w14:paraId="38D02AD2"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25077BA1"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2B1E91F4" w14:textId="77777777" w:rsidR="00CD65C2" w:rsidRDefault="00CD65C2">
      <w:pPr>
        <w:pStyle w:val="Corpo"/>
        <w:rPr>
          <w:rFonts w:hint="eastAsia"/>
          <w:b/>
          <w:color w:val="404040" w:themeColor="text1" w:themeTint="BF"/>
          <w:szCs w:val="23"/>
        </w:rPr>
      </w:pPr>
    </w:p>
    <w:p w14:paraId="4ED1F589" w14:textId="087E5DC7" w:rsidR="00CD65C2" w:rsidRDefault="00FA41FC">
      <w:pPr>
        <w:pStyle w:val="Corpo"/>
        <w:numPr>
          <w:ilvl w:val="0"/>
          <w:numId w:val="25"/>
        </w:numPr>
        <w:rPr>
          <w:rFonts w:hint="eastAsia"/>
          <w:color w:val="404040" w:themeColor="text1" w:themeTint="BF"/>
          <w:szCs w:val="23"/>
        </w:rPr>
      </w:pPr>
      <w:r>
        <w:rPr>
          <w:color w:val="404040" w:themeColor="text1" w:themeTint="BF"/>
          <w:szCs w:val="23"/>
        </w:rPr>
        <w:t>A suplementação simbiótica reduziu de maneira significativa os níveis de glicose em jejum (p = 0,02), insulina (p = 0,001), HOMA-IR (</w:t>
      </w:r>
      <w:r>
        <w:rPr>
          <w:i/>
          <w:iCs/>
          <w:color w:val="404040" w:themeColor="text1" w:themeTint="BF"/>
          <w:szCs w:val="23"/>
        </w:rPr>
        <w:t>homeostatic model assessment for insulin resistance</w:t>
      </w:r>
      <w:r w:rsidRPr="00D1428E">
        <w:rPr>
          <w:rFonts w:hint="eastAsia"/>
          <w:color w:val="404040" w:themeColor="text1" w:themeTint="BF"/>
          <w:szCs w:val="23"/>
        </w:rPr>
        <w:t>;</w:t>
      </w:r>
      <w:r>
        <w:rPr>
          <w:color w:val="404040" w:themeColor="text1" w:themeTint="BF"/>
          <w:szCs w:val="23"/>
        </w:rPr>
        <w:t xml:space="preserve"> p = 0,001), IMC (p = 0,02), circunferência da cintura (p = 0,01), circunferência do quadril (p = 0,02) e a relação cintura/altura (p = 0,02) quando comparada com o placebo;</w:t>
      </w:r>
    </w:p>
    <w:p w14:paraId="67C575F0" w14:textId="21B67330" w:rsidR="00CD65C2" w:rsidRDefault="00FA41FC">
      <w:pPr>
        <w:pStyle w:val="Corpo"/>
        <w:numPr>
          <w:ilvl w:val="0"/>
          <w:numId w:val="25"/>
        </w:numPr>
        <w:rPr>
          <w:rFonts w:hint="eastAsia"/>
          <w:color w:val="404040" w:themeColor="text1" w:themeTint="BF"/>
          <w:szCs w:val="23"/>
        </w:rPr>
      </w:pPr>
      <w:r>
        <w:rPr>
          <w:color w:val="404040" w:themeColor="text1" w:themeTint="BF"/>
          <w:szCs w:val="23"/>
        </w:rPr>
        <w:t>A suplementação também aumentou de maneira significativa os níveis de colesterol HDL após o tratamento (p = 0,02) em comparação com o placebo;</w:t>
      </w:r>
    </w:p>
    <w:p w14:paraId="1D4A6AFB" w14:textId="6F6DCF94" w:rsidR="00CD65C2" w:rsidRDefault="00FA41FC">
      <w:pPr>
        <w:pStyle w:val="Corpo"/>
        <w:numPr>
          <w:ilvl w:val="0"/>
          <w:numId w:val="25"/>
        </w:numPr>
        <w:rPr>
          <w:rFonts w:hint="eastAsia"/>
          <w:color w:val="404040" w:themeColor="text1" w:themeTint="BF"/>
          <w:szCs w:val="23"/>
        </w:rPr>
      </w:pPr>
      <w:r>
        <w:rPr>
          <w:color w:val="404040" w:themeColor="text1" w:themeTint="BF"/>
          <w:szCs w:val="23"/>
        </w:rPr>
        <w:t>Não foram observadas diferenças significativas nos níveis de colesterol total, triglicerídeos, LDL-c e níveis de apelina entre os dois grupos.</w:t>
      </w:r>
    </w:p>
    <w:p w14:paraId="4AF6DD26"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7B8EDCF5"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 xml:space="preserve">Conclusão: </w:t>
      </w:r>
    </w:p>
    <w:p w14:paraId="32BFA142"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7C9A3D5C" w14:textId="62C1441E" w:rsidR="00CD65C2" w:rsidRDefault="00FA41FC">
      <w:pPr>
        <w:pStyle w:val="Corpo"/>
        <w:jc w:val="center"/>
        <w:rPr>
          <w:rFonts w:hint="eastAsia"/>
          <w:b/>
          <w:color w:val="339966"/>
          <w14:textFill>
            <w14:solidFill>
              <w14:srgbClr w14:val="339966">
                <w14:lumMod w14:val="75000"/>
                <w14:lumOff w14:val="25000"/>
              </w14:srgbClr>
            </w14:solidFill>
          </w14:textFill>
        </w:rPr>
      </w:pPr>
      <w:r>
        <w:rPr>
          <w:b/>
          <w:i/>
          <w:color w:val="404040" w:themeColor="text1" w:themeTint="BF"/>
        </w:rPr>
        <w:t>A suplementação simbiótica melhorou os parâmetros glicêmicos, perfil lipídico e o IMC em mulheres obesas ou sobrepesadas com SOPC. Contudo, não foram observadas diferenças significativas nos níveis de apelina.</w:t>
      </w:r>
    </w:p>
    <w:p w14:paraId="4430F133" w14:textId="77777777" w:rsidR="00CD65C2" w:rsidRDefault="00FA41FC">
      <w:pPr>
        <w:pStyle w:val="Ttulo1"/>
        <w:jc w:val="center"/>
        <w:rPr>
          <w:rFonts w:hint="eastAsia"/>
        </w:rPr>
      </w:pPr>
      <w:bookmarkStart w:id="48" w:name="_Toc165537200"/>
      <w:r>
        <w:t>Formulário</w:t>
      </w:r>
      <w:bookmarkEnd w:id="48"/>
    </w:p>
    <w:p w14:paraId="24A21842" w14:textId="77777777" w:rsidR="00CD65C2" w:rsidRDefault="00CD65C2">
      <w:pPr>
        <w:pStyle w:val="Corpo"/>
        <w:rPr>
          <w:rFonts w:hint="eastAsia"/>
          <w:b/>
          <w:i/>
          <w:color w:val="404040" w:themeColor="text1" w:themeTint="BF"/>
        </w:rPr>
      </w:pPr>
    </w:p>
    <w:p w14:paraId="79895093" w14:textId="77777777" w:rsidR="00CD65C2" w:rsidRDefault="00CD65C2">
      <w:pPr>
        <w:pStyle w:val="Corpo"/>
        <w:rPr>
          <w:rFonts w:hint="eastAsia"/>
          <w:b/>
          <w:i/>
          <w:color w:val="404040" w:themeColor="text1" w:themeTint="BF"/>
        </w:rPr>
      </w:pPr>
    </w:p>
    <w:p w14:paraId="23E504E0" w14:textId="77777777" w:rsidR="00CD65C2" w:rsidRDefault="00FA41FC">
      <w:pPr>
        <w:pStyle w:val="Corpo"/>
        <w:rPr>
          <w:rFonts w:hint="eastAsia"/>
          <w:b/>
          <w:i/>
          <w:color w:val="404040" w:themeColor="text1" w:themeTint="BF"/>
          <w:sz w:val="24"/>
        </w:rPr>
      </w:pPr>
      <w:r>
        <w:rPr>
          <w:b/>
          <w:i/>
          <w:color w:val="404040" w:themeColor="text1" w:themeTint="BF"/>
          <w:sz w:val="24"/>
        </w:rPr>
        <w:t>Suplementação Simbiótica Melhora o Perfil Metabólico em Mulheres com SOPC</w:t>
      </w:r>
    </w:p>
    <w:p w14:paraId="23F8C764" w14:textId="77777777" w:rsidR="00CD65C2" w:rsidRDefault="00CD65C2">
      <w:pPr>
        <w:pStyle w:val="Corpo"/>
        <w:rPr>
          <w:rFonts w:hint="eastAsia"/>
          <w:b/>
          <w:i/>
          <w:color w:val="404040" w:themeColor="text1" w:themeTint="BF"/>
          <w:sz w:val="24"/>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7298E0D3"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1A05FBC8" w14:textId="77777777" w:rsidR="00CD65C2" w:rsidRDefault="00FA41FC">
            <w:pPr>
              <w:pStyle w:val="Corpo"/>
              <w:jc w:val="center"/>
              <w:rPr>
                <w:rFonts w:hint="eastAsia"/>
                <w:b/>
                <w:color w:val="FFFFFF" w:themeColor="background1"/>
                <w:szCs w:val="23"/>
              </w:rPr>
            </w:pPr>
            <w:r>
              <w:rPr>
                <w:b/>
                <w:color w:val="FFFFFF" w:themeColor="background1"/>
                <w:szCs w:val="23"/>
              </w:rPr>
              <w:t>Sachês Simbióticos</w:t>
            </w:r>
          </w:p>
        </w:tc>
      </w:tr>
      <w:tr w:rsidR="00CD65C2" w14:paraId="0EE6246A"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DF5EF31" w14:textId="77777777" w:rsidR="00CD65C2" w:rsidRDefault="00FA41FC">
            <w:pPr>
              <w:pStyle w:val="Corpo"/>
              <w:jc w:val="center"/>
              <w:rPr>
                <w:rFonts w:hint="eastAsia"/>
                <w:color w:val="404040" w:themeColor="text1" w:themeTint="BF"/>
              </w:rPr>
            </w:pPr>
            <w:r>
              <w:rPr>
                <w:i/>
                <w:iCs/>
                <w:color w:val="404040" w:themeColor="text1" w:themeTint="BF"/>
              </w:rPr>
              <w:t>Lactobacillus casei</w:t>
            </w:r>
            <w:r>
              <w:rPr>
                <w:color w:val="404040" w:themeColor="text1" w:themeTint="BF"/>
              </w:rPr>
              <w:t>...................3×10</w:t>
            </w:r>
            <w:r>
              <w:rPr>
                <w:color w:val="404040" w:themeColor="text1" w:themeTint="BF"/>
                <w:vertAlign w:val="superscript"/>
              </w:rPr>
              <w:t xml:space="preserve">9 </w:t>
            </w:r>
            <w:r>
              <w:rPr>
                <w:color w:val="404040" w:themeColor="text1" w:themeTint="BF"/>
              </w:rPr>
              <w:t>UFC</w:t>
            </w:r>
          </w:p>
        </w:tc>
      </w:tr>
      <w:tr w:rsidR="00CD65C2" w14:paraId="28D98727"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E0FA27E" w14:textId="77777777" w:rsidR="00CD65C2" w:rsidRDefault="00FA41FC">
            <w:pPr>
              <w:pStyle w:val="Corpo"/>
              <w:jc w:val="center"/>
              <w:rPr>
                <w:rFonts w:hint="eastAsia"/>
                <w:color w:val="404040" w:themeColor="text1" w:themeTint="BF"/>
              </w:rPr>
            </w:pPr>
            <w:r>
              <w:rPr>
                <w:i/>
                <w:iCs/>
                <w:color w:val="404040" w:themeColor="text1" w:themeTint="BF"/>
              </w:rPr>
              <w:t>Lactobacillus rhamnosus.........</w:t>
            </w:r>
            <w:r>
              <w:rPr>
                <w:color w:val="404040" w:themeColor="text1" w:themeTint="BF"/>
              </w:rPr>
              <w:t xml:space="preserve"> 7×10</w:t>
            </w:r>
            <w:r>
              <w:rPr>
                <w:color w:val="404040" w:themeColor="text1" w:themeTint="BF"/>
                <w:vertAlign w:val="superscript"/>
              </w:rPr>
              <w:t>9</w:t>
            </w:r>
            <w:r>
              <w:rPr>
                <w:color w:val="404040" w:themeColor="text1" w:themeTint="BF"/>
              </w:rPr>
              <w:t xml:space="preserve"> UFC</w:t>
            </w:r>
          </w:p>
        </w:tc>
      </w:tr>
      <w:tr w:rsidR="00CD65C2" w14:paraId="1A2D193F"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C22B2AB" w14:textId="77777777" w:rsidR="00CD65C2" w:rsidRDefault="00FA41FC">
            <w:pPr>
              <w:pStyle w:val="Corpo"/>
              <w:jc w:val="center"/>
              <w:rPr>
                <w:rFonts w:hint="eastAsia"/>
                <w:color w:val="404040" w:themeColor="text1" w:themeTint="BF"/>
              </w:rPr>
            </w:pPr>
            <w:r>
              <w:rPr>
                <w:i/>
                <w:iCs/>
                <w:color w:val="404040" w:themeColor="text1" w:themeTint="BF"/>
              </w:rPr>
              <w:t>Lactobacillus bulgaricus</w:t>
            </w:r>
            <w:r>
              <w:rPr>
                <w:color w:val="404040" w:themeColor="text1" w:themeTint="BF"/>
              </w:rPr>
              <w:t>.......... 5×10</w:t>
            </w:r>
            <w:r>
              <w:rPr>
                <w:color w:val="404040" w:themeColor="text1" w:themeTint="BF"/>
                <w:vertAlign w:val="superscript"/>
              </w:rPr>
              <w:t>8</w:t>
            </w:r>
            <w:r>
              <w:rPr>
                <w:color w:val="404040" w:themeColor="text1" w:themeTint="BF"/>
              </w:rPr>
              <w:t xml:space="preserve"> UFC</w:t>
            </w:r>
          </w:p>
        </w:tc>
      </w:tr>
      <w:tr w:rsidR="00CD65C2" w14:paraId="400740A8"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F2E5888" w14:textId="77777777" w:rsidR="00CD65C2" w:rsidRDefault="00FA41FC">
            <w:pPr>
              <w:pStyle w:val="Corpo"/>
              <w:jc w:val="center"/>
              <w:rPr>
                <w:rFonts w:hint="eastAsia"/>
                <w:color w:val="404040" w:themeColor="text1" w:themeTint="BF"/>
              </w:rPr>
            </w:pPr>
            <w:r>
              <w:rPr>
                <w:i/>
                <w:iCs/>
                <w:color w:val="404040" w:themeColor="text1" w:themeTint="BF"/>
              </w:rPr>
              <w:t>Lactobacillus acidophilus.......</w:t>
            </w:r>
            <w:r>
              <w:rPr>
                <w:color w:val="404040" w:themeColor="text1" w:themeTint="BF"/>
              </w:rPr>
              <w:t xml:space="preserve"> 3×10</w:t>
            </w:r>
            <w:r>
              <w:rPr>
                <w:color w:val="404040" w:themeColor="text1" w:themeTint="BF"/>
                <w:vertAlign w:val="superscript"/>
              </w:rPr>
              <w:t>10</w:t>
            </w:r>
            <w:r>
              <w:rPr>
                <w:color w:val="404040" w:themeColor="text1" w:themeTint="BF"/>
              </w:rPr>
              <w:t xml:space="preserve"> UFC</w:t>
            </w:r>
          </w:p>
        </w:tc>
      </w:tr>
      <w:tr w:rsidR="00CD65C2" w14:paraId="7E8E56C4"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1485268" w14:textId="77777777" w:rsidR="00CD65C2" w:rsidRDefault="00FA41FC">
            <w:pPr>
              <w:pStyle w:val="Corpo"/>
              <w:jc w:val="center"/>
              <w:rPr>
                <w:rFonts w:hint="eastAsia"/>
                <w:color w:val="404040" w:themeColor="text1" w:themeTint="BF"/>
              </w:rPr>
            </w:pPr>
            <w:r>
              <w:rPr>
                <w:i/>
                <w:iCs/>
                <w:color w:val="404040" w:themeColor="text1" w:themeTint="BF"/>
              </w:rPr>
              <w:t>Bifidobacterium longum</w:t>
            </w:r>
            <w:r>
              <w:rPr>
                <w:color w:val="404040" w:themeColor="text1" w:themeTint="BF"/>
              </w:rPr>
              <w:t>......... 1×10</w:t>
            </w:r>
            <w:r>
              <w:rPr>
                <w:color w:val="404040" w:themeColor="text1" w:themeTint="BF"/>
                <w:vertAlign w:val="superscript"/>
              </w:rPr>
              <w:t>9</w:t>
            </w:r>
            <w:r>
              <w:rPr>
                <w:color w:val="404040" w:themeColor="text1" w:themeTint="BF"/>
              </w:rPr>
              <w:t xml:space="preserve"> UFC</w:t>
            </w:r>
          </w:p>
        </w:tc>
      </w:tr>
      <w:tr w:rsidR="00CD65C2" w14:paraId="5DAA1541"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5A38820" w14:textId="77777777" w:rsidR="00CD65C2" w:rsidRDefault="00FA41FC">
            <w:pPr>
              <w:pStyle w:val="Corpo"/>
              <w:jc w:val="center"/>
              <w:rPr>
                <w:rFonts w:hint="eastAsia"/>
                <w:color w:val="404040" w:themeColor="text1" w:themeTint="BF"/>
              </w:rPr>
            </w:pPr>
            <w:r>
              <w:rPr>
                <w:i/>
                <w:iCs/>
                <w:color w:val="404040" w:themeColor="text1" w:themeTint="BF"/>
              </w:rPr>
              <w:t>Bifidobacterium breve</w:t>
            </w:r>
            <w:r>
              <w:rPr>
                <w:color w:val="404040" w:themeColor="text1" w:themeTint="BF"/>
              </w:rPr>
              <w:t>............ 2×10</w:t>
            </w:r>
            <w:r>
              <w:rPr>
                <w:color w:val="404040" w:themeColor="text1" w:themeTint="BF"/>
                <w:vertAlign w:val="superscript"/>
              </w:rPr>
              <w:t>10</w:t>
            </w:r>
            <w:r>
              <w:rPr>
                <w:color w:val="404040" w:themeColor="text1" w:themeTint="BF"/>
              </w:rPr>
              <w:t xml:space="preserve"> UFC</w:t>
            </w:r>
          </w:p>
        </w:tc>
      </w:tr>
      <w:tr w:rsidR="00CD65C2" w14:paraId="17ADFEF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0FE5273" w14:textId="77777777" w:rsidR="00CD65C2" w:rsidRDefault="00FA41FC">
            <w:pPr>
              <w:pStyle w:val="Corpo"/>
              <w:jc w:val="center"/>
              <w:rPr>
                <w:rFonts w:hint="eastAsia"/>
                <w:color w:val="404040" w:themeColor="text1" w:themeTint="BF"/>
              </w:rPr>
            </w:pPr>
            <w:r>
              <w:rPr>
                <w:i/>
                <w:iCs/>
                <w:color w:val="404040" w:themeColor="text1" w:themeTint="BF"/>
              </w:rPr>
              <w:t>Streptococcus thermophilus</w:t>
            </w:r>
            <w:r>
              <w:rPr>
                <w:color w:val="404040" w:themeColor="text1" w:themeTint="BF"/>
              </w:rPr>
              <w:t>.....3×10</w:t>
            </w:r>
            <w:r>
              <w:rPr>
                <w:color w:val="404040" w:themeColor="text1" w:themeTint="BF"/>
                <w:vertAlign w:val="superscript"/>
              </w:rPr>
              <w:t>8</w:t>
            </w:r>
            <w:r>
              <w:rPr>
                <w:color w:val="404040" w:themeColor="text1" w:themeTint="BF"/>
              </w:rPr>
              <w:t xml:space="preserve"> UFC</w:t>
            </w:r>
          </w:p>
        </w:tc>
      </w:tr>
      <w:tr w:rsidR="00CD65C2" w14:paraId="474BAC3A"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91A0C04" w14:textId="77777777" w:rsidR="00CD65C2" w:rsidRDefault="00FA41FC">
            <w:pPr>
              <w:pStyle w:val="Corpo"/>
              <w:jc w:val="center"/>
              <w:rPr>
                <w:rFonts w:hint="eastAsia"/>
                <w:color w:val="404040" w:themeColor="text1" w:themeTint="BF"/>
              </w:rPr>
            </w:pPr>
            <w:r>
              <w:rPr>
                <w:color w:val="404040" w:themeColor="text1" w:themeTint="BF"/>
              </w:rPr>
              <w:t>Inulina.............................................800 mg</w:t>
            </w:r>
          </w:p>
        </w:tc>
      </w:tr>
      <w:tr w:rsidR="00CD65C2" w14:paraId="4FA018EE"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D1AFE71" w14:textId="2B5F2DB5" w:rsidR="00CD65C2" w:rsidRDefault="00FA41FC">
            <w:pPr>
              <w:pStyle w:val="Corpo"/>
              <w:jc w:val="center"/>
              <w:rPr>
                <w:rFonts w:hint="eastAsia"/>
                <w:iCs/>
                <w:color w:val="404040" w:themeColor="text1" w:themeTint="BF"/>
              </w:rPr>
            </w:pPr>
            <w:r>
              <w:rPr>
                <w:color w:val="404040" w:themeColor="text1" w:themeTint="BF"/>
              </w:rPr>
              <w:t>Excipiente q.s.p. ...........................1 Sachê</w:t>
            </w:r>
          </w:p>
        </w:tc>
      </w:tr>
    </w:tbl>
    <w:p w14:paraId="4BE9412B" w14:textId="77777777" w:rsidR="00CD65C2" w:rsidRDefault="00FA41FC">
      <w:pPr>
        <w:pStyle w:val="Corpo"/>
        <w:ind w:right="4818"/>
        <w:jc w:val="center"/>
        <w:rPr>
          <w:rFonts w:hint="eastAsia"/>
          <w:color w:val="404040" w:themeColor="text1" w:themeTint="BF"/>
          <w:sz w:val="22"/>
          <w:szCs w:val="22"/>
        </w:rPr>
      </w:pPr>
      <w:r>
        <w:rPr>
          <w:color w:val="404040" w:themeColor="text1" w:themeTint="BF"/>
          <w:sz w:val="22"/>
          <w:szCs w:val="22"/>
        </w:rPr>
        <w:t>Administrar 1 sachê ao dia ou conforme orientação médica.</w:t>
      </w:r>
    </w:p>
    <w:p w14:paraId="4E75FF3D" w14:textId="77777777" w:rsidR="00CD65C2" w:rsidRDefault="00CD65C2">
      <w:pPr>
        <w:pStyle w:val="SemEspaamento"/>
      </w:pPr>
    </w:p>
    <w:p w14:paraId="1FCDA13A" w14:textId="77777777" w:rsidR="00CD65C2" w:rsidRDefault="00CD65C2">
      <w:pPr>
        <w:pStyle w:val="SemEspaamento"/>
      </w:pPr>
    </w:p>
    <w:p w14:paraId="2EAEEE49" w14:textId="77777777" w:rsidR="00CD65C2" w:rsidRDefault="00CD65C2">
      <w:pPr>
        <w:pStyle w:val="SemEspaamento"/>
      </w:pPr>
    </w:p>
    <w:p w14:paraId="07F8338D" w14:textId="77777777" w:rsidR="00CD65C2" w:rsidRDefault="00CD65C2">
      <w:pPr>
        <w:pStyle w:val="SemEspaamento"/>
      </w:pPr>
    </w:p>
    <w:p w14:paraId="57DE5135" w14:textId="77777777" w:rsidR="00CD65C2" w:rsidRDefault="00CD65C2">
      <w:pPr>
        <w:pStyle w:val="SemEspaamento"/>
      </w:pPr>
    </w:p>
    <w:p w14:paraId="06DE45CF" w14:textId="77777777" w:rsidR="00CD65C2" w:rsidRDefault="00CD65C2">
      <w:pPr>
        <w:pStyle w:val="SemEspaamento"/>
      </w:pPr>
    </w:p>
    <w:p w14:paraId="1828CABA" w14:textId="77777777" w:rsidR="00CD65C2" w:rsidRDefault="00CD65C2">
      <w:pPr>
        <w:pStyle w:val="SemEspaamento"/>
      </w:pPr>
    </w:p>
    <w:p w14:paraId="6FF601B5" w14:textId="77777777" w:rsidR="00CD65C2" w:rsidRDefault="00CD65C2">
      <w:pPr>
        <w:pStyle w:val="SemEspaamento"/>
      </w:pPr>
    </w:p>
    <w:p w14:paraId="4BAC692D" w14:textId="77777777" w:rsidR="00CD65C2" w:rsidRDefault="00CD65C2">
      <w:pPr>
        <w:pStyle w:val="SemEspaamento"/>
      </w:pPr>
    </w:p>
    <w:p w14:paraId="304BB6E5" w14:textId="77777777" w:rsidR="00CD65C2" w:rsidRDefault="00CD65C2">
      <w:pPr>
        <w:pStyle w:val="SemEspaamento"/>
      </w:pPr>
    </w:p>
    <w:p w14:paraId="63B436F9" w14:textId="77777777" w:rsidR="00CD65C2" w:rsidRDefault="00CD65C2">
      <w:pPr>
        <w:pStyle w:val="SemEspaamento"/>
      </w:pPr>
    </w:p>
    <w:p w14:paraId="13ADC8C0" w14:textId="77777777" w:rsidR="00CD65C2" w:rsidRDefault="00CD65C2">
      <w:pPr>
        <w:pStyle w:val="SemEspaamento"/>
      </w:pPr>
    </w:p>
    <w:p w14:paraId="0CFB1C82" w14:textId="77777777" w:rsidR="00CD65C2" w:rsidRDefault="00CD65C2">
      <w:pPr>
        <w:pStyle w:val="SemEspaamento"/>
      </w:pPr>
    </w:p>
    <w:p w14:paraId="188167E4" w14:textId="77777777" w:rsidR="00CD65C2" w:rsidRDefault="00CD65C2">
      <w:pPr>
        <w:pStyle w:val="SemEspaamento"/>
      </w:pPr>
    </w:p>
    <w:p w14:paraId="377B664D" w14:textId="77777777" w:rsidR="00CD65C2" w:rsidRDefault="00CD65C2">
      <w:pPr>
        <w:pStyle w:val="SemEspaamento"/>
      </w:pPr>
    </w:p>
    <w:p w14:paraId="141074F6" w14:textId="77777777" w:rsidR="00CD65C2" w:rsidRDefault="00CD65C2">
      <w:pPr>
        <w:pStyle w:val="SemEspaamento"/>
      </w:pPr>
    </w:p>
    <w:p w14:paraId="5663C4CD" w14:textId="77777777" w:rsidR="00CD65C2" w:rsidRDefault="00CD65C2">
      <w:pPr>
        <w:pStyle w:val="SemEspaamento"/>
      </w:pPr>
    </w:p>
    <w:p w14:paraId="4C81D898" w14:textId="77777777" w:rsidR="00CD65C2" w:rsidRDefault="00CD65C2">
      <w:pPr>
        <w:pStyle w:val="SemEspaamento"/>
      </w:pPr>
    </w:p>
    <w:p w14:paraId="2C5F1D2E" w14:textId="77777777" w:rsidR="00CD65C2" w:rsidRDefault="00FA41FC">
      <w:pPr>
        <w:pStyle w:val="Ttulo1"/>
        <w:jc w:val="center"/>
        <w:rPr>
          <w:rFonts w:hint="eastAsia"/>
        </w:rPr>
      </w:pPr>
      <w:bookmarkStart w:id="49" w:name="_Toc165537201"/>
      <w:r>
        <w:t>Curcumina</w:t>
      </w:r>
      <w:bookmarkEnd w:id="49"/>
    </w:p>
    <w:p w14:paraId="57EF3F02" w14:textId="77777777" w:rsidR="00CD65C2" w:rsidRPr="00D1428E" w:rsidRDefault="00FA41FC">
      <w:pPr>
        <w:pStyle w:val="Corpo"/>
        <w:jc w:val="center"/>
        <w:rPr>
          <w:rFonts w:hint="eastAsia"/>
          <w:b/>
          <w:color w:val="0070C0"/>
          <w:sz w:val="40"/>
        </w:rPr>
      </w:pPr>
      <w:r w:rsidRPr="00D1428E">
        <w:rPr>
          <w:b/>
          <w:color w:val="0070C0"/>
          <w:sz w:val="40"/>
        </w:rPr>
        <w:t>Reduz a Hiperglicemia e o Hiperandrogenismo</w:t>
      </w:r>
    </w:p>
    <w:p w14:paraId="10510CA4" w14:textId="77777777" w:rsidR="00CD65C2" w:rsidRDefault="00CD65C2">
      <w:pPr>
        <w:pStyle w:val="Corpo"/>
        <w:rPr>
          <w:rFonts w:hint="eastAsia"/>
          <w:color w:val="404040" w:themeColor="text1" w:themeTint="BF"/>
          <w:sz w:val="24"/>
        </w:rPr>
      </w:pPr>
    </w:p>
    <w:p w14:paraId="105EAC0C" w14:textId="77777777" w:rsidR="00CD65C2" w:rsidRDefault="00CD65C2">
      <w:pPr>
        <w:pStyle w:val="Corpo"/>
        <w:spacing w:after="120"/>
        <w:rPr>
          <w:rFonts w:hint="eastAsia"/>
          <w:color w:val="404040" w:themeColor="text1" w:themeTint="BF"/>
          <w:sz w:val="24"/>
        </w:rPr>
      </w:pPr>
    </w:p>
    <w:p w14:paraId="1AFB123E" w14:textId="77777777" w:rsidR="00CD65C2" w:rsidRDefault="00CD65C2">
      <w:pPr>
        <w:pStyle w:val="Corpo"/>
        <w:spacing w:after="120"/>
        <w:rPr>
          <w:rFonts w:hint="eastAsia"/>
          <w:color w:val="404040" w:themeColor="text1" w:themeTint="BF"/>
          <w:sz w:val="24"/>
        </w:rPr>
      </w:pPr>
    </w:p>
    <w:p w14:paraId="2CF78BBF" w14:textId="7D69476D" w:rsidR="00CD65C2" w:rsidRDefault="00FA41FC">
      <w:pPr>
        <w:pStyle w:val="Corpo"/>
        <w:spacing w:after="120"/>
        <w:rPr>
          <w:rFonts w:hint="eastAsia"/>
          <w:color w:val="404040" w:themeColor="text1" w:themeTint="BF"/>
          <w:sz w:val="24"/>
        </w:rPr>
      </w:pPr>
      <w:r>
        <w:rPr>
          <w:color w:val="404040" w:themeColor="text1" w:themeTint="BF"/>
          <w:sz w:val="24"/>
        </w:rPr>
        <w:t xml:space="preserve">O objetivo deste estudo randomizado, duplo-cego e placebo-controlado foi avaliar os efeitos da curcumina na melhora da glicemia, resistência à insulina e hiperandrogenismo em indivíduos com SOPC </w:t>
      </w:r>
      <w:r>
        <w:rPr>
          <w:color w:val="404040" w:themeColor="text1" w:themeTint="BF"/>
          <w:sz w:val="24"/>
        </w:rPr>
        <w:fldChar w:fldCharType="begin">
          <w:fldData xml:space="preserve">PEVuZE5vdGU+PENpdGU+PEF1dGhvcj5IZXNobWF0aTwvQXV0aG9yPjxZZWFyPjIwMjE8L1llYXI+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</w:fldData>
        </w:fldChar>
      </w:r>
      <w:r>
        <w:rPr>
          <w:color w:val="404040" w:themeColor="text1" w:themeTint="BF"/>
          <w:sz w:val="24"/>
        </w:rPr>
        <w:instrText xml:space="preserve"> ADDIN EN.CITE </w:instrText>
      </w:r>
      <w:r>
        <w:rPr>
          <w:color w:val="404040" w:themeColor="text1" w:themeTint="BF"/>
          <w:sz w:val="24"/>
        </w:rPr>
        <w:fldChar w:fldCharType="begin">
          <w:fldData xml:space="preserve">PEVuZE5vdGU+PENpdGU+PEF1dGhvcj5IZXNobWF0aTwvQXV0aG9yPjxZZWFyPjIwMjE8L1llYXI+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</w:fldData>
        </w:fldChar>
      </w:r>
      <w:r>
        <w:rPr>
          <w:color w:val="404040" w:themeColor="text1" w:themeTint="BF"/>
          <w:sz w:val="24"/>
        </w:rPr>
        <w:instrText xml:space="preserve"> ADDIN EN.CITE.DATA </w:instrText>
      </w:r>
      <w:r>
        <w:rPr>
          <w:color w:val="404040" w:themeColor="text1" w:themeTint="BF"/>
          <w:sz w:val="24"/>
        </w:rPr>
      </w:r>
      <w:r>
        <w:rPr>
          <w:color w:val="404040" w:themeColor="text1" w:themeTint="BF"/>
          <w:sz w:val="24"/>
        </w:rPr>
        <w:fldChar w:fldCharType="end"/>
      </w:r>
      <w:r>
        <w:rPr>
          <w:color w:val="404040" w:themeColor="text1" w:themeTint="BF"/>
          <w:sz w:val="24"/>
        </w:rPr>
      </w:r>
      <w:r>
        <w:rPr>
          <w:color w:val="404040" w:themeColor="text1" w:themeTint="BF"/>
          <w:sz w:val="24"/>
        </w:rPr>
        <w:fldChar w:fldCharType="separate"/>
      </w:r>
      <w:r>
        <w:rPr>
          <w:color w:val="404040" w:themeColor="text1" w:themeTint="BF"/>
          <w:sz w:val="24"/>
        </w:rPr>
        <w:t>(HESHMATI; MOINI; SEPIDARKISH; MORVARIDZADEH</w:t>
      </w:r>
      <w:r>
        <w:rPr>
          <w:i/>
          <w:color w:val="404040" w:themeColor="text1" w:themeTint="BF"/>
          <w:sz w:val="24"/>
        </w:rPr>
        <w:t xml:space="preserve"> et al.</w:t>
      </w:r>
      <w:r>
        <w:rPr>
          <w:color w:val="404040" w:themeColor="text1" w:themeTint="BF"/>
          <w:sz w:val="24"/>
        </w:rPr>
        <w:t>, 2021)</w:t>
      </w:r>
      <w:r>
        <w:rPr>
          <w:color w:val="404040" w:themeColor="text1" w:themeTint="BF"/>
          <w:sz w:val="24"/>
        </w:rPr>
        <w:fldChar w:fldCharType="end"/>
      </w:r>
      <w:r>
        <w:rPr>
          <w:color w:val="404040" w:themeColor="text1" w:themeTint="BF"/>
          <w:sz w:val="24"/>
        </w:rPr>
        <w:t xml:space="preserve">. </w:t>
      </w:r>
    </w:p>
    <w:p w14:paraId="2FB8F335"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50400" behindDoc="0" locked="0" layoutInCell="1" allowOverlap="1">
                <wp:simplePos x="0" y="0"/>
                <wp:positionH relativeFrom="margin">
                  <wp:posOffset>5080</wp:posOffset>
                </wp:positionH>
                <wp:positionV relativeFrom="paragraph">
                  <wp:posOffset>96520</wp:posOffset>
                </wp:positionV>
                <wp:extent cx="5724525" cy="518160"/>
                <wp:effectExtent l="0" t="0" r="28575" b="15240"/>
                <wp:wrapNone/>
                <wp:docPr id="739657669" name="Caixa de texto 739657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0070C0"/>
                          </a:solidFill>
                          <a:miter lim="800000"/>
                        </a:ln>
                      </wps:spPr>
                      <wps:txbx>
                        <w:txbxContent>
                          <w:p w14:paraId="398C6726" w14:textId="77777777" w:rsidR="00FA41FC" w:rsidRDefault="00FA41FC">
                            <w:pPr>
                              <w:jc w:val="center"/>
                              <w:rPr>
                                <w:rFonts w:ascii="Swis721 Th BT" w:hAnsi="Swis721 Th BT"/>
                                <w:sz w:val="23"/>
                                <w:szCs w:val="23"/>
                              </w:rPr>
                            </w:pPr>
                            <w:r>
                              <w:rPr>
                                <w:rFonts w:ascii="Swis721 Th BT" w:hAnsi="Swis721 Th BT"/>
                                <w:sz w:val="23"/>
                                <w:szCs w:val="23"/>
                              </w:rPr>
                              <w:t xml:space="preserve">Para isso, 67 mulheres com SOPC foram selecionadas para receberem durante 12 semanas: </w:t>
                            </w:r>
                          </w:p>
                        </w:txbxContent>
                      </wps:txbx>
                      <wps:bodyPr rot="0" vert="horz" wrap="square" lIns="91440" tIns="45720" rIns="91440" bIns="45720" anchor="t" anchorCtr="0" upright="1">
                        <a:noAutofit/>
                      </wps:bodyPr>
                    </wps:wsp>
                  </a:graphicData>
                </a:graphic>
              </wp:anchor>
            </w:drawing>
          </mc:Choice>
          <mc:Fallback>
            <w:pict>
              <v:shape id="Caixa de texto 739657669" o:spid="_x0000_s1087" type="#_x0000_t202" style="position:absolute;left:0;text-align:left;margin-left:.4pt;margin-top:7.6pt;width:450.75pt;height:40.8pt;z-index:2517504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" fillcolor="white [3212]" strokecolor="#0070c0">
                <v:textbox>
                  <w:txbxContent>
                    <w:p w14:paraId="398C6726" w14:textId="77777777" w:rsidR="00FA41FC" w:rsidRDefault="00FA41FC">
                      <w:pPr>
                        <w:jc w:val="center"/>
                        <w:rPr>
                          <w:rFonts w:ascii="Swis721 Th BT" w:hAnsi="Swis721 Th BT"/>
                          <w:sz w:val="23"/>
                          <w:szCs w:val="23"/>
                        </w:rPr>
                      </w:pPr>
                      <w:r>
                        <w:rPr>
                          <w:rFonts w:ascii="Swis721 Th BT" w:hAnsi="Swis721 Th BT"/>
                          <w:sz w:val="23"/>
                          <w:szCs w:val="23"/>
                        </w:rPr>
                        <w:t xml:space="preserve">Para isso, 67 mulheres com SOPC foram selecionadas para receberem durante 12 semanas: </w:t>
                      </w:r>
                    </w:p>
                  </w:txbxContent>
                </v:textbox>
                <w10:wrap anchorx="margin"/>
              </v:shape>
            </w:pict>
          </mc:Fallback>
        </mc:AlternateContent>
      </w:r>
      <w:r>
        <w:rPr>
          <w:color w:val="404040" w:themeColor="text1" w:themeTint="BF"/>
          <w:sz w:val="24"/>
        </w:rPr>
        <w:br/>
      </w:r>
    </w:p>
    <w:p w14:paraId="5A5DEE53" w14:textId="77777777" w:rsidR="00CD65C2" w:rsidRDefault="00CD65C2">
      <w:pPr>
        <w:pStyle w:val="Corpo"/>
        <w:rPr>
          <w:rFonts w:hint="eastAsia"/>
          <w:color w:val="404040" w:themeColor="text1" w:themeTint="BF"/>
        </w:rPr>
      </w:pPr>
    </w:p>
    <w:p w14:paraId="608CD7F7" w14:textId="77777777" w:rsidR="00CD65C2" w:rsidRDefault="00CD65C2">
      <w:pPr>
        <w:pStyle w:val="Corpo"/>
        <w:rPr>
          <w:rFonts w:hint="eastAsia"/>
          <w:color w:val="404040" w:themeColor="text1" w:themeTint="BF"/>
        </w:rPr>
      </w:pPr>
    </w:p>
    <w:p w14:paraId="16461B90"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748352"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739657670" name="Triângulo isósceles 739657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670" o:spid="_x0000_s1026" o:spt="5" type="#_x0000_t5" style="position:absolute;left:0pt;flip:y;margin-left:65.25pt;margin-top:0.85pt;height:10.9pt;width:17.85pt;z-index:251748352;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n+uDbdYAAAAIAQAADwAAAAAAAAABACAAAAAiAAAAZHJzL2Rvd25yZXYueG1sUEsBAhQAFAAAAAgA&#10;h07iQCThI99gAgAAswQAAA4AAAAAAAAAAQAgAAAAJQEAAGRycy9lMm9Eb2MueG1sUEsFBgAAAAAG&#10;AAYAWQEAAPcFA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747328" behindDoc="0" locked="0" layoutInCell="1" allowOverlap="1">
                <wp:simplePos x="0" y="0"/>
                <wp:positionH relativeFrom="column">
                  <wp:posOffset>4664710</wp:posOffset>
                </wp:positionH>
                <wp:positionV relativeFrom="paragraph">
                  <wp:posOffset>10795</wp:posOffset>
                </wp:positionV>
                <wp:extent cx="226695" cy="138430"/>
                <wp:effectExtent l="0" t="0" r="1905" b="0"/>
                <wp:wrapNone/>
                <wp:docPr id="739657671" name="Triângulo isósceles 739657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671" o:spid="_x0000_s1026" o:spt="5" type="#_x0000_t5" style="position:absolute;left:0pt;flip:y;margin-left:367.3pt;margin-top:0.85pt;height:10.9pt;width:17.85pt;z-index:251747328;mso-width-relative:page;mso-height-relative:page;" fillcolor="#D9D9D9 [3212]" filled="t" stroked="f" coordsize="21600,21600" o:gfxdata="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CrIplbWAAAACAEAAA8AAAAAAAAAAQAgAAAAIgAAAGRycy9kb3ducmV2LnhtbFBLAQIUABQAAAAI&#10;AIdO4kCMsNuZYQIAALMEAAAOAAAAAAAAAAEAIAAAACUBAABkcnMvZTJvRG9jLnhtbFBLBQYAAAAA&#10;BgAGAFkBAAD4BQAAAAA=&#10;" adj="10800">
                <v:fill on="t" focussize="0,0"/>
                <v:stroke on="f"/>
                <v:imagedata o:title=""/>
                <o:lock v:ext="edit" aspectratio="f"/>
              </v:shape>
            </w:pict>
          </mc:Fallback>
        </mc:AlternateContent>
      </w:r>
    </w:p>
    <w:p w14:paraId="1A9C2E51"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746304" behindDoc="0" locked="0" layoutInCell="1" allowOverlap="1">
                <wp:simplePos x="0" y="0"/>
                <wp:positionH relativeFrom="column">
                  <wp:posOffset>-5715</wp:posOffset>
                </wp:positionH>
                <wp:positionV relativeFrom="paragraph">
                  <wp:posOffset>88900</wp:posOffset>
                </wp:positionV>
                <wp:extent cx="1913890" cy="781685"/>
                <wp:effectExtent l="0" t="0" r="10160" b="18415"/>
                <wp:wrapNone/>
                <wp:docPr id="739657672" name="Caixa de texto 739657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191FDD4B"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Curcumina</w:t>
                            </w:r>
                          </w:p>
                          <w:p w14:paraId="76793958"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500 mg 3 vezes ao dia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739657672" o:spid="_x0000_s1088" type="#_x0000_t202" style="position:absolute;left:0;text-align:left;margin-left:-.45pt;margin-top:7pt;width:150.7pt;height:61.55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" fillcolor="#0070c0" strokecolor="#0070c0">
                <v:textbox>
                  <w:txbxContent>
                    <w:p w14:paraId="191FDD4B"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Curcumina</w:t>
                      </w:r>
                    </w:p>
                    <w:p w14:paraId="76793958"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500 mg 3 vezes ao dia</w:t>
                      </w:r>
                      <w:r>
                        <w:rPr>
                          <w:rFonts w:ascii="Swis721 Th BT" w:hAnsi="Swis721 Th BT"/>
                          <w:color w:val="FFFFFF" w:themeColor="background1"/>
                          <w:szCs w:val="23"/>
                        </w:rPr>
                        <w:t xml:space="preserve"> </w:t>
                      </w: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749376" behindDoc="0" locked="0" layoutInCell="1" allowOverlap="1">
                <wp:simplePos x="0" y="0"/>
                <wp:positionH relativeFrom="column">
                  <wp:posOffset>3839210</wp:posOffset>
                </wp:positionH>
                <wp:positionV relativeFrom="paragraph">
                  <wp:posOffset>88900</wp:posOffset>
                </wp:positionV>
                <wp:extent cx="1905000" cy="781685"/>
                <wp:effectExtent l="0" t="0" r="19050" b="18415"/>
                <wp:wrapNone/>
                <wp:docPr id="739657673" name="Caixa de texto 739657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0AA43313"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584812C7" w14:textId="77777777" w:rsidR="00FA41FC" w:rsidRDefault="00FA41FC">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739657673" o:spid="_x0000_s1089" type="#_x0000_t202" style="position:absolute;left:0;text-align:left;margin-left:302.3pt;margin-top:7pt;width:150pt;height:61.5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" fillcolor="#0070c0" strokecolor="#0070c0">
                <v:textbox>
                  <w:txbxContent>
                    <w:p w14:paraId="0AA43313"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584812C7" w14:textId="77777777" w:rsidR="00FA41FC" w:rsidRDefault="00FA41FC">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14:paraId="600542F1" w14:textId="77777777" w:rsidR="00CD65C2" w:rsidRDefault="00CD65C2">
      <w:pPr>
        <w:pStyle w:val="Corpo"/>
        <w:rPr>
          <w:rFonts w:hint="eastAsia"/>
          <w:color w:val="404040" w:themeColor="text1" w:themeTint="BF"/>
        </w:rPr>
      </w:pPr>
    </w:p>
    <w:p w14:paraId="44E611E9" w14:textId="77777777" w:rsidR="00CD65C2" w:rsidRDefault="00CD65C2">
      <w:pPr>
        <w:pStyle w:val="Corpo"/>
        <w:rPr>
          <w:rFonts w:hint="eastAsia"/>
          <w:color w:val="404040" w:themeColor="text1" w:themeTint="BF"/>
        </w:rPr>
      </w:pPr>
    </w:p>
    <w:p w14:paraId="4949E2DF" w14:textId="77777777" w:rsidR="00CD65C2" w:rsidRDefault="00CD65C2">
      <w:pPr>
        <w:pStyle w:val="Corpo"/>
        <w:rPr>
          <w:rFonts w:hint="eastAsia"/>
          <w:color w:val="404040" w:themeColor="text1" w:themeTint="BF"/>
        </w:rPr>
      </w:pPr>
    </w:p>
    <w:p w14:paraId="32916CF0" w14:textId="77777777" w:rsidR="00CD65C2" w:rsidRDefault="00CD65C2">
      <w:pPr>
        <w:pStyle w:val="Corpo"/>
        <w:spacing w:before="120"/>
        <w:rPr>
          <w:rFonts w:hint="eastAsia"/>
          <w:color w:val="404040" w:themeColor="text1" w:themeTint="BF"/>
          <w:sz w:val="20"/>
        </w:rPr>
      </w:pPr>
    </w:p>
    <w:p w14:paraId="5F5ABB7B" w14:textId="77ECFC95" w:rsidR="00CD65C2" w:rsidRPr="00D1428E" w:rsidRDefault="00FA41FC">
      <w:pPr>
        <w:pStyle w:val="Corpo"/>
        <w:numPr>
          <w:ilvl w:val="0"/>
          <w:numId w:val="4"/>
        </w:numPr>
        <w:spacing w:before="120" w:after="0"/>
        <w:ind w:left="765"/>
        <w:rPr>
          <w:rFonts w:hint="eastAsia"/>
          <w:color w:val="404040" w:themeColor="text1" w:themeTint="BF"/>
          <w:sz w:val="20"/>
          <w:szCs w:val="20"/>
        </w:rPr>
      </w:pPr>
      <w:r w:rsidRPr="00D1428E">
        <w:rPr>
          <w:color w:val="404040" w:themeColor="text1" w:themeTint="BF"/>
          <w:sz w:val="20"/>
          <w:szCs w:val="20"/>
        </w:rPr>
        <w:t>Os desfechos prim</w:t>
      </w:r>
      <w:r w:rsidRPr="00D1428E">
        <w:rPr>
          <w:rFonts w:hint="cs"/>
          <w:color w:val="404040" w:themeColor="text1" w:themeTint="BF"/>
          <w:sz w:val="20"/>
          <w:szCs w:val="20"/>
        </w:rPr>
        <w:t>á</w:t>
      </w:r>
      <w:r w:rsidRPr="00D1428E">
        <w:rPr>
          <w:color w:val="404040" w:themeColor="text1" w:themeTint="BF"/>
          <w:sz w:val="20"/>
          <w:szCs w:val="20"/>
        </w:rPr>
        <w:t>rios foram glicose plasm</w:t>
      </w:r>
      <w:r w:rsidRPr="00D1428E">
        <w:rPr>
          <w:rFonts w:hint="cs"/>
          <w:color w:val="404040" w:themeColor="text1" w:themeTint="BF"/>
          <w:sz w:val="20"/>
          <w:szCs w:val="20"/>
        </w:rPr>
        <w:t>á</w:t>
      </w:r>
      <w:r w:rsidRPr="00D1428E">
        <w:rPr>
          <w:color w:val="404040" w:themeColor="text1" w:themeTint="BF"/>
          <w:sz w:val="20"/>
          <w:szCs w:val="20"/>
        </w:rPr>
        <w:t>tica em jejum (GPJ), insulina em jejum (IJ), n</w:t>
      </w:r>
      <w:r w:rsidRPr="00D1428E">
        <w:rPr>
          <w:rFonts w:hint="cs"/>
          <w:color w:val="404040" w:themeColor="text1" w:themeTint="BF"/>
          <w:sz w:val="20"/>
          <w:szCs w:val="20"/>
        </w:rPr>
        <w:t>í</w:t>
      </w:r>
      <w:r w:rsidRPr="00D1428E">
        <w:rPr>
          <w:color w:val="404040" w:themeColor="text1" w:themeTint="BF"/>
          <w:sz w:val="20"/>
          <w:szCs w:val="20"/>
        </w:rPr>
        <w:t>veis de horm</w:t>
      </w:r>
      <w:r w:rsidRPr="00D1428E">
        <w:rPr>
          <w:rFonts w:hint="cs"/>
          <w:color w:val="404040" w:themeColor="text1" w:themeTint="BF"/>
          <w:sz w:val="20"/>
          <w:szCs w:val="20"/>
        </w:rPr>
        <w:t>ô</w:t>
      </w:r>
      <w:r w:rsidRPr="00D1428E">
        <w:rPr>
          <w:color w:val="404040" w:themeColor="text1" w:themeTint="BF"/>
          <w:sz w:val="20"/>
          <w:szCs w:val="20"/>
        </w:rPr>
        <w:t>nio sexual e hirsutismo (pontua</w:t>
      </w:r>
      <w:r w:rsidRPr="00D1428E">
        <w:rPr>
          <w:rFonts w:hint="cs"/>
          <w:color w:val="404040" w:themeColor="text1" w:themeTint="BF"/>
          <w:sz w:val="20"/>
          <w:szCs w:val="20"/>
        </w:rPr>
        <w:t>çã</w:t>
      </w:r>
      <w:r w:rsidRPr="00D1428E">
        <w:rPr>
          <w:color w:val="404040" w:themeColor="text1" w:themeTint="BF"/>
          <w:sz w:val="20"/>
          <w:szCs w:val="20"/>
        </w:rPr>
        <w:t xml:space="preserve">o de </w:t>
      </w:r>
      <w:r w:rsidRPr="00D1428E">
        <w:rPr>
          <w:rFonts w:hint="eastAsia"/>
          <w:i/>
          <w:iCs/>
          <w:color w:val="404040" w:themeColor="text1" w:themeTint="BF"/>
          <w:sz w:val="20"/>
          <w:szCs w:val="20"/>
        </w:rPr>
        <w:t>Ferriman-Gallwey</w:t>
      </w:r>
      <w:r w:rsidRPr="00D1428E">
        <w:rPr>
          <w:rFonts w:hint="eastAsia"/>
          <w:color w:val="404040" w:themeColor="text1" w:themeTint="BF"/>
          <w:sz w:val="20"/>
          <w:szCs w:val="20"/>
        </w:rPr>
        <w:t xml:space="preserve"> [mFG])</w:t>
      </w:r>
      <w:r>
        <w:rPr>
          <w:color w:val="404040" w:themeColor="text1" w:themeTint="BF"/>
          <w:sz w:val="20"/>
          <w:szCs w:val="20"/>
        </w:rPr>
        <w:t xml:space="preserve">. </w:t>
      </w:r>
      <w:r w:rsidRPr="00D1428E">
        <w:rPr>
          <w:color w:val="404040" w:themeColor="text1" w:themeTint="BF"/>
          <w:sz w:val="20"/>
          <w:szCs w:val="20"/>
        </w:rPr>
        <w:t>Os desfechos secund</w:t>
      </w:r>
      <w:r w:rsidRPr="00D1428E">
        <w:rPr>
          <w:rFonts w:hint="cs"/>
          <w:color w:val="404040" w:themeColor="text1" w:themeTint="BF"/>
          <w:sz w:val="20"/>
          <w:szCs w:val="20"/>
        </w:rPr>
        <w:t>á</w:t>
      </w:r>
      <w:r w:rsidRPr="00D1428E">
        <w:rPr>
          <w:color w:val="404040" w:themeColor="text1" w:themeTint="BF"/>
          <w:sz w:val="20"/>
          <w:szCs w:val="20"/>
        </w:rPr>
        <w:t>rios inclu</w:t>
      </w:r>
      <w:r w:rsidRPr="00D1428E">
        <w:rPr>
          <w:rFonts w:hint="cs"/>
          <w:color w:val="404040" w:themeColor="text1" w:themeTint="BF"/>
          <w:sz w:val="20"/>
          <w:szCs w:val="20"/>
        </w:rPr>
        <w:t>í</w:t>
      </w:r>
      <w:r w:rsidRPr="00D1428E">
        <w:rPr>
          <w:color w:val="404040" w:themeColor="text1" w:themeTint="BF"/>
          <w:sz w:val="20"/>
          <w:szCs w:val="20"/>
        </w:rPr>
        <w:t>ram medidas antropom</w:t>
      </w:r>
      <w:r w:rsidRPr="00D1428E">
        <w:rPr>
          <w:rFonts w:hint="cs"/>
          <w:color w:val="404040" w:themeColor="text1" w:themeTint="BF"/>
          <w:sz w:val="20"/>
          <w:szCs w:val="20"/>
        </w:rPr>
        <w:t>é</w:t>
      </w:r>
      <w:r w:rsidRPr="00D1428E">
        <w:rPr>
          <w:color w:val="404040" w:themeColor="text1" w:themeTint="BF"/>
          <w:sz w:val="20"/>
          <w:szCs w:val="20"/>
        </w:rPr>
        <w:t xml:space="preserve">tricas. </w:t>
      </w:r>
    </w:p>
    <w:p w14:paraId="36D74BFB" w14:textId="77777777" w:rsidR="00CD65C2" w:rsidRDefault="00CD65C2">
      <w:pPr>
        <w:pStyle w:val="Corpo"/>
        <w:rPr>
          <w:rFonts w:hint="eastAsia"/>
          <w:color w:val="404040" w:themeColor="text1" w:themeTint="BF"/>
          <w:sz w:val="20"/>
        </w:rPr>
      </w:pPr>
    </w:p>
    <w:p w14:paraId="7C8A9E0B"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6CDDFF3C"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1B9588BA" w14:textId="77777777" w:rsidR="00CD65C2" w:rsidRDefault="00CD65C2">
      <w:pPr>
        <w:pStyle w:val="Corpo"/>
        <w:rPr>
          <w:rFonts w:hint="eastAsia"/>
          <w:b/>
          <w:color w:val="404040" w:themeColor="text1" w:themeTint="BF"/>
          <w:szCs w:val="23"/>
        </w:rPr>
      </w:pPr>
    </w:p>
    <w:p w14:paraId="52AAF8A6" w14:textId="6ABC9971" w:rsidR="00CD65C2" w:rsidRDefault="00FA41FC">
      <w:pPr>
        <w:pStyle w:val="Corpo"/>
        <w:numPr>
          <w:ilvl w:val="0"/>
          <w:numId w:val="5"/>
        </w:numPr>
        <w:rPr>
          <w:rFonts w:hint="eastAsia"/>
          <w:color w:val="404040" w:themeColor="text1" w:themeTint="BF"/>
          <w:szCs w:val="23"/>
        </w:rPr>
      </w:pPr>
      <w:r>
        <w:rPr>
          <w:color w:val="404040" w:themeColor="text1" w:themeTint="BF"/>
          <w:szCs w:val="23"/>
        </w:rPr>
        <w:t>No final do estudo, os níveis de GPJ e dehidroepiandrosterona diminuíram significativamente no grupo 1 em comparação com o controle (diferença de mudança (pós-pré) entre os grupos de intervenção e placebo (-4,11 mg/dL; - 0,35 mg/dL no grupo 1 / 26,53 µg/dL; -4,34 µg/dL no grupo 2);</w:t>
      </w:r>
    </w:p>
    <w:p w14:paraId="0411D12C" w14:textId="77777777" w:rsidR="00CD65C2" w:rsidRDefault="00FA41FC">
      <w:pPr>
        <w:pStyle w:val="Corpo"/>
        <w:numPr>
          <w:ilvl w:val="0"/>
          <w:numId w:val="5"/>
        </w:numPr>
        <w:rPr>
          <w:rFonts w:hint="eastAsia"/>
          <w:color w:val="404040" w:themeColor="text1" w:themeTint="BF"/>
          <w:szCs w:val="23"/>
        </w:rPr>
      </w:pPr>
      <w:r>
        <w:rPr>
          <w:color w:val="404040" w:themeColor="text1" w:themeTint="BF"/>
          <w:szCs w:val="23"/>
        </w:rPr>
        <w:t>Também observamos um aumento estatisticamente não significativo nos níveis de estradiol no grupo 1 em relação ao controle;</w:t>
      </w:r>
    </w:p>
    <w:p w14:paraId="3A9248CC" w14:textId="77777777" w:rsidR="00CD65C2" w:rsidRDefault="00FA41FC">
      <w:pPr>
        <w:pStyle w:val="Corpo"/>
        <w:numPr>
          <w:ilvl w:val="0"/>
          <w:numId w:val="5"/>
        </w:numPr>
        <w:rPr>
          <w:rFonts w:hint="eastAsia"/>
          <w:color w:val="404040" w:themeColor="text1" w:themeTint="BF"/>
          <w:szCs w:val="23"/>
        </w:rPr>
      </w:pPr>
      <w:r>
        <w:rPr>
          <w:color w:val="404040" w:themeColor="text1" w:themeTint="BF"/>
          <w:szCs w:val="23"/>
        </w:rPr>
        <w:t>Nenhum evento adverso sério foi relatado durante o ensaio.</w:t>
      </w:r>
    </w:p>
    <w:p w14:paraId="18FF7C59"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1C522BB0"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 xml:space="preserve">Conclusão: </w:t>
      </w:r>
    </w:p>
    <w:p w14:paraId="1762D21C"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4523477A" w14:textId="77777777" w:rsidR="00CD65C2" w:rsidRDefault="00FA41FC">
      <w:pPr>
        <w:pStyle w:val="Corpo"/>
        <w:jc w:val="center"/>
        <w:rPr>
          <w:rFonts w:hint="eastAsia"/>
          <w:b/>
          <w:i/>
          <w:color w:val="404040" w:themeColor="text1" w:themeTint="BF"/>
        </w:rPr>
      </w:pPr>
      <w:r>
        <w:rPr>
          <w:b/>
          <w:i/>
          <w:color w:val="404040" w:themeColor="text1" w:themeTint="BF"/>
        </w:rPr>
        <w:t xml:space="preserve">A curcumina pode ser um suplemento seguro e útil para melhorar a hiperandrogenemia e hiperglicemia associadas à SOPC. </w:t>
      </w:r>
    </w:p>
    <w:p w14:paraId="7579DBD9" w14:textId="77777777" w:rsidR="00CD65C2" w:rsidRDefault="00FA41FC">
      <w:pPr>
        <w:pStyle w:val="Ttulo1"/>
        <w:jc w:val="center"/>
        <w:rPr>
          <w:rFonts w:hint="eastAsia"/>
        </w:rPr>
      </w:pPr>
      <w:bookmarkStart w:id="50" w:name="_Toc165537202"/>
      <w:r>
        <w:t>Formulário</w:t>
      </w:r>
      <w:bookmarkEnd w:id="50"/>
    </w:p>
    <w:p w14:paraId="5EF40D70" w14:textId="77777777" w:rsidR="00CD65C2" w:rsidRDefault="00CD65C2">
      <w:pPr>
        <w:pStyle w:val="Corpo"/>
        <w:rPr>
          <w:rFonts w:hint="eastAsia"/>
          <w:b/>
          <w:i/>
          <w:color w:val="404040" w:themeColor="text1" w:themeTint="BF"/>
        </w:rPr>
      </w:pPr>
    </w:p>
    <w:p w14:paraId="53B47A65" w14:textId="77777777" w:rsidR="00CD65C2" w:rsidRDefault="00CD65C2">
      <w:pPr>
        <w:pStyle w:val="Corpo"/>
        <w:rPr>
          <w:rFonts w:hint="eastAsia"/>
          <w:b/>
          <w:i/>
          <w:color w:val="404040" w:themeColor="text1" w:themeTint="BF"/>
        </w:rPr>
      </w:pPr>
    </w:p>
    <w:p w14:paraId="4DC8666F" w14:textId="77777777" w:rsidR="00CD65C2" w:rsidRDefault="00FA41FC">
      <w:pPr>
        <w:pStyle w:val="Corpo"/>
        <w:rPr>
          <w:rFonts w:hint="eastAsia"/>
          <w:b/>
          <w:i/>
          <w:color w:val="404040" w:themeColor="text1" w:themeTint="BF"/>
          <w:sz w:val="24"/>
        </w:rPr>
      </w:pPr>
      <w:r>
        <w:rPr>
          <w:b/>
          <w:i/>
          <w:color w:val="404040" w:themeColor="text1" w:themeTint="BF"/>
          <w:sz w:val="24"/>
        </w:rPr>
        <w:t>Redução da Hiperglicemia e Hiperandrogenismo na SOPC</w:t>
      </w:r>
    </w:p>
    <w:p w14:paraId="1C0E7FD3"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0EA0F4F1"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734A90C6" w14:textId="77777777" w:rsidR="00CD65C2" w:rsidRDefault="00FA41FC">
            <w:pPr>
              <w:pStyle w:val="Corpo"/>
              <w:jc w:val="center"/>
              <w:rPr>
                <w:rFonts w:hint="eastAsia"/>
                <w:b/>
                <w:color w:val="FFFFFF" w:themeColor="background1"/>
              </w:rPr>
            </w:pPr>
            <w:r>
              <w:rPr>
                <w:b/>
                <w:color w:val="FFFFFF" w:themeColor="background1"/>
                <w:sz w:val="22"/>
              </w:rPr>
              <w:t>Cápsulas de Curcumina</w:t>
            </w:r>
          </w:p>
        </w:tc>
      </w:tr>
      <w:tr w:rsidR="00CD65C2" w14:paraId="1958C7F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FE18283" w14:textId="77777777" w:rsidR="00CD65C2" w:rsidRDefault="00FA41FC">
            <w:pPr>
              <w:pStyle w:val="Corpo"/>
              <w:rPr>
                <w:rFonts w:hint="eastAsia"/>
                <w:color w:val="404040" w:themeColor="text1" w:themeTint="BF"/>
              </w:rPr>
            </w:pPr>
            <w:r>
              <w:rPr>
                <w:color w:val="404040" w:themeColor="text1" w:themeTint="BF"/>
              </w:rPr>
              <w:t>Curcumina......................................500 mg</w:t>
            </w:r>
          </w:p>
        </w:tc>
      </w:tr>
      <w:tr w:rsidR="00CD65C2" w14:paraId="236F613D"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DFB0EB0" w14:textId="60577950" w:rsidR="00CD65C2" w:rsidRDefault="00FA41FC">
            <w:pPr>
              <w:pStyle w:val="Corpo"/>
              <w:rPr>
                <w:rFonts w:hint="eastAsia"/>
                <w:color w:val="404040" w:themeColor="text1" w:themeTint="BF"/>
              </w:rPr>
            </w:pPr>
            <w:r>
              <w:rPr>
                <w:color w:val="404040" w:themeColor="text1" w:themeTint="BF"/>
              </w:rPr>
              <w:t>Excipiente q.s.p. ........................1 Cápsula</w:t>
            </w:r>
          </w:p>
        </w:tc>
      </w:tr>
    </w:tbl>
    <w:p w14:paraId="02F218D6" w14:textId="16D5D62B" w:rsidR="00CD65C2" w:rsidRDefault="00FA41FC">
      <w:pPr>
        <w:pStyle w:val="Corpo"/>
        <w:ind w:right="4762"/>
        <w:jc w:val="center"/>
        <w:rPr>
          <w:rFonts w:hint="eastAsia"/>
          <w:color w:val="404040" w:themeColor="text1" w:themeTint="BF"/>
          <w:sz w:val="22"/>
          <w:szCs w:val="22"/>
        </w:rPr>
      </w:pPr>
      <w:r>
        <w:rPr>
          <w:color w:val="404040" w:themeColor="text1" w:themeTint="BF"/>
          <w:sz w:val="22"/>
          <w:szCs w:val="22"/>
        </w:rPr>
        <w:t>Administrar 1 cápsula três vezes ao dia ou conforme orientação médica.</w:t>
      </w:r>
    </w:p>
    <w:p w14:paraId="1CAF7BA6" w14:textId="77777777" w:rsidR="00CD65C2" w:rsidRDefault="00CD65C2">
      <w:pPr>
        <w:pStyle w:val="SemEspaamento"/>
      </w:pPr>
    </w:p>
    <w:p w14:paraId="132741BD" w14:textId="77777777" w:rsidR="00CD65C2" w:rsidRDefault="00CD65C2">
      <w:pPr>
        <w:pStyle w:val="SemEspaamento"/>
      </w:pPr>
    </w:p>
    <w:p w14:paraId="64119D24" w14:textId="77777777" w:rsidR="00CD65C2" w:rsidRDefault="00CD65C2">
      <w:pPr>
        <w:pStyle w:val="SemEspaamento"/>
      </w:pPr>
    </w:p>
    <w:p w14:paraId="12C651BC" w14:textId="77777777" w:rsidR="00CD65C2" w:rsidRDefault="00CD65C2">
      <w:pPr>
        <w:pStyle w:val="SemEspaamento"/>
      </w:pPr>
    </w:p>
    <w:p w14:paraId="5D3A631A" w14:textId="77777777" w:rsidR="00CD65C2" w:rsidRDefault="00CD65C2">
      <w:pPr>
        <w:pStyle w:val="SemEspaamento"/>
      </w:pPr>
    </w:p>
    <w:p w14:paraId="23F8B311" w14:textId="77777777" w:rsidR="00CD65C2" w:rsidRDefault="00CD65C2">
      <w:pPr>
        <w:pStyle w:val="SemEspaamento"/>
      </w:pPr>
    </w:p>
    <w:p w14:paraId="16FA45C1" w14:textId="77777777" w:rsidR="00CD65C2" w:rsidRDefault="00CD65C2">
      <w:pPr>
        <w:pStyle w:val="SemEspaamento"/>
      </w:pPr>
    </w:p>
    <w:p w14:paraId="1A52C7E5" w14:textId="77777777" w:rsidR="00CD65C2" w:rsidRDefault="00CD65C2">
      <w:pPr>
        <w:pStyle w:val="SemEspaamento"/>
      </w:pPr>
    </w:p>
    <w:p w14:paraId="74CB5A4E" w14:textId="77777777" w:rsidR="00CD65C2" w:rsidRDefault="00CD65C2">
      <w:pPr>
        <w:pStyle w:val="SemEspaamento"/>
      </w:pPr>
    </w:p>
    <w:p w14:paraId="3854526E" w14:textId="77777777" w:rsidR="00CD65C2" w:rsidRDefault="00CD65C2">
      <w:pPr>
        <w:pStyle w:val="SemEspaamento"/>
      </w:pPr>
    </w:p>
    <w:p w14:paraId="15EB159D" w14:textId="77777777" w:rsidR="00CD65C2" w:rsidRDefault="00CD65C2">
      <w:pPr>
        <w:pStyle w:val="SemEspaamento"/>
      </w:pPr>
    </w:p>
    <w:p w14:paraId="76A8DEBB" w14:textId="77777777" w:rsidR="00CD65C2" w:rsidRDefault="00CD65C2">
      <w:pPr>
        <w:pStyle w:val="SemEspaamento"/>
      </w:pPr>
    </w:p>
    <w:p w14:paraId="47759CB3" w14:textId="77777777" w:rsidR="00CD65C2" w:rsidRDefault="00CD65C2">
      <w:pPr>
        <w:pStyle w:val="SemEspaamento"/>
      </w:pPr>
    </w:p>
    <w:p w14:paraId="0609671B" w14:textId="77777777" w:rsidR="00CD65C2" w:rsidRDefault="00CD65C2">
      <w:pPr>
        <w:pStyle w:val="SemEspaamento"/>
      </w:pPr>
    </w:p>
    <w:p w14:paraId="31C535C0" w14:textId="77777777" w:rsidR="00CD65C2" w:rsidRDefault="00CD65C2">
      <w:pPr>
        <w:pStyle w:val="SemEspaamento"/>
      </w:pPr>
    </w:p>
    <w:p w14:paraId="75ABD067" w14:textId="77777777" w:rsidR="00CD65C2" w:rsidRDefault="00CD65C2">
      <w:pPr>
        <w:pStyle w:val="SemEspaamento"/>
      </w:pPr>
    </w:p>
    <w:p w14:paraId="5B66EE76" w14:textId="77777777" w:rsidR="00CD65C2" w:rsidRDefault="00CD65C2">
      <w:pPr>
        <w:pStyle w:val="SemEspaamento"/>
      </w:pPr>
    </w:p>
    <w:p w14:paraId="16D70634" w14:textId="77777777" w:rsidR="00CD65C2" w:rsidRDefault="00CD65C2">
      <w:pPr>
        <w:pStyle w:val="SemEspaamento"/>
      </w:pPr>
    </w:p>
    <w:p w14:paraId="5215AA7E" w14:textId="77777777" w:rsidR="00CD65C2" w:rsidRDefault="00CD65C2">
      <w:pPr>
        <w:pStyle w:val="SemEspaamento"/>
      </w:pPr>
    </w:p>
    <w:p w14:paraId="243A870E" w14:textId="77777777" w:rsidR="00CD65C2" w:rsidRDefault="00CD65C2">
      <w:pPr>
        <w:pStyle w:val="SemEspaamento"/>
      </w:pPr>
    </w:p>
    <w:p w14:paraId="745BF169" w14:textId="77777777" w:rsidR="00CD65C2" w:rsidRDefault="00CD65C2">
      <w:pPr>
        <w:pStyle w:val="SemEspaamento"/>
      </w:pPr>
    </w:p>
    <w:p w14:paraId="0649345F" w14:textId="77777777" w:rsidR="00CD65C2" w:rsidRDefault="00CD65C2">
      <w:pPr>
        <w:pStyle w:val="SemEspaamento"/>
      </w:pPr>
    </w:p>
    <w:p w14:paraId="416AD14A" w14:textId="77777777" w:rsidR="00CD65C2" w:rsidRDefault="00CD65C2">
      <w:pPr>
        <w:pStyle w:val="SemEspaamento"/>
      </w:pPr>
    </w:p>
    <w:p w14:paraId="39EBE73D" w14:textId="77777777" w:rsidR="00CD65C2" w:rsidRDefault="00CD65C2">
      <w:pPr>
        <w:pStyle w:val="SemEspaamento"/>
      </w:pPr>
    </w:p>
    <w:p w14:paraId="2A12E375" w14:textId="77777777" w:rsidR="00CD65C2" w:rsidRDefault="00CD65C2">
      <w:pPr>
        <w:pStyle w:val="SemEspaamento"/>
      </w:pPr>
    </w:p>
    <w:p w14:paraId="31ACC03E" w14:textId="77777777" w:rsidR="00CD65C2" w:rsidRDefault="00CD65C2">
      <w:pPr>
        <w:pStyle w:val="SemEspaamento"/>
      </w:pPr>
    </w:p>
    <w:p w14:paraId="4B57E1F7" w14:textId="77777777" w:rsidR="00CD65C2" w:rsidRDefault="00CD65C2">
      <w:pPr>
        <w:pStyle w:val="SemEspaamento"/>
      </w:pPr>
    </w:p>
    <w:p w14:paraId="05849999" w14:textId="77777777" w:rsidR="00CD65C2" w:rsidRDefault="00CD65C2">
      <w:pPr>
        <w:pStyle w:val="SemEspaamento"/>
      </w:pPr>
    </w:p>
    <w:p w14:paraId="4B054664" w14:textId="77777777" w:rsidR="00CD65C2" w:rsidRDefault="00CD65C2">
      <w:pPr>
        <w:pStyle w:val="SemEspaamento"/>
      </w:pPr>
    </w:p>
    <w:p w14:paraId="246A52EE" w14:textId="77777777" w:rsidR="00CD65C2" w:rsidRDefault="00CD65C2">
      <w:pPr>
        <w:pStyle w:val="SemEspaamento"/>
      </w:pPr>
    </w:p>
    <w:p w14:paraId="1DFC3DD1" w14:textId="77777777" w:rsidR="00CD65C2" w:rsidRDefault="00CD65C2">
      <w:pPr>
        <w:pStyle w:val="SemEspaamento"/>
      </w:pPr>
    </w:p>
    <w:p w14:paraId="70DC4E18" w14:textId="77777777" w:rsidR="00CD65C2" w:rsidRDefault="00CD65C2">
      <w:pPr>
        <w:pStyle w:val="SemEspaamento"/>
      </w:pPr>
    </w:p>
    <w:p w14:paraId="4EACE062" w14:textId="77777777" w:rsidR="00CD65C2" w:rsidRDefault="00FA41FC">
      <w:pPr>
        <w:pStyle w:val="Ttulo1"/>
        <w:jc w:val="center"/>
        <w:rPr>
          <w:rFonts w:hint="eastAsia"/>
        </w:rPr>
      </w:pPr>
      <w:bookmarkStart w:id="51" w:name="_Toc165537203"/>
      <w:r>
        <w:rPr>
          <w:i/>
        </w:rPr>
        <w:t>Origanum majorana</w:t>
      </w:r>
      <w:bookmarkEnd w:id="51"/>
    </w:p>
    <w:p w14:paraId="5928FE92" w14:textId="77777777" w:rsidR="00CD65C2" w:rsidRPr="00D1428E" w:rsidRDefault="00FA41FC">
      <w:pPr>
        <w:pStyle w:val="Corpo"/>
        <w:jc w:val="center"/>
        <w:rPr>
          <w:rFonts w:hint="eastAsia"/>
          <w:b/>
          <w:color w:val="0070C0"/>
          <w:sz w:val="40"/>
        </w:rPr>
      </w:pPr>
      <w:r w:rsidRPr="00D1428E">
        <w:rPr>
          <w:b/>
          <w:color w:val="0070C0"/>
          <w:sz w:val="40"/>
        </w:rPr>
        <w:t>Melhora a Resistência à Insulina e Reduz os Níveis de Andrógenos Adrenais</w:t>
      </w:r>
    </w:p>
    <w:p w14:paraId="14BB0141" w14:textId="77777777" w:rsidR="00CD65C2" w:rsidRDefault="00CD65C2">
      <w:pPr>
        <w:pStyle w:val="Corpo"/>
        <w:rPr>
          <w:rFonts w:hint="eastAsia"/>
          <w:color w:val="404040" w:themeColor="text1" w:themeTint="BF"/>
          <w:sz w:val="24"/>
        </w:rPr>
      </w:pPr>
    </w:p>
    <w:p w14:paraId="652BE8C3" w14:textId="77777777" w:rsidR="00CD65C2" w:rsidRDefault="00CD65C2">
      <w:pPr>
        <w:pStyle w:val="Corpo"/>
        <w:spacing w:after="120"/>
        <w:rPr>
          <w:rFonts w:hint="eastAsia"/>
          <w:color w:val="404040" w:themeColor="text1" w:themeTint="BF"/>
          <w:sz w:val="24"/>
        </w:rPr>
      </w:pPr>
    </w:p>
    <w:p w14:paraId="608D6BFC" w14:textId="2485FCE0" w:rsidR="00CD65C2" w:rsidRDefault="00FA41FC">
      <w:pPr>
        <w:pStyle w:val="Corpo"/>
        <w:spacing w:after="120"/>
        <w:rPr>
          <w:rFonts w:hint="eastAsia"/>
          <w:color w:val="404040" w:themeColor="text1" w:themeTint="BF"/>
          <w:sz w:val="24"/>
        </w:rPr>
      </w:pPr>
      <w:r>
        <w:rPr>
          <w:color w:val="404040" w:themeColor="text1" w:themeTint="BF"/>
          <w:sz w:val="24"/>
        </w:rPr>
        <w:t xml:space="preserve">Este estudo randomizado, duplo-cego e placebo-controlado teve como objetivo avaliar os efeitos do </w:t>
      </w:r>
      <w:r>
        <w:rPr>
          <w:i/>
          <w:color w:val="404040" w:themeColor="text1" w:themeTint="BF"/>
          <w:sz w:val="24"/>
        </w:rPr>
        <w:t>Origanum majorana</w:t>
      </w:r>
      <w:r>
        <w:rPr>
          <w:color w:val="404040" w:themeColor="text1" w:themeTint="BF"/>
          <w:sz w:val="24"/>
        </w:rPr>
        <w:t xml:space="preserve"> no perfil hormonal em mulheres com SOPC </w:t>
      </w:r>
      <w:r>
        <w:rPr>
          <w:color w:val="404040" w:themeColor="text1" w:themeTint="BF"/>
          <w:sz w:val="24"/>
        </w:rPr>
        <w:fldChar w:fldCharType="begin">
          <w:fldData xml:space="preserve">PEVuZE5vdGU+PENpdGU+PEF1dGhvcj5IYWotSHVzZWluPC9BdXRob3I+PFllYXI+MjAxNjwvWWVh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</w:fldData>
        </w:fldChar>
      </w:r>
      <w:r>
        <w:rPr>
          <w:color w:val="404040" w:themeColor="text1" w:themeTint="BF"/>
          <w:sz w:val="24"/>
        </w:rPr>
        <w:instrText xml:space="preserve"> ADDIN EN.CITE </w:instrText>
      </w:r>
      <w:r>
        <w:rPr>
          <w:color w:val="404040" w:themeColor="text1" w:themeTint="BF"/>
          <w:sz w:val="24"/>
        </w:rPr>
        <w:fldChar w:fldCharType="begin">
          <w:fldData xml:space="preserve">PEVuZE5vdGU+PENpdGU+PEF1dGhvcj5IYWotSHVzZWluPC9BdXRob3I+PFllYXI+MjAxNjwvWWVh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</w:fldData>
        </w:fldChar>
      </w:r>
      <w:r>
        <w:rPr>
          <w:color w:val="404040" w:themeColor="text1" w:themeTint="BF"/>
          <w:sz w:val="24"/>
        </w:rPr>
        <w:instrText xml:space="preserve"> ADDIN EN.CITE.DATA </w:instrText>
      </w:r>
      <w:r>
        <w:rPr>
          <w:color w:val="404040" w:themeColor="text1" w:themeTint="BF"/>
          <w:sz w:val="24"/>
        </w:rPr>
      </w:r>
      <w:r>
        <w:rPr>
          <w:color w:val="404040" w:themeColor="text1" w:themeTint="BF"/>
          <w:sz w:val="24"/>
        </w:rPr>
        <w:fldChar w:fldCharType="end"/>
      </w:r>
      <w:r>
        <w:rPr>
          <w:color w:val="404040" w:themeColor="text1" w:themeTint="BF"/>
          <w:sz w:val="24"/>
        </w:rPr>
      </w:r>
      <w:r>
        <w:rPr>
          <w:color w:val="404040" w:themeColor="text1" w:themeTint="BF"/>
          <w:sz w:val="24"/>
        </w:rPr>
        <w:fldChar w:fldCharType="separate"/>
      </w:r>
      <w:r>
        <w:rPr>
          <w:color w:val="404040" w:themeColor="text1" w:themeTint="BF"/>
          <w:sz w:val="24"/>
        </w:rPr>
        <w:t>(HAJ-HUSEIN; TUKAN; ALKAZALEH, 2016)</w:t>
      </w:r>
      <w:r>
        <w:rPr>
          <w:color w:val="404040" w:themeColor="text1" w:themeTint="BF"/>
          <w:sz w:val="24"/>
        </w:rPr>
        <w:fldChar w:fldCharType="end"/>
      </w:r>
      <w:r>
        <w:rPr>
          <w:color w:val="404040" w:themeColor="text1" w:themeTint="BF"/>
          <w:sz w:val="24"/>
        </w:rPr>
        <w:t>.</w:t>
      </w:r>
    </w:p>
    <w:p w14:paraId="2C749903"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60640" behindDoc="0" locked="0" layoutInCell="1" allowOverlap="1">
                <wp:simplePos x="0" y="0"/>
                <wp:positionH relativeFrom="margin">
                  <wp:posOffset>5080</wp:posOffset>
                </wp:positionH>
                <wp:positionV relativeFrom="paragraph">
                  <wp:posOffset>96520</wp:posOffset>
                </wp:positionV>
                <wp:extent cx="5724525" cy="518160"/>
                <wp:effectExtent l="0" t="0" r="28575" b="15240"/>
                <wp:wrapNone/>
                <wp:docPr id="27" name="Caixa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0070C0"/>
                          </a:solidFill>
                          <a:miter lim="800000"/>
                        </a:ln>
                      </wps:spPr>
                      <wps:txbx>
                        <w:txbxContent>
                          <w:p w14:paraId="4B19AEFD" w14:textId="568F0C0D" w:rsidR="00FA41FC" w:rsidRDefault="00FA41FC">
                            <w:pPr>
                              <w:jc w:val="center"/>
                              <w:rPr>
                                <w:rFonts w:ascii="Swis721 Th BT" w:hAnsi="Swis721 Th BT"/>
                                <w:sz w:val="23"/>
                                <w:szCs w:val="23"/>
                              </w:rPr>
                            </w:pPr>
                            <w:r>
                              <w:rPr>
                                <w:rFonts w:ascii="Swis721 Th BT" w:hAnsi="Swis721 Th BT"/>
                                <w:sz w:val="23"/>
                                <w:szCs w:val="23"/>
                              </w:rPr>
                              <w:t>Assim, 25 pacientes com SOPC e idade entre 16 e 35 anos foram selecionadas para receberem durante um mês:</w:t>
                            </w:r>
                          </w:p>
                          <w:p w14:paraId="335B0F7B"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27" o:spid="_x0000_s1090" type="#_x0000_t202" style="position:absolute;left:0;text-align:left;margin-left:.4pt;margin-top:7.6pt;width:450.75pt;height:40.8pt;z-index:2517606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" fillcolor="white [3212]" strokecolor="#0070c0">
                <v:textbox>
                  <w:txbxContent>
                    <w:p w14:paraId="4B19AEFD" w14:textId="568F0C0D" w:rsidR="00FA41FC" w:rsidRDefault="00FA41FC">
                      <w:pPr>
                        <w:jc w:val="center"/>
                        <w:rPr>
                          <w:rFonts w:ascii="Swis721 Th BT" w:hAnsi="Swis721 Th BT"/>
                          <w:sz w:val="23"/>
                          <w:szCs w:val="23"/>
                        </w:rPr>
                      </w:pPr>
                      <w:r>
                        <w:rPr>
                          <w:rFonts w:ascii="Swis721 Th BT" w:hAnsi="Swis721 Th BT"/>
                          <w:sz w:val="23"/>
                          <w:szCs w:val="23"/>
                        </w:rPr>
                        <w:t>Assim, 25 pacientes com SOPC e idade entre 16 e 35 anos foram selecionadas para receberem durante um mês:</w:t>
                      </w:r>
                    </w:p>
                    <w:p w14:paraId="335B0F7B"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476DA6EB" w14:textId="77777777" w:rsidR="00CD65C2" w:rsidRDefault="00CD65C2">
      <w:pPr>
        <w:pStyle w:val="Corpo"/>
        <w:rPr>
          <w:rFonts w:hint="eastAsia"/>
          <w:color w:val="404040" w:themeColor="text1" w:themeTint="BF"/>
        </w:rPr>
      </w:pPr>
    </w:p>
    <w:p w14:paraId="54A958EA" w14:textId="77777777" w:rsidR="00CD65C2" w:rsidRDefault="00CD65C2">
      <w:pPr>
        <w:pStyle w:val="Corpo"/>
        <w:rPr>
          <w:rFonts w:hint="eastAsia"/>
          <w:color w:val="404040" w:themeColor="text1" w:themeTint="BF"/>
        </w:rPr>
      </w:pPr>
    </w:p>
    <w:p w14:paraId="7FC4F726"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758592"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28" name="Triângulo isóscele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8" o:spid="_x0000_s1026" o:spt="5" type="#_x0000_t5" style="position:absolute;left:0pt;flip:y;margin-left:65.25pt;margin-top:0.85pt;height:10.9pt;width:17.85pt;z-index:251758592;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n+uDbdYA&#10;AAAIAQAADwAAAAAAAAABACAAAAAiAAAAZHJzL2Rvd25yZXYueG1sUEsBAhQAFAAAAAgAh07iQFgU&#10;t+JaAgAApQQAAA4AAAAAAAAAAQAgAAAAJQEAAGRycy9lMm9Eb2MueG1sUEsFBgAAAAAGAAYAWQEA&#10;APEFA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757568" behindDoc="0" locked="0" layoutInCell="1" allowOverlap="1">
                <wp:simplePos x="0" y="0"/>
                <wp:positionH relativeFrom="column">
                  <wp:posOffset>4664710</wp:posOffset>
                </wp:positionH>
                <wp:positionV relativeFrom="paragraph">
                  <wp:posOffset>10795</wp:posOffset>
                </wp:positionV>
                <wp:extent cx="226695" cy="138430"/>
                <wp:effectExtent l="0" t="0" r="1905" b="0"/>
                <wp:wrapNone/>
                <wp:docPr id="29" name="Triângulo isóscele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9" o:spid="_x0000_s1026" o:spt="5" type="#_x0000_t5" style="position:absolute;left:0pt;flip:y;margin-left:367.3pt;margin-top:0.85pt;height:10.9pt;width:17.85pt;z-index:251757568;mso-width-relative:page;mso-height-relative:page;" fillcolor="#D9D9D9 [3212]" filled="t" stroked="f" coordsize="21600,21600" o:gfxdata="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KsimVtYA&#10;AAAIAQAADwAAAAAAAAABACAAAAAiAAAAZHJzL2Rvd25yZXYueG1sUEsBAhQAFAAAAAgAh07iQA+h&#10;HmNaAgAApQQAAA4AAAAAAAAAAQAgAAAAJQEAAGRycy9lMm9Eb2MueG1sUEsFBgAAAAAGAAYAWQEA&#10;APEFAAAAAA==&#10;" adj="10800">
                <v:fill on="t" focussize="0,0"/>
                <v:stroke on="f"/>
                <v:imagedata o:title=""/>
                <o:lock v:ext="edit" aspectratio="f"/>
              </v:shape>
            </w:pict>
          </mc:Fallback>
        </mc:AlternateContent>
      </w:r>
    </w:p>
    <w:p w14:paraId="424A6D75"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756544" behindDoc="0" locked="0" layoutInCell="1" allowOverlap="1">
                <wp:simplePos x="0" y="0"/>
                <wp:positionH relativeFrom="column">
                  <wp:posOffset>-5715</wp:posOffset>
                </wp:positionH>
                <wp:positionV relativeFrom="paragraph">
                  <wp:posOffset>88900</wp:posOffset>
                </wp:positionV>
                <wp:extent cx="1913890" cy="781685"/>
                <wp:effectExtent l="0" t="0" r="10160" b="18415"/>
                <wp:wrapNone/>
                <wp:docPr id="31" name="Caixa de tex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398137BF" w14:textId="77777777" w:rsidR="00FA41FC" w:rsidRDefault="00FA41FC">
                            <w:pPr>
                              <w:spacing w:after="0" w:line="240" w:lineRule="auto"/>
                              <w:jc w:val="center"/>
                              <w:rPr>
                                <w:rFonts w:ascii="Swis721 Th BT" w:hAnsi="Swis721 Th BT"/>
                                <w:i/>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p>
                          <w:p w14:paraId="2D4477C0"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Origanum majorana</w:t>
                            </w:r>
                          </w:p>
                          <w:p w14:paraId="36B2C0AA"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31" o:spid="_x0000_s1091" type="#_x0000_t202" style="position:absolute;left:0;text-align:left;margin-left:-.45pt;margin-top:7pt;width:150.7pt;height:61.55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" fillcolor="#0070c0" strokecolor="#0070c0">
                <v:textbox>
                  <w:txbxContent>
                    <w:p w14:paraId="398137BF" w14:textId="77777777" w:rsidR="00FA41FC" w:rsidRDefault="00FA41FC">
                      <w:pPr>
                        <w:spacing w:after="0" w:line="240" w:lineRule="auto"/>
                        <w:jc w:val="center"/>
                        <w:rPr>
                          <w:rFonts w:ascii="Swis721 Th BT" w:hAnsi="Swis721 Th BT"/>
                          <w:i/>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p>
                    <w:p w14:paraId="2D4477C0"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Origanum majorana</w:t>
                      </w:r>
                    </w:p>
                    <w:p w14:paraId="36B2C0AA"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759616" behindDoc="0" locked="0" layoutInCell="1" allowOverlap="1">
                <wp:simplePos x="0" y="0"/>
                <wp:positionH relativeFrom="column">
                  <wp:posOffset>3839210</wp:posOffset>
                </wp:positionH>
                <wp:positionV relativeFrom="paragraph">
                  <wp:posOffset>88900</wp:posOffset>
                </wp:positionV>
                <wp:extent cx="1905000" cy="781685"/>
                <wp:effectExtent l="0" t="0" r="19050" b="18415"/>
                <wp:wrapNone/>
                <wp:docPr id="33" name="Caixa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6BC21264"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F48864F" w14:textId="77777777" w:rsidR="00FA41FC" w:rsidRDefault="00FA41FC">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33" o:spid="_x0000_s1092" type="#_x0000_t202" style="position:absolute;left:0;text-align:left;margin-left:302.3pt;margin-top:7pt;width:150pt;height:61.5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" fillcolor="#0070c0" strokecolor="#0070c0">
                <v:textbox>
                  <w:txbxContent>
                    <w:p w14:paraId="6BC21264"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F48864F" w14:textId="77777777" w:rsidR="00FA41FC" w:rsidRDefault="00FA41FC">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14:paraId="6C554177" w14:textId="77777777" w:rsidR="00CD65C2" w:rsidRDefault="00CD65C2">
      <w:pPr>
        <w:pStyle w:val="Corpo"/>
        <w:rPr>
          <w:rFonts w:hint="eastAsia"/>
          <w:color w:val="404040" w:themeColor="text1" w:themeTint="BF"/>
        </w:rPr>
      </w:pPr>
    </w:p>
    <w:p w14:paraId="1DBD57FC" w14:textId="77777777" w:rsidR="00CD65C2" w:rsidRDefault="00CD65C2">
      <w:pPr>
        <w:pStyle w:val="Corpo"/>
        <w:rPr>
          <w:rFonts w:hint="eastAsia"/>
          <w:color w:val="404040" w:themeColor="text1" w:themeTint="BF"/>
        </w:rPr>
      </w:pPr>
    </w:p>
    <w:p w14:paraId="03E52BCD" w14:textId="77777777" w:rsidR="00CD65C2" w:rsidRDefault="00CD65C2">
      <w:pPr>
        <w:pStyle w:val="Corpo"/>
        <w:rPr>
          <w:rFonts w:hint="eastAsia"/>
          <w:color w:val="404040" w:themeColor="text1" w:themeTint="BF"/>
        </w:rPr>
      </w:pPr>
    </w:p>
    <w:p w14:paraId="09CE155E" w14:textId="77777777" w:rsidR="00CD65C2" w:rsidRDefault="00CD65C2">
      <w:pPr>
        <w:pStyle w:val="Corpo"/>
        <w:spacing w:before="120"/>
        <w:rPr>
          <w:rFonts w:hint="eastAsia"/>
          <w:color w:val="404040" w:themeColor="text1" w:themeTint="BF"/>
          <w:sz w:val="20"/>
        </w:rPr>
      </w:pPr>
    </w:p>
    <w:p w14:paraId="42166BF9" w14:textId="4342DB44" w:rsidR="00CD65C2" w:rsidRDefault="00FA41FC">
      <w:pPr>
        <w:pStyle w:val="Corpo"/>
        <w:numPr>
          <w:ilvl w:val="0"/>
          <w:numId w:val="26"/>
        </w:numPr>
        <w:rPr>
          <w:rFonts w:hint="eastAsia"/>
          <w:color w:val="404040" w:themeColor="text1" w:themeTint="BF"/>
          <w:sz w:val="20"/>
          <w:szCs w:val="20"/>
        </w:rPr>
      </w:pPr>
      <w:r>
        <w:rPr>
          <w:color w:val="404040" w:themeColor="text1" w:themeTint="BF"/>
          <w:sz w:val="20"/>
          <w:szCs w:val="20"/>
        </w:rPr>
        <w:t>Os parâmetros hormonais e metabólicos avaliados no início e após a intervenção foram: hormônio folículo-estimulante, hormônio luteinizante, progesterona, estradiol, testosterona total, deidroepiandrosterona sulfatada (DHEA-S), glicose e insulina em jejum, modelo de homeostase de resistência à insulina (HOMA-IR) e taxa de glicose/insulina.</w:t>
      </w:r>
    </w:p>
    <w:p w14:paraId="71390B77" w14:textId="77777777" w:rsidR="00CD65C2" w:rsidRDefault="00CD65C2">
      <w:pPr>
        <w:pStyle w:val="Corpo"/>
        <w:rPr>
          <w:rFonts w:hint="eastAsia"/>
          <w:color w:val="404040" w:themeColor="text1" w:themeTint="BF"/>
          <w:sz w:val="20"/>
        </w:rPr>
      </w:pPr>
    </w:p>
    <w:p w14:paraId="3479D688"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4127F473"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34D9BFD6" w14:textId="77777777" w:rsidR="00CD65C2" w:rsidRDefault="00CD65C2">
      <w:pPr>
        <w:pStyle w:val="Corpo"/>
        <w:rPr>
          <w:rFonts w:hint="eastAsia"/>
          <w:b/>
          <w:color w:val="404040" w:themeColor="text1" w:themeTint="BF"/>
          <w:szCs w:val="23"/>
        </w:rPr>
      </w:pPr>
    </w:p>
    <w:p w14:paraId="20A14957" w14:textId="6E5CF8D6" w:rsidR="00CD65C2" w:rsidRDefault="00FA41FC">
      <w:pPr>
        <w:pStyle w:val="Corpo"/>
        <w:numPr>
          <w:ilvl w:val="0"/>
          <w:numId w:val="27"/>
        </w:numPr>
        <w:rPr>
          <w:rFonts w:hint="eastAsia"/>
          <w:color w:val="404040" w:themeColor="text1" w:themeTint="BF"/>
          <w:szCs w:val="23"/>
        </w:rPr>
      </w:pPr>
      <w:r>
        <w:rPr>
          <w:color w:val="404040" w:themeColor="text1" w:themeTint="BF"/>
          <w:szCs w:val="23"/>
        </w:rPr>
        <w:t xml:space="preserve">O tratamento com </w:t>
      </w:r>
      <w:r>
        <w:rPr>
          <w:i/>
          <w:color w:val="404040" w:themeColor="text1" w:themeTint="BF"/>
          <w:szCs w:val="23"/>
        </w:rPr>
        <w:t>Origanum majorana</w:t>
      </w:r>
      <w:r>
        <w:rPr>
          <w:color w:val="404040" w:themeColor="text1" w:themeTint="BF"/>
          <w:szCs w:val="23"/>
        </w:rPr>
        <w:t xml:space="preserve"> reduziu significativamente os níveis DHEA-S e insulina em jejum, no entanto. Comparado ao placebo, o resultado foi significativo apenas em DHEA-S;</w:t>
      </w:r>
    </w:p>
    <w:p w14:paraId="668744DA" w14:textId="77777777" w:rsidR="00CD65C2" w:rsidRDefault="00FA41FC">
      <w:pPr>
        <w:pStyle w:val="Corpo"/>
        <w:numPr>
          <w:ilvl w:val="0"/>
          <w:numId w:val="27"/>
        </w:numPr>
        <w:rPr>
          <w:rFonts w:hint="eastAsia"/>
          <w:color w:val="404040" w:themeColor="text1" w:themeTint="BF"/>
          <w:szCs w:val="23"/>
        </w:rPr>
      </w:pPr>
      <w:r>
        <w:rPr>
          <w:color w:val="404040" w:themeColor="text1" w:themeTint="BF"/>
          <w:szCs w:val="23"/>
        </w:rPr>
        <w:t>Houve também melhora de HOMA-IR e taxa de glicose/insulina, porém os resultados não alcançaram significância;</w:t>
      </w:r>
    </w:p>
    <w:p w14:paraId="6E694C83" w14:textId="7FC32C0A" w:rsidR="00CD65C2" w:rsidRDefault="00FA41FC">
      <w:pPr>
        <w:pStyle w:val="Corpo"/>
        <w:numPr>
          <w:ilvl w:val="0"/>
          <w:numId w:val="27"/>
        </w:numPr>
        <w:rPr>
          <w:rFonts w:hint="eastAsia"/>
          <w:color w:val="404040" w:themeColor="text1" w:themeTint="BF"/>
          <w:szCs w:val="23"/>
        </w:rPr>
      </w:pPr>
      <w:r>
        <w:rPr>
          <w:i/>
          <w:color w:val="404040" w:themeColor="text1" w:themeTint="BF"/>
          <w:szCs w:val="23"/>
        </w:rPr>
        <w:t>Origanum majorana</w:t>
      </w:r>
      <w:r>
        <w:rPr>
          <w:color w:val="404040" w:themeColor="text1" w:themeTint="BF"/>
          <w:szCs w:val="23"/>
        </w:rPr>
        <w:t xml:space="preserve"> foi bem-tolerado e nenhum efeito adverso sério foi reportado.</w:t>
      </w:r>
    </w:p>
    <w:p w14:paraId="58A93E51"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6FC885A9"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7ABC953C"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 xml:space="preserve">Conclusão: </w:t>
      </w:r>
    </w:p>
    <w:p w14:paraId="2FB60DEB"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7640B23B" w14:textId="77777777" w:rsidR="00CD65C2" w:rsidRDefault="00FA41FC">
      <w:pPr>
        <w:pStyle w:val="Corpo"/>
        <w:jc w:val="center"/>
        <w:rPr>
          <w:rFonts w:hint="eastAsia"/>
          <w:b/>
          <w:color w:val="339966"/>
          <w14:textFill>
            <w14:solidFill>
              <w14:srgbClr w14:val="339966">
                <w14:lumMod w14:val="75000"/>
                <w14:lumOff w14:val="25000"/>
              </w14:srgbClr>
            </w14:solidFill>
          </w14:textFill>
        </w:rPr>
      </w:pPr>
      <w:r>
        <w:rPr>
          <w:b/>
          <w:i/>
          <w:color w:val="404040" w:themeColor="text1" w:themeTint="BF"/>
        </w:rPr>
        <w:t xml:space="preserve">Os resultados demonstraram os efeitos benéficos do </w:t>
      </w:r>
      <w:r w:rsidRPr="00D1428E">
        <w:rPr>
          <w:rFonts w:hint="eastAsia"/>
          <w:b/>
          <w:iCs/>
          <w:color w:val="404040" w:themeColor="text1" w:themeTint="BF"/>
        </w:rPr>
        <w:t>Origanum majorana</w:t>
      </w:r>
      <w:r>
        <w:rPr>
          <w:b/>
          <w:i/>
          <w:color w:val="404040" w:themeColor="text1" w:themeTint="BF"/>
        </w:rPr>
        <w:t xml:space="preserve"> no perfil hormonal de mulheres com SOPC, uma vez que houve redução nos níveis de andrógenos adrenais e melhora da sensibilidade à insulina.</w:t>
      </w:r>
    </w:p>
    <w:p w14:paraId="2B0274AD" w14:textId="77777777" w:rsidR="00CD65C2" w:rsidRDefault="00FA41FC">
      <w:pPr>
        <w:pStyle w:val="Ttulo1"/>
        <w:jc w:val="center"/>
        <w:rPr>
          <w:rFonts w:hint="eastAsia"/>
        </w:rPr>
      </w:pPr>
      <w:bookmarkStart w:id="52" w:name="_Toc165537204"/>
      <w:r>
        <w:t>Formulário</w:t>
      </w:r>
      <w:bookmarkEnd w:id="52"/>
    </w:p>
    <w:p w14:paraId="1842D26A" w14:textId="77777777" w:rsidR="00CD65C2" w:rsidRDefault="00CD65C2">
      <w:pPr>
        <w:pStyle w:val="Corpo"/>
        <w:rPr>
          <w:rFonts w:hint="eastAsia"/>
          <w:b/>
          <w:i/>
          <w:color w:val="404040" w:themeColor="text1" w:themeTint="BF"/>
        </w:rPr>
      </w:pPr>
    </w:p>
    <w:p w14:paraId="568EDD83" w14:textId="77777777" w:rsidR="00CD65C2" w:rsidRDefault="00CD65C2">
      <w:pPr>
        <w:pStyle w:val="Corpo"/>
        <w:rPr>
          <w:rFonts w:hint="eastAsia"/>
          <w:b/>
          <w:i/>
          <w:color w:val="404040" w:themeColor="text1" w:themeTint="BF"/>
        </w:rPr>
      </w:pPr>
    </w:p>
    <w:p w14:paraId="41D4BC7D" w14:textId="77777777" w:rsidR="00CD65C2" w:rsidRDefault="00FA41FC">
      <w:pPr>
        <w:pStyle w:val="Corpo"/>
        <w:rPr>
          <w:rFonts w:hint="eastAsia"/>
          <w:b/>
          <w:i/>
          <w:color w:val="404040" w:themeColor="text1" w:themeTint="BF"/>
          <w:sz w:val="24"/>
        </w:rPr>
      </w:pPr>
      <w:r w:rsidRPr="00D1428E">
        <w:rPr>
          <w:rFonts w:hint="eastAsia"/>
          <w:b/>
          <w:iCs/>
          <w:color w:val="404040" w:themeColor="text1" w:themeTint="BF"/>
          <w:sz w:val="24"/>
        </w:rPr>
        <w:t>Origanum majorana</w:t>
      </w:r>
      <w:r>
        <w:rPr>
          <w:b/>
          <w:i/>
          <w:color w:val="404040" w:themeColor="text1" w:themeTint="BF"/>
          <w:sz w:val="24"/>
        </w:rPr>
        <w:t xml:space="preserve"> é Eficaz no Gerenciamento da Síndrome do Ovário Policístico</w:t>
      </w:r>
    </w:p>
    <w:p w14:paraId="194FCF58"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09DBCC42"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25D224D5" w14:textId="77777777" w:rsidR="00CD65C2" w:rsidRDefault="00FA41FC">
            <w:pPr>
              <w:pStyle w:val="Corpo"/>
              <w:jc w:val="center"/>
              <w:rPr>
                <w:rFonts w:hint="eastAsia"/>
                <w:b/>
                <w:i/>
                <w:color w:val="FFFFFF" w:themeColor="background1"/>
              </w:rPr>
            </w:pPr>
            <w:r>
              <w:rPr>
                <w:b/>
                <w:color w:val="FFFFFF" w:themeColor="background1"/>
              </w:rPr>
              <w:t xml:space="preserve">Tintura de </w:t>
            </w:r>
            <w:r>
              <w:rPr>
                <w:b/>
                <w:i/>
                <w:color w:val="FFFFFF" w:themeColor="background1"/>
              </w:rPr>
              <w:t>Origanum majorana</w:t>
            </w:r>
          </w:p>
        </w:tc>
      </w:tr>
      <w:tr w:rsidR="00CD65C2" w14:paraId="0602E2C3"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037C163" w14:textId="77777777" w:rsidR="00CD65C2" w:rsidRDefault="00FA41FC">
            <w:pPr>
              <w:pStyle w:val="Corpo"/>
              <w:rPr>
                <w:rFonts w:hint="eastAsia"/>
                <w:color w:val="404040" w:themeColor="text1" w:themeTint="BF"/>
              </w:rPr>
            </w:pPr>
            <w:r>
              <w:rPr>
                <w:i/>
                <w:color w:val="404040" w:themeColor="text1" w:themeTint="BF"/>
              </w:rPr>
              <w:t>Origanum majorana</w:t>
            </w:r>
            <w:r>
              <w:rPr>
                <w:color w:val="404040" w:themeColor="text1" w:themeTint="BF"/>
              </w:rPr>
              <w:t>.....................5 a 20 mL</w:t>
            </w:r>
          </w:p>
        </w:tc>
      </w:tr>
      <w:tr w:rsidR="00CD65C2" w14:paraId="2984A295"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7C2069E" w14:textId="7D7D7709" w:rsidR="00CD65C2" w:rsidRDefault="00FA41FC">
            <w:pPr>
              <w:pStyle w:val="Corpo"/>
              <w:rPr>
                <w:rFonts w:hint="eastAsia"/>
                <w:color w:val="404040" w:themeColor="text1" w:themeTint="BF"/>
              </w:rPr>
            </w:pPr>
            <w:r>
              <w:rPr>
                <w:color w:val="404040" w:themeColor="text1" w:themeTint="BF"/>
              </w:rPr>
              <w:t>Excipiente q.s.p. ........................1 Cápsula</w:t>
            </w:r>
          </w:p>
        </w:tc>
      </w:tr>
    </w:tbl>
    <w:p w14:paraId="605DF708" w14:textId="514C9AC4" w:rsidR="00CD65C2" w:rsidRDefault="00FA41FC">
      <w:pPr>
        <w:pStyle w:val="Corpo"/>
        <w:ind w:right="4762"/>
        <w:jc w:val="center"/>
        <w:rPr>
          <w:rFonts w:hint="eastAsia"/>
          <w:color w:val="404040" w:themeColor="text1" w:themeTint="BF"/>
          <w:sz w:val="22"/>
          <w:szCs w:val="22"/>
        </w:rPr>
      </w:pPr>
      <w:r>
        <w:rPr>
          <w:color w:val="404040" w:themeColor="text1" w:themeTint="BF"/>
          <w:sz w:val="22"/>
          <w:szCs w:val="22"/>
        </w:rPr>
        <w:t>Administrar 1 cápsula três vezes ao dia ou conforme orientação médica.</w:t>
      </w:r>
    </w:p>
    <w:p w14:paraId="0FDAE3FF" w14:textId="77777777" w:rsidR="00CD65C2" w:rsidRDefault="00CD65C2">
      <w:pPr>
        <w:pStyle w:val="SemEspaamento"/>
      </w:pPr>
    </w:p>
    <w:p w14:paraId="5B696B4D" w14:textId="77777777" w:rsidR="00CD65C2" w:rsidRDefault="00CD65C2">
      <w:pPr>
        <w:pStyle w:val="SemEspaamento"/>
      </w:pPr>
    </w:p>
    <w:p w14:paraId="7646559E" w14:textId="77777777" w:rsidR="00CD65C2" w:rsidRDefault="00CD65C2">
      <w:pPr>
        <w:pStyle w:val="SemEspaamento"/>
      </w:pPr>
    </w:p>
    <w:p w14:paraId="034F76C7" w14:textId="77777777" w:rsidR="00CD65C2" w:rsidRDefault="00CD65C2">
      <w:pPr>
        <w:pStyle w:val="SemEspaamento"/>
      </w:pPr>
    </w:p>
    <w:p w14:paraId="1A8C64D2" w14:textId="77777777" w:rsidR="00CD65C2" w:rsidRDefault="00CD65C2">
      <w:pPr>
        <w:pStyle w:val="SemEspaamento"/>
      </w:pPr>
    </w:p>
    <w:p w14:paraId="17048C6F" w14:textId="77777777" w:rsidR="00CD65C2" w:rsidRDefault="00CD65C2">
      <w:pPr>
        <w:pStyle w:val="SemEspaamento"/>
      </w:pPr>
    </w:p>
    <w:p w14:paraId="248C3506" w14:textId="77777777" w:rsidR="00CD65C2" w:rsidRDefault="00CD65C2">
      <w:pPr>
        <w:pStyle w:val="SemEspaamento"/>
      </w:pPr>
    </w:p>
    <w:p w14:paraId="31DAF196" w14:textId="77777777" w:rsidR="00CD65C2" w:rsidRDefault="00CD65C2">
      <w:pPr>
        <w:pStyle w:val="SemEspaamento"/>
      </w:pPr>
    </w:p>
    <w:p w14:paraId="3772C921" w14:textId="77777777" w:rsidR="00CD65C2" w:rsidRDefault="00CD65C2">
      <w:pPr>
        <w:pStyle w:val="SemEspaamento"/>
      </w:pPr>
    </w:p>
    <w:p w14:paraId="499AD553" w14:textId="77777777" w:rsidR="00CD65C2" w:rsidRDefault="00CD65C2">
      <w:pPr>
        <w:pStyle w:val="SemEspaamento"/>
      </w:pPr>
    </w:p>
    <w:p w14:paraId="53F69EED" w14:textId="77777777" w:rsidR="00CD65C2" w:rsidRDefault="00CD65C2">
      <w:pPr>
        <w:pStyle w:val="SemEspaamento"/>
      </w:pPr>
    </w:p>
    <w:p w14:paraId="373BD8C5" w14:textId="77777777" w:rsidR="00CD65C2" w:rsidRDefault="00CD65C2">
      <w:pPr>
        <w:pStyle w:val="SemEspaamento"/>
      </w:pPr>
    </w:p>
    <w:p w14:paraId="0DF7BBE9" w14:textId="77777777" w:rsidR="00CD65C2" w:rsidRDefault="00CD65C2">
      <w:pPr>
        <w:pStyle w:val="SemEspaamento"/>
      </w:pPr>
    </w:p>
    <w:p w14:paraId="73F091EA" w14:textId="77777777" w:rsidR="00CD65C2" w:rsidRDefault="00CD65C2">
      <w:pPr>
        <w:pStyle w:val="SemEspaamento"/>
      </w:pPr>
    </w:p>
    <w:p w14:paraId="6F1AA7A7" w14:textId="77777777" w:rsidR="00CD65C2" w:rsidRDefault="00CD65C2">
      <w:pPr>
        <w:pStyle w:val="SemEspaamento"/>
      </w:pPr>
    </w:p>
    <w:p w14:paraId="6C9EB65D" w14:textId="77777777" w:rsidR="00CD65C2" w:rsidRDefault="00CD65C2">
      <w:pPr>
        <w:pStyle w:val="SemEspaamento"/>
      </w:pPr>
    </w:p>
    <w:p w14:paraId="1FC70200" w14:textId="77777777" w:rsidR="00CD65C2" w:rsidRDefault="00CD65C2">
      <w:pPr>
        <w:pStyle w:val="SemEspaamento"/>
      </w:pPr>
    </w:p>
    <w:p w14:paraId="30A4895A" w14:textId="77777777" w:rsidR="00CD65C2" w:rsidRDefault="00CD65C2">
      <w:pPr>
        <w:pStyle w:val="SemEspaamento"/>
      </w:pPr>
    </w:p>
    <w:p w14:paraId="333602E2" w14:textId="77777777" w:rsidR="00CD65C2" w:rsidRDefault="00CD65C2">
      <w:pPr>
        <w:pStyle w:val="SemEspaamento"/>
      </w:pPr>
    </w:p>
    <w:p w14:paraId="3A1972FE" w14:textId="77777777" w:rsidR="00CD65C2" w:rsidRDefault="00CD65C2">
      <w:pPr>
        <w:pStyle w:val="SemEspaamento"/>
      </w:pPr>
    </w:p>
    <w:p w14:paraId="7D5D3A69" w14:textId="77777777" w:rsidR="00CD65C2" w:rsidRDefault="00CD65C2">
      <w:pPr>
        <w:pStyle w:val="SemEspaamento"/>
      </w:pPr>
    </w:p>
    <w:p w14:paraId="7C96BA90" w14:textId="77777777" w:rsidR="00CD65C2" w:rsidRDefault="00CD65C2">
      <w:pPr>
        <w:pStyle w:val="SemEspaamento"/>
      </w:pPr>
    </w:p>
    <w:p w14:paraId="3D802039" w14:textId="77777777" w:rsidR="00CD65C2" w:rsidRDefault="00CD65C2">
      <w:pPr>
        <w:pStyle w:val="SemEspaamento"/>
      </w:pPr>
    </w:p>
    <w:p w14:paraId="7760F28F" w14:textId="77777777" w:rsidR="00CD65C2" w:rsidRDefault="00CD65C2">
      <w:pPr>
        <w:pStyle w:val="SemEspaamento"/>
      </w:pPr>
    </w:p>
    <w:p w14:paraId="5D465F91" w14:textId="77777777" w:rsidR="00CD65C2" w:rsidRDefault="00CD65C2">
      <w:pPr>
        <w:pStyle w:val="SemEspaamento"/>
      </w:pPr>
    </w:p>
    <w:p w14:paraId="6FCD352F" w14:textId="77777777" w:rsidR="00CD65C2" w:rsidRDefault="00CD65C2">
      <w:pPr>
        <w:pStyle w:val="SemEspaamento"/>
      </w:pPr>
    </w:p>
    <w:p w14:paraId="2E7E416A" w14:textId="77777777" w:rsidR="00CD65C2" w:rsidRDefault="00CD65C2">
      <w:pPr>
        <w:pStyle w:val="SemEspaamento"/>
      </w:pPr>
    </w:p>
    <w:p w14:paraId="3CA0445E" w14:textId="77777777" w:rsidR="00CD65C2" w:rsidRDefault="00CD65C2">
      <w:pPr>
        <w:pStyle w:val="SemEspaamento"/>
      </w:pPr>
    </w:p>
    <w:p w14:paraId="6B6BA136" w14:textId="77777777" w:rsidR="00CD65C2" w:rsidRDefault="00CD65C2">
      <w:pPr>
        <w:pStyle w:val="SemEspaamento"/>
      </w:pPr>
    </w:p>
    <w:p w14:paraId="1B14975F" w14:textId="77777777" w:rsidR="00CD65C2" w:rsidRDefault="00CD65C2">
      <w:pPr>
        <w:pStyle w:val="SemEspaamento"/>
      </w:pPr>
    </w:p>
    <w:p w14:paraId="7FFFC9A3" w14:textId="77777777" w:rsidR="00CD65C2" w:rsidRDefault="00CD65C2">
      <w:pPr>
        <w:pStyle w:val="SemEspaamento"/>
      </w:pPr>
    </w:p>
    <w:p w14:paraId="12E75FEA" w14:textId="77777777" w:rsidR="00CD65C2" w:rsidRDefault="00CD65C2">
      <w:pPr>
        <w:pStyle w:val="SemEspaamento"/>
      </w:pPr>
    </w:p>
    <w:p w14:paraId="5157447C" w14:textId="77777777" w:rsidR="00CD65C2" w:rsidRDefault="00FA41FC">
      <w:pPr>
        <w:pStyle w:val="Ttulo1"/>
        <w:jc w:val="center"/>
        <w:rPr>
          <w:rFonts w:hint="eastAsia"/>
        </w:rPr>
      </w:pPr>
      <w:bookmarkStart w:id="53" w:name="_Toc165537205"/>
      <w:r>
        <w:rPr>
          <w:bCs/>
          <w:i/>
          <w:iCs/>
        </w:rPr>
        <w:t>Green Coffee</w:t>
      </w:r>
      <w:bookmarkEnd w:id="53"/>
    </w:p>
    <w:p w14:paraId="1BEB36E5" w14:textId="77777777" w:rsidR="00CD65C2" w:rsidRPr="00D1428E" w:rsidRDefault="00FA41FC">
      <w:pPr>
        <w:pStyle w:val="Corpo"/>
        <w:jc w:val="center"/>
        <w:rPr>
          <w:rFonts w:hint="eastAsia"/>
          <w:b/>
          <w:color w:val="0070C0"/>
          <w:sz w:val="40"/>
        </w:rPr>
      </w:pPr>
      <w:r w:rsidRPr="00D1428E">
        <w:rPr>
          <w:b/>
          <w:color w:val="0070C0"/>
          <w:sz w:val="40"/>
        </w:rPr>
        <w:t>Promove Redução Significativa nos Níveis de Colesterol e Triglicerídeos em Mulheres com SOPC</w:t>
      </w:r>
    </w:p>
    <w:p w14:paraId="29A5AD9C" w14:textId="77777777" w:rsidR="00CD65C2" w:rsidRDefault="00CD65C2">
      <w:pPr>
        <w:pStyle w:val="Corpo"/>
        <w:rPr>
          <w:rFonts w:hint="eastAsia"/>
          <w:color w:val="404040" w:themeColor="text1" w:themeTint="BF"/>
          <w:sz w:val="24"/>
        </w:rPr>
      </w:pPr>
    </w:p>
    <w:p w14:paraId="5401F8E9" w14:textId="77777777" w:rsidR="00CD65C2" w:rsidRDefault="00CD65C2">
      <w:pPr>
        <w:pStyle w:val="Corpo"/>
        <w:spacing w:after="120"/>
        <w:rPr>
          <w:rFonts w:hint="eastAsia"/>
          <w:color w:val="404040" w:themeColor="text1" w:themeTint="BF"/>
          <w:sz w:val="24"/>
        </w:rPr>
      </w:pPr>
    </w:p>
    <w:p w14:paraId="6AB6E82C" w14:textId="77777777" w:rsidR="00CD65C2" w:rsidRDefault="00FA41FC">
      <w:pPr>
        <w:pStyle w:val="Corpo"/>
        <w:spacing w:after="120"/>
        <w:rPr>
          <w:rFonts w:hint="eastAsia"/>
          <w:color w:val="404040" w:themeColor="text1" w:themeTint="BF"/>
          <w:sz w:val="24"/>
        </w:rPr>
      </w:pPr>
      <w:r>
        <w:rPr>
          <w:color w:val="404040" w:themeColor="text1" w:themeTint="BF"/>
          <w:sz w:val="24"/>
        </w:rPr>
        <w:t xml:space="preserve">Este estudo clínico e randomizado teve como objetivo determinar o efeito do </w:t>
      </w:r>
      <w:r>
        <w:rPr>
          <w:i/>
          <w:iCs/>
          <w:color w:val="404040" w:themeColor="text1" w:themeTint="BF"/>
          <w:sz w:val="24"/>
        </w:rPr>
        <w:t>green coffee</w:t>
      </w:r>
      <w:r>
        <w:rPr>
          <w:color w:val="404040" w:themeColor="text1" w:themeTint="BF"/>
          <w:sz w:val="24"/>
        </w:rPr>
        <w:t xml:space="preserve"> (GC) no perfil lipídico, índices glicêmicos e biomarcadores inflamatórios </w:t>
      </w:r>
      <w:r>
        <w:rPr>
          <w:color w:val="404040" w:themeColor="text1" w:themeTint="BF"/>
          <w:sz w:val="24"/>
        </w:rPr>
        <w:fldChar w:fldCharType="begin">
          <w:fldData xml:space="preserve">PEVuZE5vdGU+PENpdGU+PEF1dGhvcj5NZXNoa2FuaTwvQXV0aG9yPjxZZWFyPjIwMjI8L1llYXI+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</w:fldData>
        </w:fldChar>
      </w:r>
      <w:r>
        <w:rPr>
          <w:color w:val="404040" w:themeColor="text1" w:themeTint="BF"/>
          <w:sz w:val="24"/>
        </w:rPr>
        <w:instrText xml:space="preserve"> ADDIN EN.CITE </w:instrText>
      </w:r>
      <w:r>
        <w:rPr>
          <w:color w:val="404040" w:themeColor="text1" w:themeTint="BF"/>
          <w:sz w:val="24"/>
        </w:rPr>
        <w:fldChar w:fldCharType="begin">
          <w:fldData xml:space="preserve">PEVuZE5vdGU+PENpdGU+PEF1dGhvcj5NZXNoa2FuaTwvQXV0aG9yPjxZZWFyPjIwMjI8L1llYXI+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</w:fldData>
        </w:fldChar>
      </w:r>
      <w:r>
        <w:rPr>
          <w:color w:val="404040" w:themeColor="text1" w:themeTint="BF"/>
          <w:sz w:val="24"/>
        </w:rPr>
        <w:instrText xml:space="preserve"> ADDIN EN.CITE.DATA </w:instrText>
      </w:r>
      <w:r>
        <w:rPr>
          <w:color w:val="404040" w:themeColor="text1" w:themeTint="BF"/>
          <w:sz w:val="24"/>
        </w:rPr>
      </w:r>
      <w:r>
        <w:rPr>
          <w:color w:val="404040" w:themeColor="text1" w:themeTint="BF"/>
          <w:sz w:val="24"/>
        </w:rPr>
        <w:fldChar w:fldCharType="end"/>
      </w:r>
      <w:r>
        <w:rPr>
          <w:color w:val="404040" w:themeColor="text1" w:themeTint="BF"/>
          <w:sz w:val="24"/>
        </w:rPr>
      </w:r>
      <w:r>
        <w:rPr>
          <w:color w:val="404040" w:themeColor="text1" w:themeTint="BF"/>
          <w:sz w:val="24"/>
        </w:rPr>
        <w:fldChar w:fldCharType="separate"/>
      </w:r>
      <w:r>
        <w:rPr>
          <w:color w:val="404040" w:themeColor="text1" w:themeTint="BF"/>
          <w:sz w:val="24"/>
        </w:rPr>
        <w:t>(MESHKANI; SAEDISOMEOLIA; YEKANINEJAD; MOUSAVI</w:t>
      </w:r>
      <w:r>
        <w:rPr>
          <w:i/>
          <w:color w:val="404040" w:themeColor="text1" w:themeTint="BF"/>
          <w:sz w:val="24"/>
        </w:rPr>
        <w:t xml:space="preserve"> et al.</w:t>
      </w:r>
      <w:r>
        <w:rPr>
          <w:color w:val="404040" w:themeColor="text1" w:themeTint="BF"/>
          <w:sz w:val="24"/>
        </w:rPr>
        <w:t>, 2022)</w:t>
      </w:r>
      <w:r>
        <w:rPr>
          <w:color w:val="404040" w:themeColor="text1" w:themeTint="BF"/>
          <w:sz w:val="24"/>
        </w:rPr>
        <w:fldChar w:fldCharType="end"/>
      </w:r>
      <w:r>
        <w:rPr>
          <w:color w:val="404040" w:themeColor="text1" w:themeTint="BF"/>
          <w:sz w:val="24"/>
        </w:rPr>
        <w:t>.</w:t>
      </w:r>
    </w:p>
    <w:p w14:paraId="05F5BE8C"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65760" behindDoc="0" locked="0" layoutInCell="1" allowOverlap="1">
                <wp:simplePos x="0" y="0"/>
                <wp:positionH relativeFrom="margin">
                  <wp:posOffset>5080</wp:posOffset>
                </wp:positionH>
                <wp:positionV relativeFrom="paragraph">
                  <wp:posOffset>96520</wp:posOffset>
                </wp:positionV>
                <wp:extent cx="5724525" cy="518160"/>
                <wp:effectExtent l="0" t="0" r="28575" b="15240"/>
                <wp:wrapNone/>
                <wp:docPr id="34" name="Caixa de texto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0070C0"/>
                          </a:solidFill>
                          <a:miter lim="800000"/>
                        </a:ln>
                      </wps:spPr>
                      <wps:txbx>
                        <w:txbxContent>
                          <w:p w14:paraId="49D7717F" w14:textId="48CE3154" w:rsidR="00FA41FC" w:rsidRDefault="00FA41FC">
                            <w:pPr>
                              <w:jc w:val="center"/>
                              <w:rPr>
                                <w:rFonts w:ascii="Swis721 Th BT" w:hAnsi="Swis721 Th BT"/>
                                <w:sz w:val="23"/>
                                <w:szCs w:val="23"/>
                              </w:rPr>
                            </w:pPr>
                            <w:r>
                              <w:rPr>
                                <w:rFonts w:ascii="Swis721 Th BT" w:hAnsi="Swis721 Th BT"/>
                                <w:sz w:val="23"/>
                                <w:szCs w:val="23"/>
                              </w:rPr>
                              <w:t>Para isso, 34 pacientes com SOPC foram selecionadas para receberem durante seis semanas:</w:t>
                            </w:r>
                          </w:p>
                          <w:p w14:paraId="6929E934"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34" o:spid="_x0000_s1093" type="#_x0000_t202" style="position:absolute;left:0;text-align:left;margin-left:.4pt;margin-top:7.6pt;width:450.75pt;height:40.8pt;z-index:2517657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" fillcolor="white [3212]" strokecolor="#0070c0">
                <v:textbox>
                  <w:txbxContent>
                    <w:p w14:paraId="49D7717F" w14:textId="48CE3154" w:rsidR="00FA41FC" w:rsidRDefault="00FA41FC">
                      <w:pPr>
                        <w:jc w:val="center"/>
                        <w:rPr>
                          <w:rFonts w:ascii="Swis721 Th BT" w:hAnsi="Swis721 Th BT"/>
                          <w:sz w:val="23"/>
                          <w:szCs w:val="23"/>
                        </w:rPr>
                      </w:pPr>
                      <w:r>
                        <w:rPr>
                          <w:rFonts w:ascii="Swis721 Th BT" w:hAnsi="Swis721 Th BT"/>
                          <w:sz w:val="23"/>
                          <w:szCs w:val="23"/>
                        </w:rPr>
                        <w:t>Para isso, 34 pacientes com SOPC foram selecionadas para receberem durante seis semanas:</w:t>
                      </w:r>
                    </w:p>
                    <w:p w14:paraId="6929E934"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07E46874" w14:textId="77777777" w:rsidR="00CD65C2" w:rsidRDefault="00CD65C2">
      <w:pPr>
        <w:pStyle w:val="Corpo"/>
        <w:rPr>
          <w:rFonts w:hint="eastAsia"/>
          <w:color w:val="404040" w:themeColor="text1" w:themeTint="BF"/>
        </w:rPr>
      </w:pPr>
    </w:p>
    <w:p w14:paraId="6087E795" w14:textId="77777777" w:rsidR="00CD65C2" w:rsidRDefault="00CD65C2">
      <w:pPr>
        <w:pStyle w:val="Corpo"/>
        <w:rPr>
          <w:rFonts w:hint="eastAsia"/>
          <w:color w:val="404040" w:themeColor="text1" w:themeTint="BF"/>
        </w:rPr>
      </w:pPr>
    </w:p>
    <w:p w14:paraId="58CC16DE"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763712"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41" name="Triângulo isóscele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41" o:spid="_x0000_s1026" o:spt="5" type="#_x0000_t5" style="position:absolute;left:0pt;flip:y;margin-left:65.25pt;margin-top:0.85pt;height:10.9pt;width:17.85pt;z-index:251763712;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n+uDbdYA&#10;AAAIAQAADwAAAAAAAAABACAAAAAiAAAAZHJzL2Rvd25yZXYueG1sUEsBAhQAFAAAAAgAh07iQL54&#10;w+VaAgAApQQAAA4AAAAAAAAAAQAgAAAAJQEAAGRycy9lMm9Eb2MueG1sUEsFBgAAAAAGAAYAWQEA&#10;APEFA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762688" behindDoc="0" locked="0" layoutInCell="1" allowOverlap="1">
                <wp:simplePos x="0" y="0"/>
                <wp:positionH relativeFrom="column">
                  <wp:posOffset>4664710</wp:posOffset>
                </wp:positionH>
                <wp:positionV relativeFrom="paragraph">
                  <wp:posOffset>10795</wp:posOffset>
                </wp:positionV>
                <wp:extent cx="226695" cy="138430"/>
                <wp:effectExtent l="0" t="0" r="1905" b="0"/>
                <wp:wrapNone/>
                <wp:docPr id="42" name="Triângulo isósceles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42" o:spid="_x0000_s1026" o:spt="5" type="#_x0000_t5" style="position:absolute;left:0pt;flip:y;margin-left:367.3pt;margin-top:0.85pt;height:10.9pt;width:17.85pt;z-index:251762688;mso-width-relative:page;mso-height-relative:page;" fillcolor="#D9D9D9 [3212]" filled="t" stroked="f" coordsize="21600,21600" o:gfxdata="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KsimVtYA&#10;AAAIAQAADwAAAAAAAAABACAAAAAiAAAAZHJzL2Rvd25yZXYueG1sUEsBAhQAFAAAAAgAh07iQAah&#10;SLxaAgAApQQAAA4AAAAAAAAAAQAgAAAAJQEAAGRycy9lMm9Eb2MueG1sUEsFBgAAAAAGAAYAWQEA&#10;APEFAAAAAA==&#10;" adj="10800">
                <v:fill on="t" focussize="0,0"/>
                <v:stroke on="f"/>
                <v:imagedata o:title=""/>
                <o:lock v:ext="edit" aspectratio="f"/>
              </v:shape>
            </w:pict>
          </mc:Fallback>
        </mc:AlternateContent>
      </w:r>
    </w:p>
    <w:p w14:paraId="28963763"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761664" behindDoc="0" locked="0" layoutInCell="1" allowOverlap="1">
                <wp:simplePos x="0" y="0"/>
                <wp:positionH relativeFrom="column">
                  <wp:posOffset>-5715</wp:posOffset>
                </wp:positionH>
                <wp:positionV relativeFrom="paragraph">
                  <wp:posOffset>88900</wp:posOffset>
                </wp:positionV>
                <wp:extent cx="1913890" cy="781685"/>
                <wp:effectExtent l="0" t="0" r="10160" b="18415"/>
                <wp:wrapNone/>
                <wp:docPr id="47" name="Caixa de texto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5E68EAD5" w14:textId="77777777" w:rsidR="00FA41FC" w:rsidRDefault="00FA41FC">
                            <w:pPr>
                              <w:spacing w:after="0" w:line="240" w:lineRule="auto"/>
                              <w:jc w:val="center"/>
                              <w:rPr>
                                <w:rFonts w:ascii="Swis721 Th BT" w:hAnsi="Swis721 Th BT"/>
                                <w:i/>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iCs/>
                                <w:color w:val="FFFFFF" w:themeColor="background1"/>
                                <w:sz w:val="23"/>
                                <w:szCs w:val="23"/>
                              </w:rPr>
                              <w:t>Green Coffee</w:t>
                            </w:r>
                          </w:p>
                          <w:p w14:paraId="7A05E137" w14:textId="77777777" w:rsidR="00FA41FC" w:rsidRDefault="00FA41FC">
                            <w:pPr>
                              <w:spacing w:after="0" w:line="240" w:lineRule="auto"/>
                              <w:jc w:val="center"/>
                              <w:rPr>
                                <w:rFonts w:ascii="Swis721 Th BT" w:hAnsi="Swis721 Th BT"/>
                                <w:i/>
                                <w:color w:val="FFFFFF" w:themeColor="background1"/>
                                <w:sz w:val="23"/>
                                <w:szCs w:val="23"/>
                              </w:rPr>
                            </w:pPr>
                            <w:r>
                              <w:rPr>
                                <w:rFonts w:ascii="Swis721 Th BT" w:hAnsi="Swis721 Th BT"/>
                                <w:i/>
                                <w:color w:val="FFFFFF" w:themeColor="background1"/>
                                <w:sz w:val="23"/>
                                <w:szCs w:val="23"/>
                              </w:rPr>
                              <w:t>400 mg</w:t>
                            </w:r>
                          </w:p>
                          <w:p w14:paraId="4E9DF424"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47" o:spid="_x0000_s1094" type="#_x0000_t202" style="position:absolute;left:0;text-align:left;margin-left:-.45pt;margin-top:7pt;width:150.7pt;height:61.55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" fillcolor="#0070c0" strokecolor="#0070c0">
                <v:textbox>
                  <w:txbxContent>
                    <w:p w14:paraId="5E68EAD5" w14:textId="77777777" w:rsidR="00FA41FC" w:rsidRDefault="00FA41FC">
                      <w:pPr>
                        <w:spacing w:after="0" w:line="240" w:lineRule="auto"/>
                        <w:jc w:val="center"/>
                        <w:rPr>
                          <w:rFonts w:ascii="Swis721 Th BT" w:hAnsi="Swis721 Th BT"/>
                          <w:i/>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iCs/>
                          <w:color w:val="FFFFFF" w:themeColor="background1"/>
                          <w:sz w:val="23"/>
                          <w:szCs w:val="23"/>
                        </w:rPr>
                        <w:t>Green Coffee</w:t>
                      </w:r>
                    </w:p>
                    <w:p w14:paraId="7A05E137" w14:textId="77777777" w:rsidR="00FA41FC" w:rsidRDefault="00FA41FC">
                      <w:pPr>
                        <w:spacing w:after="0" w:line="240" w:lineRule="auto"/>
                        <w:jc w:val="center"/>
                        <w:rPr>
                          <w:rFonts w:ascii="Swis721 Th BT" w:hAnsi="Swis721 Th BT"/>
                          <w:i/>
                          <w:color w:val="FFFFFF" w:themeColor="background1"/>
                          <w:sz w:val="23"/>
                          <w:szCs w:val="23"/>
                        </w:rPr>
                      </w:pPr>
                      <w:r>
                        <w:rPr>
                          <w:rFonts w:ascii="Swis721 Th BT" w:hAnsi="Swis721 Th BT"/>
                          <w:i/>
                          <w:color w:val="FFFFFF" w:themeColor="background1"/>
                          <w:sz w:val="23"/>
                          <w:szCs w:val="23"/>
                        </w:rPr>
                        <w:t>400 mg</w:t>
                      </w:r>
                    </w:p>
                    <w:p w14:paraId="4E9DF424"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764736" behindDoc="0" locked="0" layoutInCell="1" allowOverlap="1">
                <wp:simplePos x="0" y="0"/>
                <wp:positionH relativeFrom="column">
                  <wp:posOffset>3839210</wp:posOffset>
                </wp:positionH>
                <wp:positionV relativeFrom="paragraph">
                  <wp:posOffset>88900</wp:posOffset>
                </wp:positionV>
                <wp:extent cx="1905000" cy="781685"/>
                <wp:effectExtent l="0" t="0" r="19050" b="18415"/>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3F7DD259"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58FB8496" w14:textId="77777777" w:rsidR="00FA41FC" w:rsidRDefault="00FA41FC">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58" o:spid="_x0000_s1095" type="#_x0000_t202" style="position:absolute;left:0;text-align:left;margin-left:302.3pt;margin-top:7pt;width:150pt;height:61.55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" fillcolor="#0070c0" strokecolor="#0070c0">
                <v:textbox>
                  <w:txbxContent>
                    <w:p w14:paraId="3F7DD259"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58FB8496" w14:textId="77777777" w:rsidR="00FA41FC" w:rsidRDefault="00FA41FC">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14:paraId="441A49AE" w14:textId="77777777" w:rsidR="00CD65C2" w:rsidRDefault="00CD65C2">
      <w:pPr>
        <w:pStyle w:val="Corpo"/>
        <w:rPr>
          <w:rFonts w:hint="eastAsia"/>
          <w:color w:val="404040" w:themeColor="text1" w:themeTint="BF"/>
        </w:rPr>
      </w:pPr>
    </w:p>
    <w:p w14:paraId="3F897439" w14:textId="77777777" w:rsidR="00CD65C2" w:rsidRDefault="00CD65C2">
      <w:pPr>
        <w:pStyle w:val="Corpo"/>
        <w:rPr>
          <w:rFonts w:hint="eastAsia"/>
          <w:color w:val="404040" w:themeColor="text1" w:themeTint="BF"/>
        </w:rPr>
      </w:pPr>
    </w:p>
    <w:p w14:paraId="173C8AA6" w14:textId="77777777" w:rsidR="00CD65C2" w:rsidRDefault="00CD65C2">
      <w:pPr>
        <w:pStyle w:val="Corpo"/>
        <w:rPr>
          <w:rFonts w:hint="eastAsia"/>
          <w:color w:val="404040" w:themeColor="text1" w:themeTint="BF"/>
        </w:rPr>
      </w:pPr>
    </w:p>
    <w:p w14:paraId="089FB0EA" w14:textId="77777777" w:rsidR="00CD65C2" w:rsidRDefault="00CD65C2">
      <w:pPr>
        <w:pStyle w:val="Corpo"/>
        <w:spacing w:before="120"/>
        <w:rPr>
          <w:rFonts w:hint="eastAsia"/>
          <w:color w:val="404040" w:themeColor="text1" w:themeTint="BF"/>
          <w:sz w:val="20"/>
        </w:rPr>
      </w:pPr>
    </w:p>
    <w:p w14:paraId="7152B3BB" w14:textId="77777777" w:rsidR="00CD65C2" w:rsidRDefault="00FA41FC">
      <w:pPr>
        <w:pStyle w:val="Corpo"/>
        <w:numPr>
          <w:ilvl w:val="0"/>
          <w:numId w:val="28"/>
        </w:numPr>
        <w:rPr>
          <w:rFonts w:hint="eastAsia"/>
          <w:color w:val="404040" w:themeColor="text1" w:themeTint="BF"/>
          <w:sz w:val="20"/>
          <w:szCs w:val="20"/>
        </w:rPr>
      </w:pPr>
      <w:r>
        <w:rPr>
          <w:color w:val="404040" w:themeColor="text1" w:themeTint="BF"/>
          <w:sz w:val="20"/>
          <w:szCs w:val="20"/>
        </w:rPr>
        <w:t xml:space="preserve">Foram avaliados os índices glicêmicos, perfis lipídicos e parâmetros inflamatórios. </w:t>
      </w:r>
    </w:p>
    <w:p w14:paraId="0CC60C04" w14:textId="77777777" w:rsidR="00CD65C2" w:rsidRDefault="00CD65C2">
      <w:pPr>
        <w:pStyle w:val="Corpo"/>
        <w:rPr>
          <w:rFonts w:hint="eastAsia"/>
          <w:color w:val="404040" w:themeColor="text1" w:themeTint="BF"/>
          <w:sz w:val="20"/>
        </w:rPr>
      </w:pPr>
    </w:p>
    <w:p w14:paraId="24C7AB54"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1B047FFF"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16AF223F" w14:textId="77777777" w:rsidR="00CD65C2" w:rsidRDefault="00CD65C2">
      <w:pPr>
        <w:pStyle w:val="Corpo"/>
        <w:rPr>
          <w:rFonts w:hint="eastAsia"/>
          <w:b/>
          <w:color w:val="404040" w:themeColor="text1" w:themeTint="BF"/>
          <w:szCs w:val="23"/>
        </w:rPr>
      </w:pPr>
    </w:p>
    <w:p w14:paraId="57C17EBC" w14:textId="77777777" w:rsidR="00CD65C2" w:rsidRDefault="00FA41FC">
      <w:pPr>
        <w:pStyle w:val="Corpo"/>
        <w:numPr>
          <w:ilvl w:val="0"/>
          <w:numId w:val="29"/>
        </w:numPr>
        <w:rPr>
          <w:rFonts w:hint="eastAsia"/>
          <w:color w:val="404040" w:themeColor="text1" w:themeTint="BF"/>
          <w:szCs w:val="23"/>
        </w:rPr>
      </w:pPr>
      <w:r>
        <w:rPr>
          <w:color w:val="404040" w:themeColor="text1" w:themeTint="BF"/>
          <w:szCs w:val="23"/>
        </w:rPr>
        <w:t>Após o período de intervenção, nenhuma diferença significativa foi mostrada na glicemia em jejum, nível de insulina, avaliação do modelo de homeostase do índice de resistência à insulina, lipoproteína de baixa densidade, lipoproteína de alta densidade e interleucina 6 ou 10 entre os grupos (suplementação e placebo);</w:t>
      </w:r>
    </w:p>
    <w:p w14:paraId="3527E6D0" w14:textId="02DA2CD8" w:rsidR="00CD65C2" w:rsidRDefault="00FA41FC">
      <w:pPr>
        <w:pStyle w:val="Corpo"/>
        <w:numPr>
          <w:ilvl w:val="0"/>
          <w:numId w:val="29"/>
        </w:numPr>
        <w:rPr>
          <w:rFonts w:hint="eastAsia"/>
          <w:color w:val="404040" w:themeColor="text1" w:themeTint="BF"/>
          <w:szCs w:val="23"/>
        </w:rPr>
      </w:pPr>
      <w:r>
        <w:rPr>
          <w:color w:val="404040" w:themeColor="text1" w:themeTint="BF"/>
          <w:szCs w:val="23"/>
        </w:rPr>
        <w:t>Os níveis séricos de colesterol e triglicerídeos diminuíram significativamente no grupo de intervenção (p &lt; 0,05).</w:t>
      </w:r>
    </w:p>
    <w:p w14:paraId="56CE7E58"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4AD1EC6E"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72681877"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 xml:space="preserve">Conclusão: </w:t>
      </w:r>
    </w:p>
    <w:p w14:paraId="1E7F8BA3"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1E1CB02D" w14:textId="77777777" w:rsidR="00CD65C2" w:rsidRDefault="00FA41FC">
      <w:pPr>
        <w:pStyle w:val="Corpo"/>
        <w:jc w:val="center"/>
        <w:rPr>
          <w:rFonts w:hint="eastAsia"/>
          <w:b/>
          <w:bCs/>
          <w:i/>
          <w:color w:val="404040" w:themeColor="text1" w:themeTint="BF"/>
        </w:rPr>
      </w:pPr>
      <w:r>
        <w:rPr>
          <w:b/>
          <w:bCs/>
          <w:i/>
          <w:color w:val="404040" w:themeColor="text1" w:themeTint="BF"/>
        </w:rPr>
        <w:t>Os pesquisadores concluíram que a suplementação de</w:t>
      </w:r>
      <w:r w:rsidRPr="00D1428E">
        <w:rPr>
          <w:rFonts w:hint="eastAsia"/>
          <w:b/>
          <w:bCs/>
          <w:iCs/>
          <w:color w:val="404040" w:themeColor="text1" w:themeTint="BF"/>
        </w:rPr>
        <w:t xml:space="preserve"> Green coffee</w:t>
      </w:r>
      <w:r>
        <w:rPr>
          <w:b/>
          <w:bCs/>
          <w:i/>
          <w:color w:val="404040" w:themeColor="text1" w:themeTint="BF"/>
        </w:rPr>
        <w:t xml:space="preserve"> pode melhorar o perfil lipídico em mulheres com SOPC.</w:t>
      </w:r>
    </w:p>
    <w:p w14:paraId="4D9F7E85" w14:textId="77777777" w:rsidR="00CD65C2" w:rsidRDefault="00CD65C2">
      <w:pPr>
        <w:pStyle w:val="Corpo"/>
        <w:jc w:val="center"/>
        <w:rPr>
          <w:rFonts w:hint="eastAsia"/>
          <w:b/>
          <w:bCs/>
          <w:i/>
          <w:color w:val="404040" w:themeColor="text1" w:themeTint="BF"/>
        </w:rPr>
      </w:pPr>
    </w:p>
    <w:p w14:paraId="7AC59BCA" w14:textId="77777777" w:rsidR="00CD65C2" w:rsidRDefault="00CD65C2">
      <w:pPr>
        <w:pStyle w:val="Corpo"/>
        <w:jc w:val="center"/>
        <w:rPr>
          <w:rFonts w:hint="eastAsia"/>
          <w:b/>
          <w:bCs/>
          <w:i/>
          <w:color w:val="404040" w:themeColor="text1" w:themeTint="BF"/>
        </w:rPr>
      </w:pPr>
    </w:p>
    <w:p w14:paraId="09F68EAB" w14:textId="77777777" w:rsidR="00CD65C2" w:rsidRDefault="00FA41FC">
      <w:pPr>
        <w:pStyle w:val="Ttulo1"/>
        <w:jc w:val="center"/>
        <w:rPr>
          <w:rFonts w:hint="eastAsia"/>
        </w:rPr>
      </w:pPr>
      <w:bookmarkStart w:id="54" w:name="_Toc165537206"/>
      <w:r>
        <w:t>Formulário</w:t>
      </w:r>
      <w:bookmarkEnd w:id="54"/>
    </w:p>
    <w:p w14:paraId="52CBFA61" w14:textId="77777777" w:rsidR="00CD65C2" w:rsidRDefault="00CD65C2">
      <w:pPr>
        <w:pStyle w:val="Corpo"/>
        <w:rPr>
          <w:rFonts w:hint="eastAsia"/>
          <w:b/>
          <w:i/>
          <w:color w:val="404040" w:themeColor="text1" w:themeTint="BF"/>
        </w:rPr>
      </w:pPr>
    </w:p>
    <w:p w14:paraId="76514748" w14:textId="77777777" w:rsidR="00CD65C2" w:rsidRDefault="00CD65C2">
      <w:pPr>
        <w:pStyle w:val="Corpo"/>
        <w:rPr>
          <w:rFonts w:hint="eastAsia"/>
          <w:b/>
          <w:i/>
          <w:color w:val="404040" w:themeColor="text1" w:themeTint="BF"/>
        </w:rPr>
      </w:pPr>
    </w:p>
    <w:p w14:paraId="27289283" w14:textId="77777777" w:rsidR="00CD65C2" w:rsidRDefault="00FA41FC">
      <w:pPr>
        <w:pStyle w:val="Corpo"/>
        <w:rPr>
          <w:rFonts w:hint="eastAsia"/>
          <w:b/>
          <w:bCs/>
          <w:i/>
          <w:color w:val="404040" w:themeColor="text1" w:themeTint="BF"/>
          <w:sz w:val="24"/>
        </w:rPr>
      </w:pPr>
      <w:r w:rsidRPr="00D1428E">
        <w:rPr>
          <w:rFonts w:hint="eastAsia"/>
          <w:b/>
          <w:bCs/>
          <w:color w:val="404040" w:themeColor="text1" w:themeTint="BF"/>
          <w:sz w:val="24"/>
        </w:rPr>
        <w:t>Green coffee</w:t>
      </w:r>
      <w:r>
        <w:rPr>
          <w:b/>
          <w:bCs/>
          <w:i/>
          <w:color w:val="404040" w:themeColor="text1" w:themeTint="BF"/>
          <w:sz w:val="24"/>
        </w:rPr>
        <w:t xml:space="preserve"> Melhora o Perfil Lipídico em Mulheres com SOPC</w:t>
      </w:r>
    </w:p>
    <w:p w14:paraId="5A898115"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2A6E8896"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6829E622" w14:textId="77777777" w:rsidR="00CD65C2" w:rsidRDefault="00FA41FC">
            <w:pPr>
              <w:pStyle w:val="Corpo"/>
              <w:jc w:val="center"/>
              <w:rPr>
                <w:rFonts w:hint="eastAsia"/>
                <w:b/>
                <w:color w:val="FFFFFF" w:themeColor="background1"/>
              </w:rPr>
            </w:pPr>
            <w:r>
              <w:rPr>
                <w:b/>
                <w:color w:val="FFFFFF" w:themeColor="background1"/>
              </w:rPr>
              <w:t xml:space="preserve">Cápsulas de </w:t>
            </w:r>
            <w:r>
              <w:rPr>
                <w:b/>
                <w:i/>
                <w:iCs/>
                <w:color w:val="FFFFFF" w:themeColor="background1"/>
              </w:rPr>
              <w:t>Green Coffee</w:t>
            </w:r>
          </w:p>
        </w:tc>
      </w:tr>
      <w:tr w:rsidR="00CD65C2" w14:paraId="1398B41B"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D7A9AFC" w14:textId="77777777" w:rsidR="00CD65C2" w:rsidRDefault="00FA41FC">
            <w:pPr>
              <w:pStyle w:val="Corpo"/>
              <w:rPr>
                <w:rFonts w:hint="eastAsia"/>
                <w:color w:val="404040" w:themeColor="text1" w:themeTint="BF"/>
              </w:rPr>
            </w:pPr>
            <w:r>
              <w:rPr>
                <w:i/>
                <w:color w:val="404040" w:themeColor="text1" w:themeTint="BF"/>
              </w:rPr>
              <w:t>Green coffee</w:t>
            </w:r>
            <w:r>
              <w:rPr>
                <w:color w:val="404040" w:themeColor="text1" w:themeTint="BF"/>
              </w:rPr>
              <w:t>...................................400 mg</w:t>
            </w:r>
          </w:p>
        </w:tc>
      </w:tr>
      <w:tr w:rsidR="00CD65C2" w14:paraId="571FC6E6"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4421B57" w14:textId="06F71391" w:rsidR="00CD65C2" w:rsidRDefault="00FA41FC">
            <w:pPr>
              <w:pStyle w:val="Corpo"/>
              <w:rPr>
                <w:rFonts w:hint="eastAsia"/>
                <w:color w:val="404040" w:themeColor="text1" w:themeTint="BF"/>
              </w:rPr>
            </w:pPr>
            <w:r>
              <w:rPr>
                <w:color w:val="404040" w:themeColor="text1" w:themeTint="BF"/>
              </w:rPr>
              <w:t>Excipiente q.s.p. ........................1 Cápsula</w:t>
            </w:r>
          </w:p>
        </w:tc>
      </w:tr>
    </w:tbl>
    <w:p w14:paraId="791E4DC7" w14:textId="77777777" w:rsidR="00CD65C2" w:rsidRDefault="00FA41FC">
      <w:pPr>
        <w:pStyle w:val="SemEspaamento"/>
        <w:ind w:right="4960"/>
        <w:jc w:val="center"/>
        <w:rPr>
          <w:rFonts w:ascii="Swis721 Th BT" w:eastAsia="MS Mincho" w:hAnsi="Swis721 Th BT" w:hint="eastAsia"/>
          <w:color w:val="404040" w:themeColor="text1" w:themeTint="BF"/>
        </w:rPr>
      </w:pPr>
      <w:r>
        <w:rPr>
          <w:rFonts w:ascii="Swis721 Th BT" w:eastAsia="MS Mincho" w:hAnsi="Swis721 Th BT"/>
          <w:color w:val="404040" w:themeColor="text1" w:themeTint="BF"/>
        </w:rPr>
        <w:t>Administrar 1 cápsula ao dia ou conforme orientação médica.</w:t>
      </w:r>
    </w:p>
    <w:p w14:paraId="1A9ABE89" w14:textId="77777777" w:rsidR="00CD65C2" w:rsidRDefault="00CD65C2">
      <w:pPr>
        <w:pStyle w:val="SemEspaamento"/>
      </w:pPr>
    </w:p>
    <w:p w14:paraId="3D8C4F55" w14:textId="77777777" w:rsidR="00CD65C2" w:rsidRDefault="00CD65C2">
      <w:pPr>
        <w:pStyle w:val="SemEspaamento"/>
      </w:pPr>
    </w:p>
    <w:p w14:paraId="4ACC473F" w14:textId="77777777" w:rsidR="00CD65C2" w:rsidRDefault="00CD65C2">
      <w:pPr>
        <w:pStyle w:val="SemEspaamento"/>
      </w:pPr>
    </w:p>
    <w:p w14:paraId="19D60DC9" w14:textId="77777777" w:rsidR="00CD65C2" w:rsidRDefault="00CD65C2">
      <w:pPr>
        <w:pStyle w:val="SemEspaamento"/>
      </w:pPr>
    </w:p>
    <w:p w14:paraId="43DB9FF3" w14:textId="77777777" w:rsidR="00CD65C2" w:rsidRDefault="00CD65C2">
      <w:pPr>
        <w:pStyle w:val="SemEspaamento"/>
      </w:pPr>
    </w:p>
    <w:p w14:paraId="5B941580" w14:textId="77777777" w:rsidR="00CD65C2" w:rsidRDefault="00CD65C2">
      <w:pPr>
        <w:pStyle w:val="SemEspaamento"/>
      </w:pPr>
    </w:p>
    <w:p w14:paraId="5B09C2BD" w14:textId="77777777" w:rsidR="00CD65C2" w:rsidRDefault="00CD65C2">
      <w:pPr>
        <w:pStyle w:val="SemEspaamento"/>
      </w:pPr>
    </w:p>
    <w:p w14:paraId="2080B470" w14:textId="77777777" w:rsidR="00CD65C2" w:rsidRDefault="00CD65C2">
      <w:pPr>
        <w:pStyle w:val="SemEspaamento"/>
      </w:pPr>
    </w:p>
    <w:p w14:paraId="0496F61F" w14:textId="77777777" w:rsidR="00CD65C2" w:rsidRDefault="00CD65C2">
      <w:pPr>
        <w:pStyle w:val="SemEspaamento"/>
      </w:pPr>
    </w:p>
    <w:p w14:paraId="2E6CB70A" w14:textId="77777777" w:rsidR="00CD65C2" w:rsidRDefault="00CD65C2">
      <w:pPr>
        <w:pStyle w:val="SemEspaamento"/>
      </w:pPr>
    </w:p>
    <w:p w14:paraId="1BB6C1D1" w14:textId="77777777" w:rsidR="00CD65C2" w:rsidRDefault="00CD65C2">
      <w:pPr>
        <w:pStyle w:val="SemEspaamento"/>
      </w:pPr>
    </w:p>
    <w:p w14:paraId="4D3637D5" w14:textId="77777777" w:rsidR="00CD65C2" w:rsidRDefault="00CD65C2">
      <w:pPr>
        <w:pStyle w:val="SemEspaamento"/>
      </w:pPr>
    </w:p>
    <w:p w14:paraId="3408B61B" w14:textId="77777777" w:rsidR="00CD65C2" w:rsidRDefault="00CD65C2">
      <w:pPr>
        <w:pStyle w:val="SemEspaamento"/>
      </w:pPr>
    </w:p>
    <w:p w14:paraId="4D3EE779" w14:textId="77777777" w:rsidR="00CD65C2" w:rsidRDefault="00CD65C2">
      <w:pPr>
        <w:pStyle w:val="SemEspaamento"/>
      </w:pPr>
    </w:p>
    <w:p w14:paraId="0142F99B" w14:textId="77777777" w:rsidR="00CD65C2" w:rsidRDefault="00CD65C2">
      <w:pPr>
        <w:pStyle w:val="SemEspaamento"/>
      </w:pPr>
    </w:p>
    <w:p w14:paraId="016E7153" w14:textId="77777777" w:rsidR="00CD65C2" w:rsidRDefault="00CD65C2">
      <w:pPr>
        <w:pStyle w:val="SemEspaamento"/>
      </w:pPr>
    </w:p>
    <w:p w14:paraId="04FE319B" w14:textId="77777777" w:rsidR="00CD65C2" w:rsidRDefault="00CD65C2">
      <w:pPr>
        <w:pStyle w:val="SemEspaamento"/>
      </w:pPr>
    </w:p>
    <w:p w14:paraId="26C1CBFB" w14:textId="77777777" w:rsidR="00CD65C2" w:rsidRDefault="00CD65C2">
      <w:pPr>
        <w:pStyle w:val="SemEspaamento"/>
      </w:pPr>
    </w:p>
    <w:p w14:paraId="73BB1E04" w14:textId="77777777" w:rsidR="00CD65C2" w:rsidRDefault="00CD65C2">
      <w:pPr>
        <w:pStyle w:val="SemEspaamento"/>
      </w:pPr>
    </w:p>
    <w:p w14:paraId="6C7B6B46" w14:textId="77777777" w:rsidR="00CD65C2" w:rsidRDefault="00CD65C2">
      <w:pPr>
        <w:pStyle w:val="SemEspaamento"/>
      </w:pPr>
    </w:p>
    <w:p w14:paraId="55CF44F4" w14:textId="77777777" w:rsidR="00CD65C2" w:rsidRDefault="00CD65C2">
      <w:pPr>
        <w:pStyle w:val="SemEspaamento"/>
      </w:pPr>
    </w:p>
    <w:p w14:paraId="0B952D78" w14:textId="77777777" w:rsidR="00CD65C2" w:rsidRDefault="00CD65C2">
      <w:pPr>
        <w:pStyle w:val="SemEspaamento"/>
      </w:pPr>
    </w:p>
    <w:p w14:paraId="74FE0C7D" w14:textId="77777777" w:rsidR="00CD65C2" w:rsidRDefault="00CD65C2">
      <w:pPr>
        <w:pStyle w:val="SemEspaamento"/>
      </w:pPr>
    </w:p>
    <w:p w14:paraId="51320494" w14:textId="77777777" w:rsidR="00CD65C2" w:rsidRDefault="00CD65C2">
      <w:pPr>
        <w:pStyle w:val="SemEspaamento"/>
      </w:pPr>
    </w:p>
    <w:p w14:paraId="06E694A2" w14:textId="77777777" w:rsidR="00CD65C2" w:rsidRDefault="00CD65C2">
      <w:pPr>
        <w:pStyle w:val="SemEspaamento"/>
      </w:pPr>
    </w:p>
    <w:p w14:paraId="56E0CFC9" w14:textId="77777777" w:rsidR="00CD65C2" w:rsidRDefault="00CD65C2">
      <w:pPr>
        <w:pStyle w:val="SemEspaamento"/>
      </w:pPr>
    </w:p>
    <w:p w14:paraId="0990300F" w14:textId="77777777" w:rsidR="00CD65C2" w:rsidRDefault="00CD65C2">
      <w:pPr>
        <w:pStyle w:val="SemEspaamento"/>
      </w:pPr>
    </w:p>
    <w:p w14:paraId="7B906159" w14:textId="77777777" w:rsidR="00CD65C2" w:rsidRDefault="00CD65C2">
      <w:pPr>
        <w:pStyle w:val="SemEspaamento"/>
      </w:pPr>
    </w:p>
    <w:p w14:paraId="6CF3927C" w14:textId="77777777" w:rsidR="00CD65C2" w:rsidRDefault="00CD65C2">
      <w:pPr>
        <w:pStyle w:val="SemEspaamento"/>
      </w:pPr>
    </w:p>
    <w:p w14:paraId="57478253" w14:textId="77777777" w:rsidR="00CD65C2" w:rsidRDefault="00CD65C2">
      <w:pPr>
        <w:pStyle w:val="SemEspaamento"/>
      </w:pPr>
    </w:p>
    <w:p w14:paraId="6D5F9DEA" w14:textId="77777777" w:rsidR="00CD65C2" w:rsidRDefault="00CD65C2">
      <w:pPr>
        <w:pStyle w:val="SemEspaamento"/>
      </w:pPr>
    </w:p>
    <w:p w14:paraId="083A0C34" w14:textId="77777777" w:rsidR="00CD65C2" w:rsidRDefault="00CD65C2">
      <w:pPr>
        <w:pStyle w:val="SemEspaamento"/>
      </w:pPr>
    </w:p>
    <w:p w14:paraId="35F2D379" w14:textId="77777777" w:rsidR="00CD65C2" w:rsidRDefault="00FA41FC">
      <w:pPr>
        <w:pStyle w:val="Ttulo1"/>
        <w:jc w:val="center"/>
        <w:rPr>
          <w:rFonts w:hint="eastAsia"/>
        </w:rPr>
      </w:pPr>
      <w:bookmarkStart w:id="55" w:name="_Toc165537207"/>
      <w:r>
        <w:rPr>
          <w:bCs/>
          <w:iCs/>
        </w:rPr>
        <w:t>Metformina e Pioglitazona</w:t>
      </w:r>
      <w:bookmarkEnd w:id="55"/>
    </w:p>
    <w:p w14:paraId="3FA7A5B8" w14:textId="77777777" w:rsidR="00CD65C2" w:rsidRPr="00D1428E" w:rsidRDefault="00FA41FC">
      <w:pPr>
        <w:pStyle w:val="Corpo"/>
        <w:jc w:val="center"/>
        <w:rPr>
          <w:rFonts w:hint="eastAsia"/>
          <w:b/>
          <w:color w:val="0070C0"/>
          <w:sz w:val="40"/>
        </w:rPr>
      </w:pPr>
      <w:r w:rsidRPr="00D1428E">
        <w:rPr>
          <w:b/>
          <w:color w:val="0070C0"/>
          <w:sz w:val="40"/>
        </w:rPr>
        <w:t>Promove Redução Significativa nos Níveis de Colesterol e Triglicerídeos em Mulheres com SOPC</w:t>
      </w:r>
    </w:p>
    <w:p w14:paraId="1D8D58BD" w14:textId="77777777" w:rsidR="00CD65C2" w:rsidRDefault="00CD65C2">
      <w:pPr>
        <w:pStyle w:val="Corpo"/>
        <w:rPr>
          <w:rFonts w:hint="eastAsia"/>
          <w:color w:val="404040" w:themeColor="text1" w:themeTint="BF"/>
          <w:sz w:val="24"/>
        </w:rPr>
      </w:pPr>
    </w:p>
    <w:p w14:paraId="52921CC8" w14:textId="77777777" w:rsidR="00CD65C2" w:rsidRDefault="00CD65C2">
      <w:pPr>
        <w:pStyle w:val="Corpo"/>
        <w:spacing w:after="120"/>
        <w:rPr>
          <w:rFonts w:hint="eastAsia"/>
          <w:color w:val="404040" w:themeColor="text1" w:themeTint="BF"/>
          <w:sz w:val="24"/>
        </w:rPr>
      </w:pPr>
    </w:p>
    <w:p w14:paraId="4A67017E" w14:textId="4FB664E3" w:rsidR="00CD65C2" w:rsidRDefault="00FA41FC">
      <w:pPr>
        <w:pStyle w:val="Corpo"/>
        <w:spacing w:after="120"/>
        <w:rPr>
          <w:rFonts w:hint="eastAsia"/>
          <w:color w:val="404040" w:themeColor="text1" w:themeTint="BF"/>
          <w:sz w:val="24"/>
        </w:rPr>
      </w:pPr>
      <w:r>
        <w:rPr>
          <w:color w:val="404040" w:themeColor="text1" w:themeTint="BF"/>
          <w:sz w:val="24"/>
        </w:rPr>
        <w:t xml:space="preserve">Este estudo teve como objetivo comparar os efeitos da metformina ou sua associação com pioglitazona no ciclo menstrual, parâmetros hormonais, resistência à insulina e biomarcadores inflamatórios na SOPC </w:t>
      </w:r>
      <w:r>
        <w:rPr>
          <w:color w:val="404040" w:themeColor="text1" w:themeTint="BF"/>
          <w:sz w:val="24"/>
        </w:rPr>
        <w:fldChar w:fldCharType="begin"/>
      </w:r>
      <w:r>
        <w:rPr>
          <w:color w:val="404040" w:themeColor="text1" w:themeTint="BF"/>
          <w:sz w:val="24"/>
        </w:rPr>
        <w:instrText xml:space="preserve"> ADDIN EN.CITE &lt;EndNote&gt;&lt;Cite&gt;&lt;Author&gt;Ali&lt;/Author&gt;&lt;Year&gt;2019&lt;/Year&gt;&lt;IDText&gt;Treatment with Metformin and Combination of Metformin Plus Pioglitazone on Serum Levels of IL-6 and IL-8 in Polycystic Ovary Syndrome: A Randomized Clinical Trial&lt;/IDText&gt;&lt;DisplayText&gt;(ALI; SHAH; ALI; MALIK&lt;style face="italic"&gt; et al.&lt;/style&gt;, 2019)&lt;/DisplayText&gt;&lt;record&gt;&lt;dates&gt;&lt;pub-dates&gt;&lt;date&gt;Nov&lt;/date&gt;&lt;/pub-dates&gt;&lt;year&gt;2019&lt;/year&gt;&lt;/dates&gt;&lt;isbn&gt;0018-5043&lt;/isbn&gt;&lt;titles&gt;&lt;title&gt;Treatment with Metformin and Combination of Metformin Plus Pioglitazone on Serum Levels of IL-6 and IL-8 in Polycystic Ovary Syndrome: A Randomized Clinical Trial&lt;/title&gt;&lt;secondary-title&gt;Horm Metab Res&lt;/secondary-title&gt;&lt;/titles&gt;&lt;pages&gt;714-722&lt;/pages&gt;&lt;number&gt;11&lt;/number&gt;&lt;contributors&gt;&lt;authors&gt;&lt;author&gt;Ali, D. E.&lt;/author&gt;&lt;author&gt;Shah, M.&lt;/author&gt;&lt;author&gt;Ali, A.&lt;/author&gt;&lt;author&gt;Malik, M. O.&lt;/author&gt;&lt;author&gt;Rehman, F.&lt;/author&gt;&lt;author&gt;Badshah, H.&lt;/author&gt;&lt;author&gt;Ehtesham, E.&lt;/author&gt;&lt;author&gt;Vitale, S. G.&lt;/author&gt;&lt;/authors&gt;&lt;/contributors&gt;&lt;edition&gt;2019/11/05&lt;/edition&gt;&lt;language&gt;eng&lt;/language&gt;&lt;added-date format="utc"&gt;1574081908&lt;/added-date&gt;&lt;ref-type name="Journal Article"&gt;17&lt;/ref-type&gt;&lt;auth-address&gt;Institute of Basic Medical Sciences, Khyber Medical University, Peshawar, Pakistan.&amp;#xD;Department of Pharmacy, Abdul Wali Khan University, Mardan, Pakistan.&amp;#xD;Department of Human Pathology in Adulthood and Childhood &amp;quot;Gaetano Barresi&amp;quot;, University of Messina, Messina, Italy.&lt;/auth-address&gt;&lt;remote-database-provider&gt;NLM&lt;/remote-database-provider&gt;&lt;rec-number&gt;930&lt;/rec-number&gt;&lt;last-updated-date format="utc"&gt;1574081908&lt;/last-updated-date&gt;&lt;accession-num&gt;31683341&lt;/accession-num&gt;&lt;electronic-resource-num&gt;10.1055/a-1018-9606&lt;/electronic-resource-num&gt;&lt;volume&gt;51&lt;/volume&gt;&lt;/record&gt;&lt;/Cite&gt;&lt;/EndNote&gt;</w:instrText>
      </w:r>
      <w:r>
        <w:rPr>
          <w:color w:val="404040" w:themeColor="text1" w:themeTint="BF"/>
          <w:sz w:val="24"/>
        </w:rPr>
        <w:fldChar w:fldCharType="separate"/>
      </w:r>
      <w:r>
        <w:rPr>
          <w:color w:val="404040" w:themeColor="text1" w:themeTint="BF"/>
          <w:sz w:val="24"/>
        </w:rPr>
        <w:t>(ALI; SHAH; ALI; MALIK</w:t>
      </w:r>
      <w:r>
        <w:rPr>
          <w:i/>
          <w:color w:val="404040" w:themeColor="text1" w:themeTint="BF"/>
          <w:sz w:val="24"/>
        </w:rPr>
        <w:t xml:space="preserve"> et al.</w:t>
      </w:r>
      <w:r>
        <w:rPr>
          <w:color w:val="404040" w:themeColor="text1" w:themeTint="BF"/>
          <w:sz w:val="24"/>
        </w:rPr>
        <w:t>, 2019)</w:t>
      </w:r>
      <w:r>
        <w:rPr>
          <w:color w:val="404040" w:themeColor="text1" w:themeTint="BF"/>
          <w:sz w:val="24"/>
        </w:rPr>
        <w:fldChar w:fldCharType="end"/>
      </w:r>
      <w:r>
        <w:rPr>
          <w:color w:val="404040" w:themeColor="text1" w:themeTint="BF"/>
          <w:sz w:val="24"/>
        </w:rPr>
        <w:t>.</w:t>
      </w:r>
    </w:p>
    <w:p w14:paraId="6CB11AA2"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70880" behindDoc="0" locked="0" layoutInCell="1" allowOverlap="1">
                <wp:simplePos x="0" y="0"/>
                <wp:positionH relativeFrom="margin">
                  <wp:posOffset>5080</wp:posOffset>
                </wp:positionH>
                <wp:positionV relativeFrom="paragraph">
                  <wp:posOffset>96520</wp:posOffset>
                </wp:positionV>
                <wp:extent cx="5724525" cy="518160"/>
                <wp:effectExtent l="0" t="0" r="28575" b="15240"/>
                <wp:wrapNone/>
                <wp:docPr id="60" name="Caixa de texto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0070C0"/>
                          </a:solidFill>
                          <a:miter lim="800000"/>
                        </a:ln>
                      </wps:spPr>
                      <wps:txbx>
                        <w:txbxContent>
                          <w:p w14:paraId="4F53B403" w14:textId="77777777" w:rsidR="00FA41FC" w:rsidRDefault="00FA41FC">
                            <w:pPr>
                              <w:jc w:val="center"/>
                              <w:rPr>
                                <w:rFonts w:ascii="Swis721 Th BT" w:hAnsi="Swis721 Th BT"/>
                                <w:sz w:val="23"/>
                                <w:szCs w:val="23"/>
                              </w:rPr>
                            </w:pPr>
                            <w:r>
                              <w:rPr>
                                <w:rFonts w:ascii="Swis721 Th BT" w:hAnsi="Swis721 Th BT"/>
                                <w:sz w:val="23"/>
                                <w:szCs w:val="23"/>
                              </w:rPr>
                              <w:t xml:space="preserve">Para isso, 106 mulheres com SOPC participaram do estudo e receberam durante 12 semanas: </w:t>
                            </w:r>
                          </w:p>
                          <w:p w14:paraId="592DB2BA"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60" o:spid="_x0000_s1096" type="#_x0000_t202" style="position:absolute;left:0;text-align:left;margin-left:.4pt;margin-top:7.6pt;width:450.75pt;height:40.8pt;z-index:2517708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" fillcolor="white [3212]" strokecolor="#0070c0">
                <v:textbox>
                  <w:txbxContent>
                    <w:p w14:paraId="4F53B403" w14:textId="77777777" w:rsidR="00FA41FC" w:rsidRDefault="00FA41FC">
                      <w:pPr>
                        <w:jc w:val="center"/>
                        <w:rPr>
                          <w:rFonts w:ascii="Swis721 Th BT" w:hAnsi="Swis721 Th BT"/>
                          <w:sz w:val="23"/>
                          <w:szCs w:val="23"/>
                        </w:rPr>
                      </w:pPr>
                      <w:r>
                        <w:rPr>
                          <w:rFonts w:ascii="Swis721 Th BT" w:hAnsi="Swis721 Th BT"/>
                          <w:sz w:val="23"/>
                          <w:szCs w:val="23"/>
                        </w:rPr>
                        <w:t xml:space="preserve">Para isso, 106 mulheres com SOPC participaram do estudo e receberam durante 12 semanas: </w:t>
                      </w:r>
                    </w:p>
                    <w:p w14:paraId="592DB2BA"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492E6907" w14:textId="77777777" w:rsidR="00CD65C2" w:rsidRDefault="00CD65C2">
      <w:pPr>
        <w:pStyle w:val="Corpo"/>
        <w:rPr>
          <w:rFonts w:hint="eastAsia"/>
          <w:color w:val="404040" w:themeColor="text1" w:themeTint="BF"/>
        </w:rPr>
      </w:pPr>
    </w:p>
    <w:p w14:paraId="14801B1F" w14:textId="77777777" w:rsidR="00CD65C2" w:rsidRDefault="00CD65C2">
      <w:pPr>
        <w:pStyle w:val="Corpo"/>
        <w:rPr>
          <w:rFonts w:hint="eastAsia"/>
          <w:color w:val="404040" w:themeColor="text1" w:themeTint="BF"/>
        </w:rPr>
      </w:pPr>
    </w:p>
    <w:p w14:paraId="119D251E"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768832"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61" name="Triângulo isósceles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1" o:spid="_x0000_s1026" o:spt="5" type="#_x0000_t5" style="position:absolute;left:0pt;flip:y;margin-left:65.25pt;margin-top:0.85pt;height:10.9pt;width:17.85pt;z-index:251768832;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n+uDbdYA&#10;AAAIAQAADwAAAAAAAAABACAAAAAiAAAAZHJzL2Rvd25yZXYueG1sUEsBAhQAFAAAAAgAh07iQDul&#10;rtVaAgAApQQAAA4AAAAAAAAAAQAgAAAAJQEAAGRycy9lMm9Eb2MueG1sUEsFBgAAAAAGAAYAWQEA&#10;APEFA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767808" behindDoc="0" locked="0" layoutInCell="1" allowOverlap="1">
                <wp:simplePos x="0" y="0"/>
                <wp:positionH relativeFrom="column">
                  <wp:posOffset>4664710</wp:posOffset>
                </wp:positionH>
                <wp:positionV relativeFrom="paragraph">
                  <wp:posOffset>10795</wp:posOffset>
                </wp:positionV>
                <wp:extent cx="226695" cy="138430"/>
                <wp:effectExtent l="0" t="0" r="1905" b="0"/>
                <wp:wrapNone/>
                <wp:docPr id="62" name="Triângulo isósceles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2" o:spid="_x0000_s1026" o:spt="5" type="#_x0000_t5" style="position:absolute;left:0pt;flip:y;margin-left:367.3pt;margin-top:0.85pt;height:10.9pt;width:17.85pt;z-index:251767808;mso-width-relative:page;mso-height-relative:page;" fillcolor="#D9D9D9 [3212]" filled="t" stroked="f" coordsize="21600,21600" o:gfxdata="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KsimVtYA&#10;AAAIAQAADwAAAAAAAAABACAAAAAiAAAAZHJzL2Rvd25yZXYueG1sUEsBAhQAFAAAAAgAh07iQIN8&#10;JYxaAgAApQQAAA4AAAAAAAAAAQAgAAAAJQEAAGRycy9lMm9Eb2MueG1sUEsFBgAAAAAGAAYAWQEA&#10;APEFAAAAAA==&#10;" adj="10800">
                <v:fill on="t" focussize="0,0"/>
                <v:stroke on="f"/>
                <v:imagedata o:title=""/>
                <o:lock v:ext="edit" aspectratio="f"/>
              </v:shape>
            </w:pict>
          </mc:Fallback>
        </mc:AlternateContent>
      </w:r>
    </w:p>
    <w:p w14:paraId="54A5B3DC"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766784" behindDoc="0" locked="0" layoutInCell="1" allowOverlap="1">
                <wp:simplePos x="0" y="0"/>
                <wp:positionH relativeFrom="column">
                  <wp:posOffset>-3810</wp:posOffset>
                </wp:positionH>
                <wp:positionV relativeFrom="paragraph">
                  <wp:posOffset>89535</wp:posOffset>
                </wp:positionV>
                <wp:extent cx="1913890" cy="1000125"/>
                <wp:effectExtent l="0" t="0" r="10160" b="28575"/>
                <wp:wrapNone/>
                <wp:docPr id="63" name="Caixa de texto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000125"/>
                        </a:xfrm>
                        <a:prstGeom prst="rect">
                          <a:avLst/>
                        </a:prstGeom>
                        <a:solidFill>
                          <a:srgbClr val="0070C0"/>
                        </a:solidFill>
                        <a:ln w="9525">
                          <a:solidFill>
                            <a:srgbClr val="0070C0"/>
                          </a:solidFill>
                          <a:miter lim="800000"/>
                        </a:ln>
                      </wps:spPr>
                      <wps:txbx>
                        <w:txbxContent>
                          <w:p w14:paraId="62C15928"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Metformina</w:t>
                            </w:r>
                          </w:p>
                          <w:p w14:paraId="2E864520"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500 mg 2 vezes ao dia</w:t>
                            </w:r>
                            <w:r>
                              <w:rPr>
                                <w:rFonts w:ascii="Swis721 Th BT" w:hAnsi="Swis721 Th BT"/>
                                <w:color w:val="FFFFFF" w:themeColor="background1"/>
                                <w:szCs w:val="23"/>
                              </w:rPr>
                              <w:t xml:space="preserve"> </w:t>
                            </w:r>
                          </w:p>
                          <w:p w14:paraId="70169E2F"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63" o:spid="_x0000_s1097" type="#_x0000_t202" style="position:absolute;left:0;text-align:left;margin-left:-.3pt;margin-top:7.05pt;width:150.7pt;height:78.75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" fillcolor="#0070c0" strokecolor="#0070c0">
                <v:textbox>
                  <w:txbxContent>
                    <w:p w14:paraId="62C15928"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Metformina</w:t>
                      </w:r>
                    </w:p>
                    <w:p w14:paraId="2E864520"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500 mg 2 vezes ao dia</w:t>
                      </w:r>
                      <w:r>
                        <w:rPr>
                          <w:rFonts w:ascii="Swis721 Th BT" w:hAnsi="Swis721 Th BT"/>
                          <w:color w:val="FFFFFF" w:themeColor="background1"/>
                          <w:szCs w:val="23"/>
                        </w:rPr>
                        <w:t xml:space="preserve"> </w:t>
                      </w:r>
                    </w:p>
                    <w:p w14:paraId="70169E2F"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769856" behindDoc="0" locked="0" layoutInCell="1" allowOverlap="1">
                <wp:simplePos x="0" y="0"/>
                <wp:positionH relativeFrom="column">
                  <wp:posOffset>3834765</wp:posOffset>
                </wp:positionH>
                <wp:positionV relativeFrom="paragraph">
                  <wp:posOffset>89535</wp:posOffset>
                </wp:positionV>
                <wp:extent cx="1905000" cy="1000125"/>
                <wp:effectExtent l="0" t="0" r="19050" b="28575"/>
                <wp:wrapNone/>
                <wp:docPr id="209" name="Caixa de texto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000125"/>
                        </a:xfrm>
                        <a:prstGeom prst="rect">
                          <a:avLst/>
                        </a:prstGeom>
                        <a:solidFill>
                          <a:srgbClr val="0070C0"/>
                        </a:solidFill>
                        <a:ln w="9525">
                          <a:solidFill>
                            <a:srgbClr val="0070C0"/>
                          </a:solidFill>
                          <a:miter lim="800000"/>
                        </a:ln>
                      </wps:spPr>
                      <wps:txbx>
                        <w:txbxContent>
                          <w:p w14:paraId="10B101F9"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71A56713"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Metformina </w:t>
                            </w:r>
                          </w:p>
                          <w:p w14:paraId="71704364"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7AD642BE"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Pioglitazona</w:t>
                            </w:r>
                          </w:p>
                          <w:p w14:paraId="08CB7720"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15 mg 2 vezes ao dia</w:t>
                            </w:r>
                          </w:p>
                          <w:p w14:paraId="00A5C319" w14:textId="77777777" w:rsidR="00FA41FC" w:rsidRDefault="00FA41FC">
                            <w:pPr>
                              <w:spacing w:after="0" w:line="240" w:lineRule="auto"/>
                              <w:jc w:val="center"/>
                              <w:rPr>
                                <w:rFonts w:ascii="Swis721 Th BT" w:hAnsi="Swis721 Th BT"/>
                                <w:b/>
                                <w:color w:val="FFFFFF" w:themeColor="background1"/>
                                <w:sz w:val="12"/>
                                <w:szCs w:val="12"/>
                              </w:rPr>
                            </w:pPr>
                          </w:p>
                          <w:p w14:paraId="723A3998" w14:textId="77777777" w:rsidR="00FA41FC" w:rsidRDefault="00FA41FC">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209" o:spid="_x0000_s1098" type="#_x0000_t202" style="position:absolute;left:0;text-align:left;margin-left:301.95pt;margin-top:7.05pt;width:150pt;height:78.75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" fillcolor="#0070c0" strokecolor="#0070c0">
                <v:textbox>
                  <w:txbxContent>
                    <w:p w14:paraId="10B101F9"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71A56713"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Metformina </w:t>
                      </w:r>
                    </w:p>
                    <w:p w14:paraId="71704364"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7AD642BE"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Pioglitazona</w:t>
                      </w:r>
                    </w:p>
                    <w:p w14:paraId="08CB7720"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15 mg 2 vezes ao dia</w:t>
                      </w:r>
                    </w:p>
                    <w:p w14:paraId="00A5C319" w14:textId="77777777" w:rsidR="00FA41FC" w:rsidRDefault="00FA41FC">
                      <w:pPr>
                        <w:spacing w:after="0" w:line="240" w:lineRule="auto"/>
                        <w:jc w:val="center"/>
                        <w:rPr>
                          <w:rFonts w:ascii="Swis721 Th BT" w:hAnsi="Swis721 Th BT"/>
                          <w:b/>
                          <w:color w:val="FFFFFF" w:themeColor="background1"/>
                          <w:sz w:val="12"/>
                          <w:szCs w:val="12"/>
                        </w:rPr>
                      </w:pPr>
                    </w:p>
                    <w:p w14:paraId="723A3998" w14:textId="77777777" w:rsidR="00FA41FC" w:rsidRDefault="00FA41FC">
                      <w:pPr>
                        <w:spacing w:after="0" w:line="240" w:lineRule="auto"/>
                        <w:jc w:val="center"/>
                      </w:pPr>
                    </w:p>
                  </w:txbxContent>
                </v:textbox>
              </v:shape>
            </w:pict>
          </mc:Fallback>
        </mc:AlternateContent>
      </w:r>
    </w:p>
    <w:p w14:paraId="3EC0802B" w14:textId="77777777" w:rsidR="00CD65C2" w:rsidRDefault="00CD65C2">
      <w:pPr>
        <w:pStyle w:val="Corpo"/>
        <w:rPr>
          <w:rFonts w:hint="eastAsia"/>
          <w:color w:val="404040" w:themeColor="text1" w:themeTint="BF"/>
        </w:rPr>
      </w:pPr>
    </w:p>
    <w:p w14:paraId="7A01D20D" w14:textId="77777777" w:rsidR="00CD65C2" w:rsidRDefault="00CD65C2">
      <w:pPr>
        <w:pStyle w:val="Corpo"/>
        <w:rPr>
          <w:rFonts w:hint="eastAsia"/>
          <w:color w:val="404040" w:themeColor="text1" w:themeTint="BF"/>
        </w:rPr>
      </w:pPr>
    </w:p>
    <w:p w14:paraId="32E43429" w14:textId="77777777" w:rsidR="00CD65C2" w:rsidRDefault="00CD65C2">
      <w:pPr>
        <w:pStyle w:val="Corpo"/>
        <w:rPr>
          <w:rFonts w:hint="eastAsia"/>
          <w:color w:val="404040" w:themeColor="text1" w:themeTint="BF"/>
        </w:rPr>
      </w:pPr>
    </w:p>
    <w:p w14:paraId="77B1D10C" w14:textId="77777777" w:rsidR="00CD65C2" w:rsidRDefault="00CD65C2">
      <w:pPr>
        <w:pStyle w:val="Corpo"/>
        <w:spacing w:before="120"/>
        <w:rPr>
          <w:rFonts w:hint="eastAsia"/>
          <w:color w:val="404040" w:themeColor="text1" w:themeTint="BF"/>
          <w:sz w:val="20"/>
        </w:rPr>
      </w:pPr>
    </w:p>
    <w:p w14:paraId="7BADB67C" w14:textId="77777777" w:rsidR="00CD65C2" w:rsidRDefault="00CD65C2">
      <w:pPr>
        <w:pStyle w:val="Corpo"/>
        <w:rPr>
          <w:rFonts w:hint="eastAsia"/>
          <w:color w:val="404040" w:themeColor="text1" w:themeTint="BF"/>
          <w:sz w:val="20"/>
        </w:rPr>
      </w:pPr>
    </w:p>
    <w:p w14:paraId="523EC070"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4C69593C"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009136C1" w14:textId="77777777" w:rsidR="00CD65C2" w:rsidRDefault="00CD65C2">
      <w:pPr>
        <w:pStyle w:val="Corpo"/>
        <w:rPr>
          <w:rFonts w:hint="eastAsia"/>
          <w:b/>
          <w:color w:val="404040" w:themeColor="text1" w:themeTint="BF"/>
          <w:szCs w:val="23"/>
        </w:rPr>
      </w:pPr>
    </w:p>
    <w:p w14:paraId="5DEE496D" w14:textId="77777777" w:rsidR="00CD65C2" w:rsidRDefault="00FA41FC">
      <w:pPr>
        <w:pStyle w:val="Corpo"/>
        <w:numPr>
          <w:ilvl w:val="0"/>
          <w:numId w:val="29"/>
        </w:numPr>
        <w:rPr>
          <w:rFonts w:hint="eastAsia"/>
          <w:color w:val="404040" w:themeColor="text1" w:themeTint="BF"/>
          <w:szCs w:val="23"/>
        </w:rPr>
      </w:pPr>
      <w:r>
        <w:rPr>
          <w:color w:val="404040" w:themeColor="text1" w:themeTint="BF"/>
          <w:szCs w:val="23"/>
        </w:rPr>
        <w:t>No início do estudo, as mulheres tinham concentrações elevadas de IL-6 e IL-8 circulantes;</w:t>
      </w:r>
    </w:p>
    <w:p w14:paraId="1983C719" w14:textId="234946AD" w:rsidR="00CD65C2" w:rsidRDefault="00FA41FC">
      <w:pPr>
        <w:pStyle w:val="Corpo"/>
        <w:numPr>
          <w:ilvl w:val="0"/>
          <w:numId w:val="29"/>
        </w:numPr>
        <w:rPr>
          <w:rFonts w:hint="eastAsia"/>
          <w:color w:val="404040" w:themeColor="text1" w:themeTint="BF"/>
          <w:szCs w:val="23"/>
        </w:rPr>
      </w:pPr>
      <w:r>
        <w:rPr>
          <w:color w:val="404040" w:themeColor="text1" w:themeTint="BF"/>
          <w:szCs w:val="23"/>
        </w:rPr>
        <w:t>Ambos os grupos demonstraram redução de IL-6, porém este resultado foi significativo apenas no grupo 2;</w:t>
      </w:r>
    </w:p>
    <w:p w14:paraId="6F79C99E" w14:textId="77777777" w:rsidR="00CD65C2" w:rsidRDefault="00FA41FC">
      <w:pPr>
        <w:pStyle w:val="Corpo"/>
        <w:numPr>
          <w:ilvl w:val="0"/>
          <w:numId w:val="29"/>
        </w:numPr>
        <w:rPr>
          <w:rFonts w:hint="eastAsia"/>
          <w:color w:val="404040" w:themeColor="text1" w:themeTint="BF"/>
          <w:szCs w:val="23"/>
        </w:rPr>
      </w:pPr>
      <w:r>
        <w:rPr>
          <w:color w:val="404040" w:themeColor="text1" w:themeTint="BF"/>
          <w:szCs w:val="23"/>
        </w:rPr>
        <w:t>Os níveis de IL-8 sérica também diminuíram significativamente após o tratamento em ambos os grupos;</w:t>
      </w:r>
    </w:p>
    <w:p w14:paraId="2E38B3CD" w14:textId="77777777" w:rsidR="00CD65C2" w:rsidRDefault="00FA41FC">
      <w:pPr>
        <w:pStyle w:val="Corpo"/>
        <w:numPr>
          <w:ilvl w:val="0"/>
          <w:numId w:val="29"/>
        </w:numPr>
        <w:rPr>
          <w:rFonts w:hint="eastAsia"/>
          <w:color w:val="404040" w:themeColor="text1" w:themeTint="BF"/>
          <w:szCs w:val="23"/>
        </w:rPr>
      </w:pPr>
      <w:r>
        <w:rPr>
          <w:color w:val="404040" w:themeColor="text1" w:themeTint="BF"/>
          <w:szCs w:val="23"/>
        </w:rPr>
        <w:t>Os níveis de HOMA-IR e de insulina também reduziram em ambos os grupos;</w:t>
      </w:r>
    </w:p>
    <w:p w14:paraId="50568D9F" w14:textId="77777777" w:rsidR="00CD65C2" w:rsidRDefault="00FA41FC">
      <w:pPr>
        <w:pStyle w:val="Corpo"/>
        <w:numPr>
          <w:ilvl w:val="0"/>
          <w:numId w:val="29"/>
        </w:numPr>
        <w:rPr>
          <w:rFonts w:hint="eastAsia"/>
          <w:color w:val="404040" w:themeColor="text1" w:themeTint="BF"/>
          <w:szCs w:val="23"/>
        </w:rPr>
      </w:pPr>
      <w:r>
        <w:rPr>
          <w:color w:val="404040" w:themeColor="text1" w:themeTint="BF"/>
          <w:szCs w:val="23"/>
        </w:rPr>
        <w:t>Houve diminuição significativa de testosterona, FSH e prolactina nos grupos 1 e 2;</w:t>
      </w:r>
    </w:p>
    <w:p w14:paraId="2383F7E9" w14:textId="77777777" w:rsidR="00CD65C2" w:rsidRDefault="00FA41FC">
      <w:pPr>
        <w:pStyle w:val="Corpo"/>
        <w:numPr>
          <w:ilvl w:val="0"/>
          <w:numId w:val="29"/>
        </w:numPr>
        <w:rPr>
          <w:rFonts w:hint="eastAsia"/>
          <w:color w:val="404040" w:themeColor="text1" w:themeTint="BF"/>
          <w:szCs w:val="23"/>
        </w:rPr>
      </w:pPr>
      <w:r>
        <w:rPr>
          <w:color w:val="404040" w:themeColor="text1" w:themeTint="BF"/>
          <w:szCs w:val="23"/>
        </w:rPr>
        <w:t>O LH reduziu em ambos os grupos, porém a alteração foi significativa apenas no grupo 2.</w:t>
      </w:r>
    </w:p>
    <w:p w14:paraId="18CA75BF"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2A13DA88"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56B36B72"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 xml:space="preserve">Conclusão: </w:t>
      </w:r>
    </w:p>
    <w:p w14:paraId="3C2DDEAA"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46C3E8F6" w14:textId="5B836C8A" w:rsidR="00CD65C2" w:rsidRDefault="00FA41FC">
      <w:pPr>
        <w:pStyle w:val="Corpo"/>
        <w:jc w:val="center"/>
        <w:rPr>
          <w:rFonts w:hint="eastAsia"/>
          <w:b/>
          <w:i/>
          <w:color w:val="404040" w:themeColor="text1" w:themeTint="BF"/>
        </w:rPr>
      </w:pPr>
      <w:r>
        <w:rPr>
          <w:b/>
          <w:i/>
          <w:color w:val="404040" w:themeColor="text1" w:themeTint="BF"/>
        </w:rPr>
        <w:t>A combinação de metformina e pioglitazona foi mais eficaz que a metformina em monoterapia na redução dos níveis de IL-6 e IL-8, bem como na resistência à insulina, em pacientes com SOPC.</w:t>
      </w:r>
    </w:p>
    <w:p w14:paraId="64CD10F6" w14:textId="77777777" w:rsidR="00CD65C2" w:rsidRDefault="00CD65C2">
      <w:pPr>
        <w:pStyle w:val="Corpo"/>
        <w:jc w:val="center"/>
        <w:rPr>
          <w:rFonts w:hint="eastAsia"/>
          <w:b/>
          <w:bCs/>
          <w:i/>
          <w:color w:val="404040" w:themeColor="text1" w:themeTint="BF"/>
        </w:rPr>
      </w:pPr>
    </w:p>
    <w:p w14:paraId="2A10A747" w14:textId="77777777" w:rsidR="00CD65C2" w:rsidRDefault="00CD65C2">
      <w:pPr>
        <w:pStyle w:val="Corpo"/>
        <w:jc w:val="center"/>
        <w:rPr>
          <w:rFonts w:hint="eastAsia"/>
          <w:b/>
          <w:bCs/>
          <w:i/>
          <w:color w:val="404040" w:themeColor="text1" w:themeTint="BF"/>
        </w:rPr>
      </w:pPr>
    </w:p>
    <w:p w14:paraId="5BEE1693" w14:textId="77777777" w:rsidR="00CD65C2" w:rsidRDefault="00FA41FC">
      <w:pPr>
        <w:pStyle w:val="Ttulo1"/>
        <w:jc w:val="center"/>
        <w:rPr>
          <w:rFonts w:hint="eastAsia"/>
        </w:rPr>
      </w:pPr>
      <w:bookmarkStart w:id="56" w:name="_Toc165537208"/>
      <w:r>
        <w:t>Formulário</w:t>
      </w:r>
      <w:bookmarkEnd w:id="56"/>
    </w:p>
    <w:p w14:paraId="57E4DFB1" w14:textId="77777777" w:rsidR="00CD65C2" w:rsidRDefault="00CD65C2">
      <w:pPr>
        <w:pStyle w:val="Corpo"/>
        <w:rPr>
          <w:rFonts w:hint="eastAsia"/>
          <w:b/>
          <w:i/>
          <w:color w:val="404040" w:themeColor="text1" w:themeTint="BF"/>
        </w:rPr>
      </w:pPr>
    </w:p>
    <w:p w14:paraId="02665E6C" w14:textId="77777777" w:rsidR="00CD65C2" w:rsidRDefault="00CD65C2">
      <w:pPr>
        <w:pStyle w:val="Corpo"/>
        <w:rPr>
          <w:rFonts w:hint="eastAsia"/>
          <w:b/>
          <w:i/>
          <w:color w:val="404040" w:themeColor="text1" w:themeTint="BF"/>
        </w:rPr>
      </w:pPr>
    </w:p>
    <w:p w14:paraId="2C4115E6" w14:textId="77777777" w:rsidR="00CD65C2" w:rsidRDefault="00FA41FC">
      <w:pPr>
        <w:pStyle w:val="Corpo"/>
        <w:rPr>
          <w:rFonts w:hint="eastAsia"/>
          <w:b/>
          <w:i/>
          <w:color w:val="404040" w:themeColor="text1" w:themeTint="BF"/>
          <w:sz w:val="24"/>
        </w:rPr>
      </w:pPr>
      <w:r>
        <w:rPr>
          <w:b/>
          <w:i/>
          <w:color w:val="404040" w:themeColor="text1" w:themeTint="BF"/>
          <w:sz w:val="24"/>
        </w:rPr>
        <w:t>Redução dos Níveis de IL-6 e IL-8 e da Resistência à Insulina na SOPC</w:t>
      </w:r>
    </w:p>
    <w:p w14:paraId="57F1E907"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002C3325"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7685A587" w14:textId="77777777" w:rsidR="00CD65C2" w:rsidRDefault="00FA41FC">
            <w:pPr>
              <w:pStyle w:val="Corpo"/>
              <w:jc w:val="center"/>
              <w:rPr>
                <w:rFonts w:hint="eastAsia"/>
                <w:b/>
                <w:color w:val="FFFFFF" w:themeColor="background1"/>
              </w:rPr>
            </w:pPr>
            <w:r>
              <w:rPr>
                <w:b/>
                <w:color w:val="FFFFFF" w:themeColor="background1"/>
                <w:sz w:val="22"/>
              </w:rPr>
              <w:t xml:space="preserve">Associação </w:t>
            </w:r>
          </w:p>
        </w:tc>
      </w:tr>
      <w:tr w:rsidR="00CD65C2" w14:paraId="747FBB26"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AB2B2BC" w14:textId="77777777" w:rsidR="00CD65C2" w:rsidRDefault="00FA41FC">
            <w:pPr>
              <w:pStyle w:val="Corpo"/>
              <w:rPr>
                <w:rFonts w:hint="eastAsia"/>
                <w:color w:val="404040" w:themeColor="text1" w:themeTint="BF"/>
              </w:rPr>
            </w:pPr>
            <w:r>
              <w:rPr>
                <w:color w:val="404040" w:themeColor="text1" w:themeTint="BF"/>
              </w:rPr>
              <w:t>Metformina......................................500 mg</w:t>
            </w:r>
          </w:p>
        </w:tc>
      </w:tr>
      <w:tr w:rsidR="00CD65C2" w14:paraId="00D36488"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33B9BC3" w14:textId="77777777" w:rsidR="00CD65C2" w:rsidRDefault="00FA41FC">
            <w:pPr>
              <w:pStyle w:val="Corpo"/>
              <w:rPr>
                <w:rFonts w:hint="eastAsia"/>
                <w:color w:val="404040" w:themeColor="text1" w:themeTint="BF"/>
              </w:rPr>
            </w:pPr>
            <w:r>
              <w:rPr>
                <w:color w:val="404040" w:themeColor="text1" w:themeTint="BF"/>
              </w:rPr>
              <w:t>Pioglitazona......................................15 mg</w:t>
            </w:r>
          </w:p>
        </w:tc>
      </w:tr>
      <w:tr w:rsidR="00CD65C2" w14:paraId="302F6C57"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8C45CF8" w14:textId="5BE7DDBF" w:rsidR="00CD65C2" w:rsidRDefault="00FA41FC">
            <w:pPr>
              <w:pStyle w:val="Corpo"/>
              <w:rPr>
                <w:rFonts w:hint="eastAsia"/>
                <w:color w:val="404040" w:themeColor="text1" w:themeTint="BF"/>
              </w:rPr>
            </w:pPr>
            <w:r>
              <w:rPr>
                <w:color w:val="404040" w:themeColor="text1" w:themeTint="BF"/>
              </w:rPr>
              <w:t>Excipiente q.s.p. ........................1 Cápsula</w:t>
            </w:r>
          </w:p>
        </w:tc>
      </w:tr>
    </w:tbl>
    <w:p w14:paraId="265C072B" w14:textId="6932CCA3" w:rsidR="00CD65C2" w:rsidRDefault="00FA41FC">
      <w:pPr>
        <w:pStyle w:val="Corpo"/>
        <w:ind w:right="4818"/>
        <w:jc w:val="center"/>
        <w:rPr>
          <w:rFonts w:hint="eastAsia"/>
          <w:color w:val="404040" w:themeColor="text1" w:themeTint="BF"/>
          <w:sz w:val="22"/>
          <w:szCs w:val="22"/>
        </w:rPr>
      </w:pPr>
      <w:r>
        <w:rPr>
          <w:color w:val="404040" w:themeColor="text1" w:themeTint="BF"/>
          <w:sz w:val="22"/>
          <w:szCs w:val="22"/>
        </w:rPr>
        <w:t>Administrar 1 cápsula duas vezes ao dia ou conforme orientação médica.</w:t>
      </w:r>
    </w:p>
    <w:p w14:paraId="338BD3FD" w14:textId="77777777" w:rsidR="00CD65C2" w:rsidRDefault="00CD65C2">
      <w:pPr>
        <w:pStyle w:val="SemEspaamento"/>
      </w:pPr>
    </w:p>
    <w:p w14:paraId="165062CF" w14:textId="77777777" w:rsidR="00CD65C2" w:rsidRDefault="00CD65C2">
      <w:pPr>
        <w:pStyle w:val="SemEspaamento"/>
      </w:pPr>
    </w:p>
    <w:p w14:paraId="24EB6722" w14:textId="77777777" w:rsidR="00CD65C2" w:rsidRDefault="00CD65C2">
      <w:pPr>
        <w:pStyle w:val="SemEspaamento"/>
      </w:pPr>
    </w:p>
    <w:p w14:paraId="75E04536" w14:textId="77777777" w:rsidR="00CD65C2" w:rsidRDefault="00CD65C2">
      <w:pPr>
        <w:pStyle w:val="SemEspaamento"/>
      </w:pPr>
    </w:p>
    <w:p w14:paraId="37CC1BDC" w14:textId="77777777" w:rsidR="00CD65C2" w:rsidRDefault="00CD65C2">
      <w:pPr>
        <w:pStyle w:val="SemEspaamento"/>
      </w:pPr>
    </w:p>
    <w:p w14:paraId="2C55887C" w14:textId="77777777" w:rsidR="00CD65C2" w:rsidRDefault="00CD65C2">
      <w:pPr>
        <w:pStyle w:val="SemEspaamento"/>
      </w:pPr>
    </w:p>
    <w:p w14:paraId="6861D469" w14:textId="77777777" w:rsidR="00CD65C2" w:rsidRDefault="00CD65C2">
      <w:pPr>
        <w:pStyle w:val="SemEspaamento"/>
      </w:pPr>
    </w:p>
    <w:p w14:paraId="0C1EB868" w14:textId="77777777" w:rsidR="00CD65C2" w:rsidRDefault="00CD65C2">
      <w:pPr>
        <w:pStyle w:val="SemEspaamento"/>
      </w:pPr>
    </w:p>
    <w:p w14:paraId="119535B7" w14:textId="77777777" w:rsidR="00CD65C2" w:rsidRDefault="00CD65C2">
      <w:pPr>
        <w:pStyle w:val="SemEspaamento"/>
      </w:pPr>
    </w:p>
    <w:p w14:paraId="243A6F58" w14:textId="77777777" w:rsidR="00CD65C2" w:rsidRDefault="00CD65C2">
      <w:pPr>
        <w:pStyle w:val="SemEspaamento"/>
      </w:pPr>
    </w:p>
    <w:p w14:paraId="70CE4FD8" w14:textId="77777777" w:rsidR="00CD65C2" w:rsidRDefault="00CD65C2">
      <w:pPr>
        <w:pStyle w:val="SemEspaamento"/>
      </w:pPr>
    </w:p>
    <w:p w14:paraId="35D9F93F" w14:textId="77777777" w:rsidR="00CD65C2" w:rsidRDefault="00CD65C2">
      <w:pPr>
        <w:pStyle w:val="SemEspaamento"/>
      </w:pPr>
    </w:p>
    <w:p w14:paraId="063BAF65" w14:textId="77777777" w:rsidR="00CD65C2" w:rsidRDefault="00CD65C2">
      <w:pPr>
        <w:pStyle w:val="SemEspaamento"/>
      </w:pPr>
    </w:p>
    <w:p w14:paraId="3AC47070" w14:textId="77777777" w:rsidR="00CD65C2" w:rsidRDefault="00CD65C2">
      <w:pPr>
        <w:pStyle w:val="SemEspaamento"/>
      </w:pPr>
    </w:p>
    <w:p w14:paraId="1D1A3BC0" w14:textId="77777777" w:rsidR="00CD65C2" w:rsidRDefault="00CD65C2">
      <w:pPr>
        <w:pStyle w:val="SemEspaamento"/>
      </w:pPr>
    </w:p>
    <w:p w14:paraId="1272FE08" w14:textId="77777777" w:rsidR="00CD65C2" w:rsidRDefault="00CD65C2">
      <w:pPr>
        <w:pStyle w:val="SemEspaamento"/>
      </w:pPr>
    </w:p>
    <w:p w14:paraId="6088451B" w14:textId="77777777" w:rsidR="00CD65C2" w:rsidRDefault="00CD65C2">
      <w:pPr>
        <w:pStyle w:val="SemEspaamento"/>
      </w:pPr>
    </w:p>
    <w:p w14:paraId="66D01298" w14:textId="77777777" w:rsidR="00CD65C2" w:rsidRDefault="00CD65C2">
      <w:pPr>
        <w:pStyle w:val="SemEspaamento"/>
      </w:pPr>
    </w:p>
    <w:p w14:paraId="57663FBD" w14:textId="77777777" w:rsidR="00CD65C2" w:rsidRDefault="00CD65C2">
      <w:pPr>
        <w:pStyle w:val="SemEspaamento"/>
      </w:pPr>
    </w:p>
    <w:p w14:paraId="08A80C6E" w14:textId="77777777" w:rsidR="00CD65C2" w:rsidRDefault="00CD65C2">
      <w:pPr>
        <w:pStyle w:val="SemEspaamento"/>
      </w:pPr>
    </w:p>
    <w:p w14:paraId="31F1987A" w14:textId="77777777" w:rsidR="00CD65C2" w:rsidRDefault="00CD65C2">
      <w:pPr>
        <w:pStyle w:val="SemEspaamento"/>
      </w:pPr>
    </w:p>
    <w:p w14:paraId="1C7342DC" w14:textId="77777777" w:rsidR="00CD65C2" w:rsidRDefault="00CD65C2">
      <w:pPr>
        <w:pStyle w:val="SemEspaamento"/>
      </w:pPr>
    </w:p>
    <w:p w14:paraId="0CD8B0CA" w14:textId="77777777" w:rsidR="00CD65C2" w:rsidRDefault="00CD65C2">
      <w:pPr>
        <w:pStyle w:val="SemEspaamento"/>
      </w:pPr>
    </w:p>
    <w:p w14:paraId="7002F811" w14:textId="77777777" w:rsidR="00CD65C2" w:rsidRDefault="00CD65C2">
      <w:pPr>
        <w:pStyle w:val="SemEspaamento"/>
      </w:pPr>
    </w:p>
    <w:p w14:paraId="3CF39757" w14:textId="77777777" w:rsidR="00CD65C2" w:rsidRDefault="00CD65C2">
      <w:pPr>
        <w:pStyle w:val="SemEspaamento"/>
      </w:pPr>
    </w:p>
    <w:p w14:paraId="6801C57C" w14:textId="77777777" w:rsidR="00CD65C2" w:rsidRDefault="00CD65C2">
      <w:pPr>
        <w:pStyle w:val="SemEspaamento"/>
      </w:pPr>
    </w:p>
    <w:p w14:paraId="270220EE" w14:textId="77777777" w:rsidR="00CD65C2" w:rsidRDefault="00CD65C2">
      <w:pPr>
        <w:pStyle w:val="SemEspaamento"/>
      </w:pPr>
    </w:p>
    <w:p w14:paraId="17B6201B" w14:textId="77777777" w:rsidR="00CD65C2" w:rsidRDefault="00CD65C2">
      <w:pPr>
        <w:pStyle w:val="SemEspaamento"/>
      </w:pPr>
    </w:p>
    <w:p w14:paraId="40FA76E3" w14:textId="77777777" w:rsidR="00CD65C2" w:rsidRDefault="00CD65C2">
      <w:pPr>
        <w:pStyle w:val="SemEspaamento"/>
      </w:pPr>
    </w:p>
    <w:p w14:paraId="63AFBC74" w14:textId="77777777" w:rsidR="00CD65C2" w:rsidRDefault="00CD65C2">
      <w:pPr>
        <w:pStyle w:val="SemEspaamento"/>
      </w:pPr>
    </w:p>
    <w:p w14:paraId="67DD8DBF" w14:textId="77777777" w:rsidR="00CD65C2" w:rsidRDefault="00FA41FC">
      <w:pPr>
        <w:pStyle w:val="Ttulo1"/>
        <w:jc w:val="center"/>
        <w:rPr>
          <w:rFonts w:hint="eastAsia"/>
        </w:rPr>
      </w:pPr>
      <w:bookmarkStart w:id="57" w:name="_Toc165537209"/>
      <w:r>
        <w:rPr>
          <w:bCs/>
          <w:iCs/>
        </w:rPr>
        <w:t>Sertralina</w:t>
      </w:r>
      <w:bookmarkEnd w:id="57"/>
    </w:p>
    <w:p w14:paraId="3993CFE6" w14:textId="77777777" w:rsidR="00CD65C2" w:rsidRPr="00D1428E" w:rsidRDefault="00FA41FC">
      <w:pPr>
        <w:pStyle w:val="Corpo"/>
        <w:jc w:val="center"/>
        <w:rPr>
          <w:rFonts w:hint="eastAsia"/>
          <w:b/>
          <w:color w:val="0070C0"/>
          <w:sz w:val="40"/>
        </w:rPr>
      </w:pPr>
      <w:r w:rsidRPr="00D1428E">
        <w:rPr>
          <w:b/>
          <w:color w:val="0070C0"/>
          <w:sz w:val="40"/>
        </w:rPr>
        <w:t>Diminui a Severidade da Depressão em Mulheres com SOPC</w:t>
      </w:r>
    </w:p>
    <w:p w14:paraId="769B7987" w14:textId="77777777" w:rsidR="00CD65C2" w:rsidRDefault="00CD65C2">
      <w:pPr>
        <w:pStyle w:val="Corpo"/>
        <w:rPr>
          <w:rFonts w:hint="eastAsia"/>
          <w:color w:val="404040" w:themeColor="text1" w:themeTint="BF"/>
          <w:sz w:val="24"/>
        </w:rPr>
      </w:pPr>
    </w:p>
    <w:p w14:paraId="45921B1E" w14:textId="77777777" w:rsidR="00CD65C2" w:rsidRDefault="00CD65C2">
      <w:pPr>
        <w:pStyle w:val="Corpo"/>
        <w:spacing w:after="120"/>
        <w:rPr>
          <w:rFonts w:hint="eastAsia"/>
          <w:color w:val="404040" w:themeColor="text1" w:themeTint="BF"/>
          <w:sz w:val="24"/>
        </w:rPr>
      </w:pPr>
    </w:p>
    <w:p w14:paraId="1127171B" w14:textId="53955D37" w:rsidR="00CD65C2" w:rsidRDefault="00FA41FC">
      <w:pPr>
        <w:pStyle w:val="Corpo"/>
        <w:spacing w:line="276" w:lineRule="auto"/>
        <w:rPr>
          <w:rFonts w:cstheme="minorHAnsi" w:hint="eastAsia"/>
          <w:color w:val="404040" w:themeColor="text1" w:themeTint="BF"/>
          <w:sz w:val="24"/>
        </w:rPr>
      </w:pPr>
      <w:r>
        <w:rPr>
          <w:rFonts w:cstheme="minorHAnsi"/>
          <w:color w:val="404040" w:themeColor="text1" w:themeTint="BF"/>
          <w:sz w:val="24"/>
        </w:rPr>
        <w:t xml:space="preserve">Este estudo conduzido por Masoudi </w:t>
      </w:r>
      <w:r>
        <w:rPr>
          <w:rFonts w:cstheme="minorHAnsi"/>
          <w:i/>
          <w:color w:val="404040" w:themeColor="text1" w:themeTint="BF"/>
          <w:sz w:val="24"/>
        </w:rPr>
        <w:t>et al.</w:t>
      </w:r>
      <w:r>
        <w:rPr>
          <w:rFonts w:cstheme="minorHAnsi"/>
          <w:color w:val="404040" w:themeColor="text1" w:themeTint="BF"/>
          <w:sz w:val="24"/>
        </w:rPr>
        <w:t xml:space="preserve"> (2021) teve como objetivo avaliar os efeitos da sertralina na severidade da depressão e nos níveis de prolactina em mulheres com SOPC e com depressão leve a moderada.</w:t>
      </w:r>
    </w:p>
    <w:p w14:paraId="23AE2C0B"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76000" behindDoc="0" locked="0" layoutInCell="1" allowOverlap="1">
                <wp:simplePos x="0" y="0"/>
                <wp:positionH relativeFrom="margin">
                  <wp:posOffset>5715</wp:posOffset>
                </wp:positionH>
                <wp:positionV relativeFrom="paragraph">
                  <wp:posOffset>97155</wp:posOffset>
                </wp:positionV>
                <wp:extent cx="5724525" cy="1038225"/>
                <wp:effectExtent l="0" t="0" r="28575" b="28575"/>
                <wp:wrapNone/>
                <wp:docPr id="210" name="Caixa de texto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038225"/>
                        </a:xfrm>
                        <a:prstGeom prst="rect">
                          <a:avLst/>
                        </a:prstGeom>
                        <a:solidFill>
                          <a:schemeClr val="bg1">
                            <a:lumMod val="100000"/>
                            <a:lumOff val="0"/>
                          </a:schemeClr>
                        </a:solidFill>
                        <a:ln w="9525">
                          <a:solidFill>
                            <a:srgbClr val="0070C0"/>
                          </a:solidFill>
                          <a:miter lim="800000"/>
                        </a:ln>
                      </wps:spPr>
                      <wps:txbx>
                        <w:txbxContent>
                          <w:p w14:paraId="30EE073C" w14:textId="1AFA7185" w:rsidR="00FA41FC" w:rsidRDefault="00FA41FC">
                            <w:pPr>
                              <w:jc w:val="center"/>
                              <w:rPr>
                                <w:rFonts w:ascii="Swis721 Th BT" w:hAnsi="Swis721 Th BT"/>
                                <w:sz w:val="23"/>
                                <w:szCs w:val="23"/>
                              </w:rPr>
                            </w:pPr>
                            <w:r>
                              <w:rPr>
                                <w:rFonts w:ascii="Swis721 Th BT" w:hAnsi="Swis721 Th BT"/>
                                <w:sz w:val="23"/>
                                <w:szCs w:val="23"/>
                              </w:rPr>
                              <w:t>Para isso, 74 mulheres foram selecionadas para participarem deste estudo clínico, paralelo, dois-centros, randomizado e controlado por placebo. Elas foram classificadas de acordo com os níveis de prolactina na linha de base em normal (&lt;25 ng/ml) e alta (≥25 ng/ml). Então, foram divididas em dois grupos para receberem por seis semanas a seguinte posologia:</w:t>
                            </w:r>
                          </w:p>
                          <w:p w14:paraId="3698457D"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210" o:spid="_x0000_s1099" type="#_x0000_t202" style="position:absolute;left:0;text-align:left;margin-left:.45pt;margin-top:7.65pt;width:450.75pt;height:81.75pt;z-index:2517760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" fillcolor="white [3212]" strokecolor="#0070c0">
                <v:textbox>
                  <w:txbxContent>
                    <w:p w14:paraId="30EE073C" w14:textId="1AFA7185" w:rsidR="00FA41FC" w:rsidRDefault="00FA41FC">
                      <w:pPr>
                        <w:jc w:val="center"/>
                        <w:rPr>
                          <w:rFonts w:ascii="Swis721 Th BT" w:hAnsi="Swis721 Th BT"/>
                          <w:sz w:val="23"/>
                          <w:szCs w:val="23"/>
                        </w:rPr>
                      </w:pPr>
                      <w:r>
                        <w:rPr>
                          <w:rFonts w:ascii="Swis721 Th BT" w:hAnsi="Swis721 Th BT"/>
                          <w:sz w:val="23"/>
                          <w:szCs w:val="23"/>
                        </w:rPr>
                        <w:t>Para isso, 74 mulheres foram selecionadas para participarem deste estudo clínico, paralelo, dois-centros, randomizado e controlado por placebo. Elas foram classificadas de acordo com os níveis de prolactina na linha de base em normal (&lt;25 ng/ml) e alta (≥25 ng/ml). Então, foram divididas em dois grupos para receberem por seis semanas a seguinte posologia:</w:t>
                      </w:r>
                    </w:p>
                    <w:p w14:paraId="3698457D"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0AAEAB33" w14:textId="77777777" w:rsidR="00CD65C2" w:rsidRDefault="00CD65C2">
      <w:pPr>
        <w:pStyle w:val="Corpo"/>
        <w:rPr>
          <w:rFonts w:hint="eastAsia"/>
          <w:color w:val="404040" w:themeColor="text1" w:themeTint="BF"/>
        </w:rPr>
      </w:pPr>
    </w:p>
    <w:p w14:paraId="69EA6E62" w14:textId="77777777" w:rsidR="00CD65C2" w:rsidRDefault="00CD65C2">
      <w:pPr>
        <w:pStyle w:val="Corpo"/>
        <w:rPr>
          <w:rFonts w:hint="eastAsia"/>
          <w:color w:val="404040" w:themeColor="text1" w:themeTint="BF"/>
        </w:rPr>
      </w:pPr>
    </w:p>
    <w:p w14:paraId="6199A1E8" w14:textId="77777777" w:rsidR="00CD65C2" w:rsidRDefault="00CD65C2">
      <w:pPr>
        <w:pStyle w:val="Corpo"/>
        <w:rPr>
          <w:rFonts w:hint="eastAsia"/>
          <w:color w:val="404040" w:themeColor="text1" w:themeTint="BF"/>
        </w:rPr>
      </w:pPr>
    </w:p>
    <w:p w14:paraId="5DE5283B" w14:textId="77777777" w:rsidR="00CD65C2" w:rsidRDefault="00CD65C2">
      <w:pPr>
        <w:pStyle w:val="Corpo"/>
        <w:rPr>
          <w:rFonts w:hint="eastAsia"/>
          <w:color w:val="404040" w:themeColor="text1" w:themeTint="BF"/>
        </w:rPr>
      </w:pPr>
    </w:p>
    <w:p w14:paraId="3B454F4D"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773952"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211" name="Triângulo isósceles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11" o:spid="_x0000_s1026" o:spt="5" type="#_x0000_t5" style="position:absolute;left:0pt;flip:y;margin-left:65.25pt;margin-top:0.85pt;height:10.9pt;width:17.85pt;z-index:251773952;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rg23W&#10;AAAACAEAAA8AAAAAAAAAAQAgAAAAIgAAAGRycy9kb3ducmV2LnhtbFBLAQIUABQAAAAIAIdO4kCt&#10;QKEVWwIAAKcEAAAOAAAAAAAAAAEAIAAAACUBAABkcnMvZTJvRG9jLnhtbFBLBQYAAAAABgAGAFkB&#10;AADyBQ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772928" behindDoc="0" locked="0" layoutInCell="1" allowOverlap="1">
                <wp:simplePos x="0" y="0"/>
                <wp:positionH relativeFrom="column">
                  <wp:posOffset>4664710</wp:posOffset>
                </wp:positionH>
                <wp:positionV relativeFrom="paragraph">
                  <wp:posOffset>10795</wp:posOffset>
                </wp:positionV>
                <wp:extent cx="226695" cy="138430"/>
                <wp:effectExtent l="0" t="0" r="1905" b="0"/>
                <wp:wrapNone/>
                <wp:docPr id="212" name="Triângulo isósceles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12" o:spid="_x0000_s1026" o:spt="5" type="#_x0000_t5" style="position:absolute;left:0pt;flip:y;margin-left:367.3pt;margin-top:0.85pt;height:10.9pt;width:17.85pt;z-index:251772928;mso-width-relative:page;mso-height-relative:page;" fillcolor="#D9D9D9 [3212]" filled="t" stroked="f" coordsize="21600,21600" o:gfxdata="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rIplbW&#10;AAAACAEAAA8AAAAAAAAAAQAgAAAAIgAAAGRycy9kb3ducmV2LnhtbFBLAQIUABQAAAAIAIdO4kCJ&#10;5cJOWwIAAKcEAAAOAAAAAAAAAAEAIAAAACUBAABkcnMvZTJvRG9jLnhtbFBLBQYAAAAABgAGAFkB&#10;AADyBQAAAAA=&#10;" adj="10800">
                <v:fill on="t" focussize="0,0"/>
                <v:stroke on="f"/>
                <v:imagedata o:title=""/>
                <o:lock v:ext="edit" aspectratio="f"/>
              </v:shape>
            </w:pict>
          </mc:Fallback>
        </mc:AlternateContent>
      </w:r>
    </w:p>
    <w:p w14:paraId="6D001E14"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771904" behindDoc="0" locked="0" layoutInCell="1" allowOverlap="1">
                <wp:simplePos x="0" y="0"/>
                <wp:positionH relativeFrom="column">
                  <wp:posOffset>-3810</wp:posOffset>
                </wp:positionH>
                <wp:positionV relativeFrom="paragraph">
                  <wp:posOffset>89535</wp:posOffset>
                </wp:positionV>
                <wp:extent cx="1913890" cy="1000125"/>
                <wp:effectExtent l="0" t="0" r="10160" b="28575"/>
                <wp:wrapNone/>
                <wp:docPr id="221" name="Caixa de texto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000125"/>
                        </a:xfrm>
                        <a:prstGeom prst="rect">
                          <a:avLst/>
                        </a:prstGeom>
                        <a:solidFill>
                          <a:srgbClr val="0070C0"/>
                        </a:solidFill>
                        <a:ln w="9525">
                          <a:solidFill>
                            <a:srgbClr val="0070C0"/>
                          </a:solidFill>
                          <a:miter lim="800000"/>
                        </a:ln>
                      </wps:spPr>
                      <wps:txbx>
                        <w:txbxContent>
                          <w:p w14:paraId="565D7133"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Grupo com altos níveis de prolactina (n=36)</w:t>
                            </w:r>
                          </w:p>
                          <w:p w14:paraId="59CCA331"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Sertralina 50 mg/dia</w:t>
                            </w:r>
                          </w:p>
                          <w:p w14:paraId="1A9D7DB2"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ou</w:t>
                            </w:r>
                          </w:p>
                          <w:p w14:paraId="26EBE8E9"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435304EA"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221" o:spid="_x0000_s1100" type="#_x0000_t202" style="position:absolute;left:0;text-align:left;margin-left:-.3pt;margin-top:7.05pt;width:150.7pt;height:78.75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" fillcolor="#0070c0" strokecolor="#0070c0">
                <v:textbox>
                  <w:txbxContent>
                    <w:p w14:paraId="565D7133"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Grupo com altos níveis de prolactina (n=36)</w:t>
                      </w:r>
                    </w:p>
                    <w:p w14:paraId="59CCA331"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Sertralina 50 mg/dia</w:t>
                      </w:r>
                    </w:p>
                    <w:p w14:paraId="1A9D7DB2"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ou</w:t>
                      </w:r>
                    </w:p>
                    <w:p w14:paraId="26EBE8E9"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435304EA"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774976" behindDoc="0" locked="0" layoutInCell="1" allowOverlap="1">
                <wp:simplePos x="0" y="0"/>
                <wp:positionH relativeFrom="column">
                  <wp:posOffset>3834765</wp:posOffset>
                </wp:positionH>
                <wp:positionV relativeFrom="paragraph">
                  <wp:posOffset>89535</wp:posOffset>
                </wp:positionV>
                <wp:extent cx="1905000" cy="1000125"/>
                <wp:effectExtent l="0" t="0" r="19050" b="28575"/>
                <wp:wrapNone/>
                <wp:docPr id="222" name="Caixa de texto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000125"/>
                        </a:xfrm>
                        <a:prstGeom prst="rect">
                          <a:avLst/>
                        </a:prstGeom>
                        <a:solidFill>
                          <a:srgbClr val="0070C0"/>
                        </a:solidFill>
                        <a:ln w="9525">
                          <a:solidFill>
                            <a:srgbClr val="0070C0"/>
                          </a:solidFill>
                          <a:miter lim="800000"/>
                        </a:ln>
                      </wps:spPr>
                      <wps:txbx>
                        <w:txbxContent>
                          <w:p w14:paraId="55A5B58B"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Grupo com níveis normais de prolactina (n=38)</w:t>
                            </w:r>
                          </w:p>
                          <w:p w14:paraId="51326BAA"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Sertralina 50 mg/dia</w:t>
                            </w:r>
                          </w:p>
                          <w:p w14:paraId="16592E41"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ou</w:t>
                            </w:r>
                          </w:p>
                          <w:p w14:paraId="765030C0"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7D6B3E57" w14:textId="77777777" w:rsidR="00FA41FC" w:rsidRDefault="00FA41FC">
                            <w:pPr>
                              <w:spacing w:after="0" w:line="240" w:lineRule="auto"/>
                              <w:jc w:val="center"/>
                              <w:rPr>
                                <w:rFonts w:ascii="Swis721 Th BT" w:hAnsi="Swis721 Th BT"/>
                                <w:b/>
                                <w:color w:val="FFFFFF" w:themeColor="background1"/>
                                <w:sz w:val="23"/>
                                <w:szCs w:val="23"/>
                              </w:rPr>
                            </w:pPr>
                          </w:p>
                          <w:p w14:paraId="164394E8" w14:textId="77777777" w:rsidR="00FA41FC" w:rsidRDefault="00FA41FC">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222" o:spid="_x0000_s1101" type="#_x0000_t202" style="position:absolute;left:0;text-align:left;margin-left:301.95pt;margin-top:7.05pt;width:150pt;height:78.75pt;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" fillcolor="#0070c0" strokecolor="#0070c0">
                <v:textbox>
                  <w:txbxContent>
                    <w:p w14:paraId="55A5B58B"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Grupo com níveis normais de prolactina (n=38)</w:t>
                      </w:r>
                    </w:p>
                    <w:p w14:paraId="51326BAA"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Sertralina 50 mg/dia</w:t>
                      </w:r>
                    </w:p>
                    <w:p w14:paraId="16592E41"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ou</w:t>
                      </w:r>
                    </w:p>
                    <w:p w14:paraId="765030C0"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7D6B3E57" w14:textId="77777777" w:rsidR="00FA41FC" w:rsidRDefault="00FA41FC">
                      <w:pPr>
                        <w:spacing w:after="0" w:line="240" w:lineRule="auto"/>
                        <w:jc w:val="center"/>
                        <w:rPr>
                          <w:rFonts w:ascii="Swis721 Th BT" w:hAnsi="Swis721 Th BT"/>
                          <w:b/>
                          <w:color w:val="FFFFFF" w:themeColor="background1"/>
                          <w:sz w:val="23"/>
                          <w:szCs w:val="23"/>
                        </w:rPr>
                      </w:pPr>
                    </w:p>
                    <w:p w14:paraId="164394E8" w14:textId="77777777" w:rsidR="00FA41FC" w:rsidRDefault="00FA41FC">
                      <w:pPr>
                        <w:spacing w:after="0" w:line="240" w:lineRule="auto"/>
                        <w:jc w:val="center"/>
                      </w:pPr>
                    </w:p>
                  </w:txbxContent>
                </v:textbox>
              </v:shape>
            </w:pict>
          </mc:Fallback>
        </mc:AlternateContent>
      </w:r>
    </w:p>
    <w:p w14:paraId="39B44127" w14:textId="77777777" w:rsidR="00CD65C2" w:rsidRDefault="00CD65C2">
      <w:pPr>
        <w:pStyle w:val="Corpo"/>
        <w:rPr>
          <w:rFonts w:hint="eastAsia"/>
          <w:color w:val="404040" w:themeColor="text1" w:themeTint="BF"/>
        </w:rPr>
      </w:pPr>
    </w:p>
    <w:p w14:paraId="533449D6" w14:textId="77777777" w:rsidR="00CD65C2" w:rsidRDefault="00CD65C2">
      <w:pPr>
        <w:pStyle w:val="Corpo"/>
        <w:rPr>
          <w:rFonts w:hint="eastAsia"/>
          <w:color w:val="404040" w:themeColor="text1" w:themeTint="BF"/>
        </w:rPr>
      </w:pPr>
    </w:p>
    <w:p w14:paraId="18017A53" w14:textId="77777777" w:rsidR="00CD65C2" w:rsidRDefault="00CD65C2">
      <w:pPr>
        <w:pStyle w:val="Corpo"/>
        <w:rPr>
          <w:rFonts w:hint="eastAsia"/>
          <w:color w:val="404040" w:themeColor="text1" w:themeTint="BF"/>
        </w:rPr>
      </w:pPr>
    </w:p>
    <w:p w14:paraId="0BBE84FE" w14:textId="77777777" w:rsidR="00CD65C2" w:rsidRDefault="00CD65C2">
      <w:pPr>
        <w:pStyle w:val="Corpo"/>
        <w:spacing w:before="120"/>
        <w:rPr>
          <w:rFonts w:hint="eastAsia"/>
          <w:color w:val="404040" w:themeColor="text1" w:themeTint="BF"/>
          <w:sz w:val="20"/>
        </w:rPr>
      </w:pPr>
    </w:p>
    <w:p w14:paraId="2700B8A6" w14:textId="77777777" w:rsidR="00CD65C2" w:rsidRDefault="00CD65C2">
      <w:pPr>
        <w:pStyle w:val="Corpo"/>
        <w:spacing w:before="120"/>
        <w:rPr>
          <w:rFonts w:hint="eastAsia"/>
          <w:color w:val="404040" w:themeColor="text1" w:themeTint="BF"/>
          <w:sz w:val="20"/>
        </w:rPr>
      </w:pPr>
    </w:p>
    <w:p w14:paraId="61B890DE" w14:textId="77777777" w:rsidR="00CD65C2" w:rsidRDefault="00FA41FC">
      <w:pPr>
        <w:pStyle w:val="Corpo"/>
        <w:numPr>
          <w:ilvl w:val="0"/>
          <w:numId w:val="26"/>
        </w:numPr>
        <w:spacing w:before="120"/>
        <w:rPr>
          <w:rFonts w:hint="eastAsia"/>
          <w:color w:val="404040" w:themeColor="text1" w:themeTint="BF"/>
          <w:sz w:val="20"/>
        </w:rPr>
      </w:pPr>
      <w:bookmarkStart w:id="58" w:name="_Hlk76648167"/>
      <w:r>
        <w:rPr>
          <w:color w:val="404040" w:themeColor="text1" w:themeTint="BF"/>
          <w:sz w:val="20"/>
        </w:rPr>
        <w:t>O tratamento foi iniciado com 25 mg/dia de sertralina. Após uma semana, a dose foi aumentada para 50 mg/dia</w:t>
      </w:r>
      <w:bookmarkEnd w:id="58"/>
      <w:r>
        <w:rPr>
          <w:color w:val="404040" w:themeColor="text1" w:themeTint="BF"/>
          <w:sz w:val="20"/>
        </w:rPr>
        <w:t>. A severidade da depressão foi avaliada através da escala Halmiton na linha de base e na terceira e sexta semana. Foram avaliados os escores que medem o grau da depressão e os níveis de prolactina.</w:t>
      </w:r>
    </w:p>
    <w:p w14:paraId="009A8951"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439294C9"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6962AAE0" w14:textId="77777777" w:rsidR="00CD65C2" w:rsidRDefault="00CD65C2">
      <w:pPr>
        <w:pStyle w:val="Corpo"/>
        <w:rPr>
          <w:rFonts w:hint="eastAsia"/>
          <w:b/>
          <w:color w:val="404040" w:themeColor="text1" w:themeTint="BF"/>
          <w:szCs w:val="23"/>
        </w:rPr>
      </w:pPr>
    </w:p>
    <w:p w14:paraId="0942401A" w14:textId="77777777" w:rsidR="00CD65C2" w:rsidRDefault="00FA41FC">
      <w:pPr>
        <w:pStyle w:val="Corpo"/>
        <w:numPr>
          <w:ilvl w:val="0"/>
          <w:numId w:val="30"/>
        </w:numPr>
        <w:rPr>
          <w:rFonts w:hint="eastAsia"/>
          <w:color w:val="404040" w:themeColor="text1" w:themeTint="BF"/>
          <w:szCs w:val="23"/>
        </w:rPr>
      </w:pPr>
      <w:r>
        <w:rPr>
          <w:color w:val="404040" w:themeColor="text1" w:themeTint="BF"/>
          <w:szCs w:val="23"/>
        </w:rPr>
        <w:t>Após seis semanas, a severidade da depressão foi significativamente reduzida entre os pacientes tratados com a sertralina, independente dos níveis basais de prolactina (todos p &lt; 0,001);</w:t>
      </w:r>
    </w:p>
    <w:p w14:paraId="4DA1C810" w14:textId="77777777" w:rsidR="00CD65C2" w:rsidRDefault="00FA41FC">
      <w:pPr>
        <w:pStyle w:val="Corpo"/>
        <w:numPr>
          <w:ilvl w:val="0"/>
          <w:numId w:val="30"/>
        </w:numPr>
        <w:rPr>
          <w:rFonts w:hint="eastAsia"/>
          <w:color w:val="404040" w:themeColor="text1" w:themeTint="BF"/>
          <w:szCs w:val="23"/>
        </w:rPr>
      </w:pPr>
      <w:r>
        <w:rPr>
          <w:color w:val="404040" w:themeColor="text1" w:themeTint="BF"/>
          <w:szCs w:val="23"/>
        </w:rPr>
        <w:t>Não foram observadas diferenças significativas nos níveis de prolactina entre os pacientes tratados com sertralina ou placebo com níveis normais ou elevados desse hormônio.</w:t>
      </w:r>
    </w:p>
    <w:p w14:paraId="5284E481"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4F3F08C5"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 xml:space="preserve">Conclusão: </w:t>
      </w:r>
    </w:p>
    <w:p w14:paraId="40405A96"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7FE01158" w14:textId="5C7F2657" w:rsidR="00CD65C2" w:rsidRDefault="00FA41FC">
      <w:pPr>
        <w:pStyle w:val="Corpo"/>
        <w:jc w:val="center"/>
        <w:rPr>
          <w:rFonts w:hint="eastAsia"/>
          <w:b/>
          <w:i/>
          <w:color w:val="404040" w:themeColor="text1" w:themeTint="BF"/>
        </w:rPr>
      </w:pPr>
      <w:r>
        <w:rPr>
          <w:b/>
          <w:i/>
          <w:color w:val="404040" w:themeColor="text1" w:themeTint="BF"/>
        </w:rPr>
        <w:t>O tratamento com a sertralina foi bem tolerado e efetivo no tratamento da depressão em mulheres com SOPC.</w:t>
      </w:r>
    </w:p>
    <w:p w14:paraId="5206498A" w14:textId="77777777" w:rsidR="00CD65C2" w:rsidRDefault="00CD65C2">
      <w:pPr>
        <w:pStyle w:val="Corpo"/>
        <w:jc w:val="center"/>
        <w:rPr>
          <w:rFonts w:hint="eastAsia"/>
          <w:b/>
          <w:bCs/>
          <w:i/>
          <w:color w:val="404040" w:themeColor="text1" w:themeTint="BF"/>
        </w:rPr>
      </w:pPr>
    </w:p>
    <w:p w14:paraId="5640149D" w14:textId="77777777" w:rsidR="00CD65C2" w:rsidRDefault="00CD65C2">
      <w:pPr>
        <w:pStyle w:val="Corpo"/>
        <w:jc w:val="center"/>
        <w:rPr>
          <w:rFonts w:hint="eastAsia"/>
          <w:b/>
          <w:bCs/>
          <w:i/>
          <w:color w:val="404040" w:themeColor="text1" w:themeTint="BF"/>
        </w:rPr>
      </w:pPr>
    </w:p>
    <w:p w14:paraId="7363B0EF" w14:textId="77777777" w:rsidR="00CD65C2" w:rsidRDefault="00FA41FC">
      <w:pPr>
        <w:pStyle w:val="Ttulo1"/>
        <w:jc w:val="center"/>
        <w:rPr>
          <w:rFonts w:hint="eastAsia"/>
        </w:rPr>
      </w:pPr>
      <w:bookmarkStart w:id="59" w:name="_Toc165537210"/>
      <w:r>
        <w:t>Formulário</w:t>
      </w:r>
      <w:bookmarkEnd w:id="59"/>
    </w:p>
    <w:p w14:paraId="5287C239" w14:textId="77777777" w:rsidR="00CD65C2" w:rsidRDefault="00CD65C2">
      <w:pPr>
        <w:pStyle w:val="Corpo"/>
        <w:rPr>
          <w:rFonts w:hint="eastAsia"/>
          <w:b/>
          <w:i/>
          <w:color w:val="404040" w:themeColor="text1" w:themeTint="BF"/>
        </w:rPr>
      </w:pPr>
    </w:p>
    <w:p w14:paraId="3D32F939" w14:textId="77777777" w:rsidR="00CD65C2" w:rsidRDefault="00CD65C2">
      <w:pPr>
        <w:pStyle w:val="Corpo"/>
        <w:rPr>
          <w:rFonts w:hint="eastAsia"/>
          <w:b/>
          <w:i/>
          <w:color w:val="404040" w:themeColor="text1" w:themeTint="BF"/>
        </w:rPr>
      </w:pPr>
    </w:p>
    <w:p w14:paraId="678FC47D" w14:textId="77777777" w:rsidR="00CD65C2" w:rsidRDefault="00FA41FC">
      <w:pPr>
        <w:pStyle w:val="Corpo"/>
        <w:rPr>
          <w:rFonts w:hint="eastAsia"/>
          <w:b/>
          <w:i/>
          <w:color w:val="404040" w:themeColor="text1" w:themeTint="BF"/>
          <w:sz w:val="24"/>
        </w:rPr>
      </w:pPr>
      <w:r>
        <w:rPr>
          <w:b/>
          <w:i/>
          <w:color w:val="404040" w:themeColor="text1" w:themeTint="BF"/>
          <w:sz w:val="24"/>
        </w:rPr>
        <w:t>Sertralina Diminui o Quadro Depressivo em Mulheres com SOPC</w:t>
      </w:r>
    </w:p>
    <w:p w14:paraId="1171E5E0"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7D91D25B"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598C7C85" w14:textId="77777777" w:rsidR="00CD65C2" w:rsidRDefault="00FA41FC">
            <w:pPr>
              <w:pStyle w:val="Corpo"/>
              <w:jc w:val="center"/>
              <w:rPr>
                <w:rFonts w:hint="eastAsia"/>
                <w:b/>
                <w:color w:val="FFFFFF" w:themeColor="background1"/>
              </w:rPr>
            </w:pPr>
            <w:r>
              <w:rPr>
                <w:b/>
                <w:color w:val="FFFFFF" w:themeColor="background1"/>
                <w:sz w:val="22"/>
              </w:rPr>
              <w:t>Cápsulas de Sertralina</w:t>
            </w:r>
          </w:p>
        </w:tc>
      </w:tr>
      <w:tr w:rsidR="00CD65C2" w14:paraId="5233BB0E"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E3FD74E" w14:textId="77777777" w:rsidR="00CD65C2" w:rsidRDefault="00FA41FC">
            <w:pPr>
              <w:pStyle w:val="Corpo"/>
              <w:jc w:val="center"/>
              <w:rPr>
                <w:rFonts w:hint="eastAsia"/>
                <w:color w:val="404040" w:themeColor="text1" w:themeTint="BF"/>
              </w:rPr>
            </w:pPr>
            <w:r>
              <w:rPr>
                <w:color w:val="404040" w:themeColor="text1" w:themeTint="BF"/>
              </w:rPr>
              <w:t>Sertralina...........................................25 mg</w:t>
            </w:r>
          </w:p>
        </w:tc>
      </w:tr>
      <w:tr w:rsidR="00CD65C2" w14:paraId="67373E47"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59BDB42" w14:textId="14EEB0B3" w:rsidR="00CD65C2" w:rsidRDefault="00FA41FC">
            <w:pPr>
              <w:pStyle w:val="Corpo"/>
              <w:jc w:val="center"/>
              <w:rPr>
                <w:rFonts w:hint="eastAsia"/>
                <w:color w:val="404040" w:themeColor="text1" w:themeTint="BF"/>
              </w:rPr>
            </w:pPr>
            <w:r>
              <w:rPr>
                <w:color w:val="404040" w:themeColor="text1" w:themeTint="BF"/>
              </w:rPr>
              <w:t>Excipiente q.s.p. ........................1 Cápsula</w:t>
            </w:r>
          </w:p>
        </w:tc>
      </w:tr>
    </w:tbl>
    <w:p w14:paraId="4D5D18B0" w14:textId="158FA115" w:rsidR="00CD65C2" w:rsidRDefault="00FA41FC">
      <w:pPr>
        <w:pStyle w:val="Corpo"/>
        <w:ind w:right="4762"/>
        <w:jc w:val="center"/>
        <w:rPr>
          <w:rFonts w:hint="eastAsia"/>
          <w:color w:val="404040" w:themeColor="text1" w:themeTint="BF"/>
          <w:sz w:val="22"/>
          <w:szCs w:val="22"/>
        </w:rPr>
      </w:pPr>
      <w:r>
        <w:rPr>
          <w:color w:val="404040" w:themeColor="text1" w:themeTint="BF"/>
          <w:sz w:val="22"/>
          <w:szCs w:val="22"/>
        </w:rPr>
        <w:t>Recomenda-se</w:t>
      </w:r>
      <w:r>
        <w:rPr>
          <w:rStyle w:val="bibliografiaChar"/>
          <w:color w:val="595959" w:themeColor="text1" w:themeTint="A6"/>
          <w:sz w:val="22"/>
          <w:szCs w:val="22"/>
          <w:lang w:val="pt-BR"/>
        </w:rPr>
        <w:t xml:space="preserve"> iniciar o tratamento com 25 mg/dia de sertralina. Após uma semana, a dose pode ser aumentada para 50 mg/dia. O</w:t>
      </w:r>
      <w:r>
        <w:rPr>
          <w:color w:val="404040" w:themeColor="text1" w:themeTint="BF"/>
          <w:sz w:val="22"/>
          <w:szCs w:val="22"/>
        </w:rPr>
        <w:t>u seguir orientação médica</w:t>
      </w:r>
      <w:r>
        <w:rPr>
          <w:rStyle w:val="bibliografiaChar"/>
          <w:color w:val="595959" w:themeColor="text1" w:themeTint="A6"/>
          <w:sz w:val="22"/>
          <w:szCs w:val="22"/>
          <w:lang w:val="pt-BR"/>
        </w:rPr>
        <w:t>.</w:t>
      </w:r>
    </w:p>
    <w:p w14:paraId="0788EB30" w14:textId="77777777" w:rsidR="00CD65C2" w:rsidRDefault="00CD65C2">
      <w:pPr>
        <w:pStyle w:val="SemEspaamento"/>
      </w:pPr>
    </w:p>
    <w:p w14:paraId="2AB33C59" w14:textId="77777777" w:rsidR="00CD65C2" w:rsidRDefault="00CD65C2">
      <w:pPr>
        <w:pStyle w:val="SemEspaamento"/>
      </w:pPr>
    </w:p>
    <w:p w14:paraId="391EE6BE" w14:textId="77777777" w:rsidR="00CD65C2" w:rsidRDefault="00CD65C2">
      <w:pPr>
        <w:pStyle w:val="SemEspaamento"/>
      </w:pPr>
    </w:p>
    <w:p w14:paraId="7186DAA4" w14:textId="77777777" w:rsidR="00CD65C2" w:rsidRDefault="00CD65C2">
      <w:pPr>
        <w:pStyle w:val="SemEspaamento"/>
      </w:pPr>
    </w:p>
    <w:p w14:paraId="5D7EBAB1" w14:textId="77777777" w:rsidR="00CD65C2" w:rsidRDefault="00CD65C2">
      <w:pPr>
        <w:pStyle w:val="SemEspaamento"/>
      </w:pPr>
    </w:p>
    <w:p w14:paraId="61CCEE8B" w14:textId="77777777" w:rsidR="00CD65C2" w:rsidRDefault="00CD65C2">
      <w:pPr>
        <w:pStyle w:val="SemEspaamento"/>
      </w:pPr>
    </w:p>
    <w:p w14:paraId="0DE826F6" w14:textId="77777777" w:rsidR="00CD65C2" w:rsidRDefault="00CD65C2">
      <w:pPr>
        <w:pStyle w:val="SemEspaamento"/>
      </w:pPr>
    </w:p>
    <w:p w14:paraId="1E2B6464" w14:textId="77777777" w:rsidR="00CD65C2" w:rsidRDefault="00CD65C2">
      <w:pPr>
        <w:pStyle w:val="SemEspaamento"/>
      </w:pPr>
    </w:p>
    <w:p w14:paraId="01B70C93" w14:textId="77777777" w:rsidR="00CD65C2" w:rsidRDefault="00CD65C2">
      <w:pPr>
        <w:pStyle w:val="SemEspaamento"/>
      </w:pPr>
    </w:p>
    <w:p w14:paraId="666A1860" w14:textId="77777777" w:rsidR="00CD65C2" w:rsidRDefault="00CD65C2">
      <w:pPr>
        <w:pStyle w:val="SemEspaamento"/>
      </w:pPr>
    </w:p>
    <w:p w14:paraId="0F3604D4" w14:textId="77777777" w:rsidR="00CD65C2" w:rsidRDefault="00CD65C2">
      <w:pPr>
        <w:pStyle w:val="SemEspaamento"/>
      </w:pPr>
    </w:p>
    <w:p w14:paraId="2663FD5A" w14:textId="77777777" w:rsidR="00CD65C2" w:rsidRDefault="00CD65C2">
      <w:pPr>
        <w:pStyle w:val="SemEspaamento"/>
      </w:pPr>
    </w:p>
    <w:p w14:paraId="64FB3258" w14:textId="77777777" w:rsidR="00CD65C2" w:rsidRDefault="00CD65C2">
      <w:pPr>
        <w:pStyle w:val="SemEspaamento"/>
      </w:pPr>
    </w:p>
    <w:p w14:paraId="13C75335" w14:textId="77777777" w:rsidR="00CD65C2" w:rsidRDefault="00CD65C2">
      <w:pPr>
        <w:pStyle w:val="SemEspaamento"/>
      </w:pPr>
    </w:p>
    <w:p w14:paraId="60CFC7AF" w14:textId="77777777" w:rsidR="00CD65C2" w:rsidRDefault="00CD65C2">
      <w:pPr>
        <w:pStyle w:val="SemEspaamento"/>
      </w:pPr>
    </w:p>
    <w:p w14:paraId="1E2C5D97" w14:textId="77777777" w:rsidR="00CD65C2" w:rsidRDefault="00CD65C2">
      <w:pPr>
        <w:pStyle w:val="SemEspaamento"/>
      </w:pPr>
    </w:p>
    <w:p w14:paraId="270F3B9B" w14:textId="77777777" w:rsidR="00CD65C2" w:rsidRDefault="00CD65C2">
      <w:pPr>
        <w:pStyle w:val="SemEspaamento"/>
      </w:pPr>
    </w:p>
    <w:p w14:paraId="0E6E634E" w14:textId="77777777" w:rsidR="00CD65C2" w:rsidRDefault="00CD65C2">
      <w:pPr>
        <w:pStyle w:val="SemEspaamento"/>
      </w:pPr>
    </w:p>
    <w:p w14:paraId="3BE47171" w14:textId="77777777" w:rsidR="00CD65C2" w:rsidRDefault="00CD65C2">
      <w:pPr>
        <w:pStyle w:val="SemEspaamento"/>
      </w:pPr>
    </w:p>
    <w:p w14:paraId="45E0C82E" w14:textId="77777777" w:rsidR="00CD65C2" w:rsidRDefault="00CD65C2">
      <w:pPr>
        <w:pStyle w:val="SemEspaamento"/>
      </w:pPr>
    </w:p>
    <w:p w14:paraId="5B6C552A" w14:textId="77777777" w:rsidR="00CD65C2" w:rsidRDefault="00CD65C2">
      <w:pPr>
        <w:pStyle w:val="SemEspaamento"/>
      </w:pPr>
    </w:p>
    <w:p w14:paraId="660C1EE5" w14:textId="77777777" w:rsidR="00CD65C2" w:rsidRDefault="00CD65C2">
      <w:pPr>
        <w:pStyle w:val="SemEspaamento"/>
      </w:pPr>
    </w:p>
    <w:p w14:paraId="7A0A33F2" w14:textId="77777777" w:rsidR="00CD65C2" w:rsidRDefault="00CD65C2">
      <w:pPr>
        <w:pStyle w:val="SemEspaamento"/>
      </w:pPr>
    </w:p>
    <w:p w14:paraId="7477B54F" w14:textId="77777777" w:rsidR="00CD65C2" w:rsidRDefault="00CD65C2">
      <w:pPr>
        <w:pStyle w:val="SemEspaamento"/>
      </w:pPr>
    </w:p>
    <w:p w14:paraId="2F739535" w14:textId="77777777" w:rsidR="00CD65C2" w:rsidRDefault="00CD65C2">
      <w:pPr>
        <w:pStyle w:val="SemEspaamento"/>
      </w:pPr>
    </w:p>
    <w:p w14:paraId="002FCF53" w14:textId="77777777" w:rsidR="00CD65C2" w:rsidRDefault="00CD65C2">
      <w:pPr>
        <w:pStyle w:val="SemEspaamento"/>
      </w:pPr>
    </w:p>
    <w:p w14:paraId="4531580D" w14:textId="77777777" w:rsidR="00CD65C2" w:rsidRDefault="00CD65C2">
      <w:pPr>
        <w:pStyle w:val="SemEspaamento"/>
      </w:pPr>
    </w:p>
    <w:p w14:paraId="110BCDB5" w14:textId="77777777" w:rsidR="00CD65C2" w:rsidRDefault="00CD65C2">
      <w:pPr>
        <w:pStyle w:val="SemEspaamento"/>
      </w:pPr>
    </w:p>
    <w:p w14:paraId="0CDF5899" w14:textId="77777777" w:rsidR="00CD65C2" w:rsidRDefault="00CD65C2">
      <w:pPr>
        <w:pStyle w:val="SemEspaamento"/>
      </w:pPr>
    </w:p>
    <w:p w14:paraId="6F568FC4" w14:textId="77777777" w:rsidR="00CD65C2" w:rsidRDefault="00CD65C2">
      <w:pPr>
        <w:pStyle w:val="SemEspaamento"/>
      </w:pPr>
    </w:p>
    <w:p w14:paraId="66D63628" w14:textId="77777777" w:rsidR="00CD65C2" w:rsidRDefault="00FA41FC">
      <w:pPr>
        <w:rPr>
          <w:lang w:eastAsia="pt-BR"/>
        </w:rPr>
      </w:pPr>
      <w:r>
        <w:rPr>
          <w:noProof/>
          <w:lang w:eastAsia="pt-BR"/>
        </w:rPr>
        <w:drawing>
          <wp:anchor distT="0" distB="0" distL="114300" distR="114300" simplePos="0" relativeHeight="251782144" behindDoc="1" locked="0" layoutInCell="1" allowOverlap="1">
            <wp:simplePos x="0" y="0"/>
            <wp:positionH relativeFrom="column">
              <wp:posOffset>-1266825</wp:posOffset>
            </wp:positionH>
            <wp:positionV relativeFrom="paragraph">
              <wp:posOffset>-924560</wp:posOffset>
            </wp:positionV>
            <wp:extent cx="10841355" cy="7200900"/>
            <wp:effectExtent l="0" t="0" r="0" b="635"/>
            <wp:wrapNone/>
            <wp:docPr id="235" name="Imagem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Imagem 235"/>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841341" cy="7200591"/>
                    </a:xfrm>
                    <a:prstGeom prst="rect">
                      <a:avLst/>
                    </a:prstGeom>
                    <a:noFill/>
                    <a:ln>
                      <a:noFill/>
                    </a:ln>
                  </pic:spPr>
                </pic:pic>
              </a:graphicData>
            </a:graphic>
          </wp:anchor>
        </w:drawing>
      </w:r>
    </w:p>
    <w:p w14:paraId="42E8825C" w14:textId="77777777" w:rsidR="00CD65C2" w:rsidRDefault="00CD65C2">
      <w:pPr>
        <w:rPr>
          <w:lang w:eastAsia="pt-BR"/>
        </w:rPr>
      </w:pPr>
    </w:p>
    <w:p w14:paraId="6CDDD77D" w14:textId="77777777" w:rsidR="00CD65C2" w:rsidRDefault="00CD65C2">
      <w:pPr>
        <w:rPr>
          <w:lang w:eastAsia="pt-BR"/>
        </w:rPr>
      </w:pPr>
    </w:p>
    <w:p w14:paraId="15A0CEF9" w14:textId="77777777" w:rsidR="00CD65C2" w:rsidRDefault="00CD65C2">
      <w:pPr>
        <w:rPr>
          <w:lang w:eastAsia="pt-BR"/>
        </w:rPr>
      </w:pPr>
    </w:p>
    <w:p w14:paraId="5530E3F9" w14:textId="77777777" w:rsidR="00CD65C2" w:rsidRDefault="00CD65C2">
      <w:pPr>
        <w:rPr>
          <w:lang w:eastAsia="pt-BR"/>
        </w:rPr>
      </w:pPr>
    </w:p>
    <w:p w14:paraId="4FA6A62A" w14:textId="77777777" w:rsidR="00CD65C2" w:rsidRDefault="00CD65C2">
      <w:pPr>
        <w:rPr>
          <w:lang w:eastAsia="pt-BR"/>
        </w:rPr>
      </w:pPr>
    </w:p>
    <w:p w14:paraId="474189E0" w14:textId="77777777" w:rsidR="00CD65C2" w:rsidRDefault="00CD65C2">
      <w:pPr>
        <w:rPr>
          <w:lang w:eastAsia="pt-BR"/>
        </w:rPr>
      </w:pPr>
    </w:p>
    <w:p w14:paraId="38533071" w14:textId="77777777" w:rsidR="00CD65C2" w:rsidRDefault="00CD65C2">
      <w:pPr>
        <w:rPr>
          <w:lang w:eastAsia="pt-BR"/>
        </w:rPr>
      </w:pPr>
    </w:p>
    <w:p w14:paraId="6A761F43" w14:textId="77777777" w:rsidR="00CD65C2" w:rsidRDefault="00CD65C2">
      <w:pPr>
        <w:rPr>
          <w:lang w:eastAsia="pt-BR"/>
        </w:rPr>
      </w:pPr>
    </w:p>
    <w:p w14:paraId="509A40BB" w14:textId="77777777" w:rsidR="00CD65C2" w:rsidRDefault="00CD65C2">
      <w:pPr>
        <w:rPr>
          <w:lang w:eastAsia="pt-BR"/>
        </w:rPr>
      </w:pPr>
    </w:p>
    <w:p w14:paraId="48B21548" w14:textId="77777777" w:rsidR="00CD65C2" w:rsidRDefault="00CD65C2">
      <w:pPr>
        <w:rPr>
          <w:lang w:eastAsia="pt-BR"/>
        </w:rPr>
      </w:pPr>
    </w:p>
    <w:p w14:paraId="72E752B4" w14:textId="77777777" w:rsidR="00CD65C2" w:rsidRDefault="00CD65C2">
      <w:pPr>
        <w:rPr>
          <w:lang w:eastAsia="pt-BR"/>
        </w:rPr>
      </w:pPr>
    </w:p>
    <w:p w14:paraId="2F5CC4A5" w14:textId="77777777" w:rsidR="00CD65C2" w:rsidRDefault="00CD65C2">
      <w:pPr>
        <w:rPr>
          <w:lang w:eastAsia="pt-BR"/>
        </w:rPr>
      </w:pPr>
    </w:p>
    <w:p w14:paraId="14F0AE28" w14:textId="77777777" w:rsidR="00CD65C2" w:rsidRDefault="00CD65C2">
      <w:pPr>
        <w:rPr>
          <w:lang w:eastAsia="pt-BR"/>
        </w:rPr>
      </w:pPr>
    </w:p>
    <w:p w14:paraId="7056018E" w14:textId="77777777" w:rsidR="00CD65C2" w:rsidRDefault="00CD65C2">
      <w:pPr>
        <w:rPr>
          <w:lang w:eastAsia="pt-BR"/>
        </w:rPr>
      </w:pPr>
    </w:p>
    <w:p w14:paraId="2E869A4D" w14:textId="77777777" w:rsidR="00CD65C2" w:rsidRDefault="00CD65C2">
      <w:pPr>
        <w:rPr>
          <w:lang w:eastAsia="pt-BR"/>
        </w:rPr>
      </w:pPr>
    </w:p>
    <w:p w14:paraId="7CDA3D3B" w14:textId="77777777" w:rsidR="00CD65C2" w:rsidRDefault="00CD65C2">
      <w:pPr>
        <w:rPr>
          <w:lang w:eastAsia="pt-BR"/>
        </w:rPr>
      </w:pPr>
    </w:p>
    <w:p w14:paraId="5B6C08A7" w14:textId="77777777" w:rsidR="00CD65C2" w:rsidRDefault="00CD65C2">
      <w:pPr>
        <w:rPr>
          <w:lang w:eastAsia="pt-BR"/>
        </w:rPr>
      </w:pPr>
    </w:p>
    <w:p w14:paraId="5A94D133" w14:textId="77777777" w:rsidR="00CD65C2" w:rsidRDefault="00CD65C2">
      <w:pPr>
        <w:rPr>
          <w:lang w:eastAsia="pt-BR"/>
        </w:rPr>
      </w:pPr>
    </w:p>
    <w:p w14:paraId="1A2A65E6" w14:textId="77777777" w:rsidR="00CD65C2" w:rsidRDefault="00CD65C2">
      <w:pPr>
        <w:rPr>
          <w:lang w:eastAsia="pt-BR"/>
        </w:rPr>
      </w:pPr>
    </w:p>
    <w:p w14:paraId="6793F042" w14:textId="77777777" w:rsidR="00CD65C2" w:rsidRDefault="00CD65C2">
      <w:pPr>
        <w:rPr>
          <w:lang w:eastAsia="pt-BR"/>
        </w:rPr>
      </w:pPr>
    </w:p>
    <w:p w14:paraId="31750DA9" w14:textId="77777777" w:rsidR="00CD65C2" w:rsidRDefault="00CD65C2">
      <w:pPr>
        <w:rPr>
          <w:lang w:eastAsia="pt-BR"/>
        </w:rPr>
      </w:pPr>
    </w:p>
    <w:p w14:paraId="7299E5A2" w14:textId="77777777" w:rsidR="00CD65C2" w:rsidRDefault="00CD65C2"/>
    <w:p w14:paraId="150B5E82" w14:textId="77777777" w:rsidR="00CD65C2" w:rsidRDefault="00CD65C2">
      <w:pPr>
        <w:pStyle w:val="Corpo"/>
        <w:rPr>
          <w:rFonts w:hint="eastAsia"/>
          <w:color w:val="404040" w:themeColor="text1" w:themeTint="BF"/>
        </w:rPr>
      </w:pPr>
    </w:p>
    <w:p w14:paraId="70354F01" w14:textId="77777777" w:rsidR="00CD65C2" w:rsidRDefault="00CD65C2"/>
    <w:p w14:paraId="4824D8E4" w14:textId="77777777" w:rsidR="00CD65C2" w:rsidRDefault="00FA41FC">
      <w:pPr>
        <w:pStyle w:val="Ttulo1"/>
        <w:jc w:val="center"/>
        <w:rPr>
          <w:rFonts w:hint="eastAsia"/>
        </w:rPr>
      </w:pPr>
      <w:bookmarkStart w:id="60" w:name="_Toc165537211"/>
      <w:r>
        <w:t>Endometriose</w:t>
      </w:r>
      <w:bookmarkEnd w:id="60"/>
    </w:p>
    <w:p w14:paraId="48A182A9" w14:textId="77777777" w:rsidR="00CD65C2" w:rsidRDefault="00CD65C2">
      <w:pPr>
        <w:pStyle w:val="SemEspaamento"/>
      </w:pPr>
    </w:p>
    <w:p w14:paraId="771E7372" w14:textId="77777777" w:rsidR="00CD65C2" w:rsidRDefault="00CD65C2">
      <w:pPr>
        <w:pStyle w:val="SemEspaamento"/>
      </w:pPr>
    </w:p>
    <w:p w14:paraId="663FC563" w14:textId="77777777" w:rsidR="00CD65C2" w:rsidRDefault="00CD65C2">
      <w:pPr>
        <w:pStyle w:val="SemEspaamento"/>
      </w:pPr>
    </w:p>
    <w:p w14:paraId="3784533D" w14:textId="77777777" w:rsidR="00CD65C2" w:rsidRDefault="00FA41FC">
      <w:pPr>
        <w:pStyle w:val="Ttulo1"/>
        <w:jc w:val="center"/>
        <w:rPr>
          <w:rFonts w:hint="eastAsia"/>
        </w:rPr>
      </w:pPr>
      <w:bookmarkStart w:id="61" w:name="_Toc165537212"/>
      <w:r>
        <w:rPr>
          <w:bCs/>
          <w:iCs/>
        </w:rPr>
        <w:t>Vitamina C e E</w:t>
      </w:r>
      <w:bookmarkEnd w:id="61"/>
    </w:p>
    <w:p w14:paraId="6A7A10B1" w14:textId="77777777" w:rsidR="00CD65C2" w:rsidRDefault="00FA41FC">
      <w:pPr>
        <w:pStyle w:val="Subtitulocorpo"/>
        <w:rPr>
          <w:rFonts w:hint="eastAsia"/>
          <w:szCs w:val="40"/>
        </w:rPr>
      </w:pPr>
      <w:r>
        <w:t xml:space="preserve">Reduzem os Marcadores do Estresse Oxidativo e os Sintomas da Doença </w:t>
      </w:r>
    </w:p>
    <w:p w14:paraId="67DF45B8" w14:textId="77777777" w:rsidR="00CD65C2" w:rsidRDefault="00CD65C2">
      <w:pPr>
        <w:pStyle w:val="Corpo"/>
        <w:rPr>
          <w:rFonts w:hint="eastAsia"/>
          <w:color w:val="404040" w:themeColor="text1" w:themeTint="BF"/>
          <w:sz w:val="24"/>
        </w:rPr>
      </w:pPr>
    </w:p>
    <w:p w14:paraId="7B828180" w14:textId="77777777" w:rsidR="00CD65C2" w:rsidRDefault="00CD65C2">
      <w:pPr>
        <w:pStyle w:val="Corpo"/>
        <w:spacing w:after="120"/>
        <w:rPr>
          <w:rFonts w:hint="eastAsia"/>
          <w:color w:val="404040" w:themeColor="text1" w:themeTint="BF"/>
          <w:sz w:val="24"/>
        </w:rPr>
      </w:pPr>
    </w:p>
    <w:p w14:paraId="58AF0DA6" w14:textId="4223567B" w:rsidR="00CD65C2" w:rsidRDefault="00FA41FC">
      <w:pPr>
        <w:pStyle w:val="Corpo"/>
        <w:rPr>
          <w:rFonts w:hint="eastAsia"/>
          <w:color w:val="404040" w:themeColor="text1" w:themeTint="BF"/>
          <w:sz w:val="24"/>
        </w:rPr>
      </w:pPr>
      <w:r>
        <w:rPr>
          <w:color w:val="404040" w:themeColor="text1" w:themeTint="BF"/>
          <w:sz w:val="24"/>
        </w:rPr>
        <w:t xml:space="preserve">Este estudo clínico e triplo-cego conduzido por Amini </w:t>
      </w:r>
      <w:r>
        <w:rPr>
          <w:i/>
          <w:color w:val="404040" w:themeColor="text1" w:themeTint="BF"/>
          <w:sz w:val="24"/>
        </w:rPr>
        <w:t xml:space="preserve">et al., </w:t>
      </w:r>
      <w:r>
        <w:rPr>
          <w:color w:val="404040" w:themeColor="text1" w:themeTint="BF"/>
          <w:sz w:val="24"/>
        </w:rPr>
        <w:t>(2021) avaliou o papel da suplementação com vitaminas antioxidantes nos índices de estresse oxidativo, bem como na intensidade da dor em mulheres com endometriose.</w:t>
      </w:r>
    </w:p>
    <w:p w14:paraId="4EAB86C6"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81120" behindDoc="0" locked="0" layoutInCell="1" allowOverlap="1">
                <wp:simplePos x="0" y="0"/>
                <wp:positionH relativeFrom="margin">
                  <wp:posOffset>5715</wp:posOffset>
                </wp:positionH>
                <wp:positionV relativeFrom="paragraph">
                  <wp:posOffset>97155</wp:posOffset>
                </wp:positionV>
                <wp:extent cx="5724525" cy="485775"/>
                <wp:effectExtent l="0" t="0" r="28575" b="28575"/>
                <wp:wrapNone/>
                <wp:docPr id="224" name="Caixa de texto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485775"/>
                        </a:xfrm>
                        <a:prstGeom prst="rect">
                          <a:avLst/>
                        </a:prstGeom>
                        <a:solidFill>
                          <a:schemeClr val="bg1">
                            <a:lumMod val="100000"/>
                            <a:lumOff val="0"/>
                          </a:schemeClr>
                        </a:solidFill>
                        <a:ln w="9525">
                          <a:solidFill>
                            <a:srgbClr val="0070C0"/>
                          </a:solidFill>
                          <a:miter lim="800000"/>
                        </a:ln>
                      </wps:spPr>
                      <wps:txbx>
                        <w:txbxContent>
                          <w:p w14:paraId="55147872" w14:textId="14E1C9C5" w:rsidR="00FA41FC" w:rsidRDefault="00FA41FC">
                            <w:pPr>
                              <w:jc w:val="center"/>
                              <w:rPr>
                                <w:rFonts w:ascii="Swis721 Th BT" w:hAnsi="Swis721 Th BT"/>
                                <w:sz w:val="23"/>
                                <w:szCs w:val="23"/>
                              </w:rPr>
                            </w:pPr>
                            <w:r>
                              <w:rPr>
                                <w:rFonts w:ascii="Swis721 Th BT" w:hAnsi="Swis721 Th BT"/>
                                <w:sz w:val="23"/>
                                <w:szCs w:val="23"/>
                              </w:rPr>
                              <w:t xml:space="preserve">Para isso, 60 mulheres em idade reprodutiva (15-45 anos) com dor pélvica foram randomizadas em dois grupos, nos quais receberam durante oito semanas: </w:t>
                            </w:r>
                          </w:p>
                          <w:p w14:paraId="0D5D9D96"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224" o:spid="_x0000_s1102" type="#_x0000_t202" style="position:absolute;left:0;text-align:left;margin-left:.45pt;margin-top:7.65pt;width:450.75pt;height:38.25pt;z-index:2517811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" fillcolor="white [3212]" strokecolor="#0070c0">
                <v:textbox>
                  <w:txbxContent>
                    <w:p w14:paraId="55147872" w14:textId="14E1C9C5" w:rsidR="00FA41FC" w:rsidRDefault="00FA41FC">
                      <w:pPr>
                        <w:jc w:val="center"/>
                        <w:rPr>
                          <w:rFonts w:ascii="Swis721 Th BT" w:hAnsi="Swis721 Th BT"/>
                          <w:sz w:val="23"/>
                          <w:szCs w:val="23"/>
                        </w:rPr>
                      </w:pPr>
                      <w:r>
                        <w:rPr>
                          <w:rFonts w:ascii="Swis721 Th BT" w:hAnsi="Swis721 Th BT"/>
                          <w:sz w:val="23"/>
                          <w:szCs w:val="23"/>
                        </w:rPr>
                        <w:t xml:space="preserve">Para isso, 60 mulheres em idade reprodutiva (15-45 anos) com dor pélvica foram randomizadas em dois grupos, nos quais receberam durante oito semanas: </w:t>
                      </w:r>
                    </w:p>
                    <w:p w14:paraId="0D5D9D96"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5B7333BF" w14:textId="77777777" w:rsidR="00CD65C2" w:rsidRDefault="00CD65C2">
      <w:pPr>
        <w:pStyle w:val="Corpo"/>
        <w:rPr>
          <w:rFonts w:hint="eastAsia"/>
          <w:color w:val="404040" w:themeColor="text1" w:themeTint="BF"/>
        </w:rPr>
      </w:pPr>
    </w:p>
    <w:p w14:paraId="6D94FF53" w14:textId="77777777" w:rsidR="00CD65C2" w:rsidRDefault="00CD65C2">
      <w:pPr>
        <w:pStyle w:val="Corpo"/>
        <w:rPr>
          <w:rFonts w:hint="eastAsia"/>
          <w:color w:val="404040" w:themeColor="text1" w:themeTint="BF"/>
        </w:rPr>
      </w:pPr>
    </w:p>
    <w:p w14:paraId="0814044C"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779072"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229" name="Triângulo isósceles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29" o:spid="_x0000_s1026" o:spt="5" type="#_x0000_t5" style="position:absolute;left:0pt;flip:y;margin-left:65.25pt;margin-top:0.85pt;height:10.9pt;width:17.85pt;z-index:251779072;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rg23W&#10;AAAACAEAAA8AAAAAAAAAAQAgAAAAIgAAAGRycy9kb3ducmV2LnhtbFBLAQIUABQAAAAIAIdO4kBH&#10;26zyWwIAAKcEAAAOAAAAAAAAAAEAIAAAACUBAABkcnMvZTJvRG9jLnhtbFBLBQYAAAAABgAGAFkB&#10;AADyBQ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778048" behindDoc="0" locked="0" layoutInCell="1" allowOverlap="1">
                <wp:simplePos x="0" y="0"/>
                <wp:positionH relativeFrom="column">
                  <wp:posOffset>4664710</wp:posOffset>
                </wp:positionH>
                <wp:positionV relativeFrom="paragraph">
                  <wp:posOffset>10795</wp:posOffset>
                </wp:positionV>
                <wp:extent cx="226695" cy="138430"/>
                <wp:effectExtent l="0" t="0" r="1905" b="0"/>
                <wp:wrapNone/>
                <wp:docPr id="232" name="Triângulo isósceles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32" o:spid="_x0000_s1026" o:spt="5" type="#_x0000_t5" style="position:absolute;left:0pt;flip:y;margin-left:367.3pt;margin-top:0.85pt;height:10.9pt;width:17.85pt;z-index:251778048;mso-width-relative:page;mso-height-relative:page;" fillcolor="#D9D9D9 [3212]" filled="t" stroked="f" coordsize="21600,21600" o:gfxdata="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rIplbW&#10;AAAACAEAAA8AAAAAAAAAAQAgAAAAIgAAAGRycy9kb3ducmV2LnhtbFBLAQIUABQAAAAIAIdO4kDu&#10;HX3QWwIAAKcEAAAOAAAAAAAAAAEAIAAAACUBAABkcnMvZTJvRG9jLnhtbFBLBQYAAAAABgAGAFkB&#10;AADyBQAAAAA=&#10;" adj="10800">
                <v:fill on="t" focussize="0,0"/>
                <v:stroke on="f"/>
                <v:imagedata o:title=""/>
                <o:lock v:ext="edit" aspectratio="f"/>
              </v:shape>
            </w:pict>
          </mc:Fallback>
        </mc:AlternateContent>
      </w:r>
    </w:p>
    <w:p w14:paraId="02F595E1"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777024" behindDoc="0" locked="0" layoutInCell="1" allowOverlap="1">
                <wp:simplePos x="0" y="0"/>
                <wp:positionH relativeFrom="column">
                  <wp:posOffset>-3810</wp:posOffset>
                </wp:positionH>
                <wp:positionV relativeFrom="paragraph">
                  <wp:posOffset>89535</wp:posOffset>
                </wp:positionV>
                <wp:extent cx="1913890" cy="1000125"/>
                <wp:effectExtent l="0" t="0" r="10160" b="28575"/>
                <wp:wrapNone/>
                <wp:docPr id="233" name="Caixa de texto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000125"/>
                        </a:xfrm>
                        <a:prstGeom prst="rect">
                          <a:avLst/>
                        </a:prstGeom>
                        <a:solidFill>
                          <a:srgbClr val="0070C0"/>
                        </a:solidFill>
                        <a:ln w="9525">
                          <a:solidFill>
                            <a:srgbClr val="0070C0"/>
                          </a:solidFill>
                          <a:miter lim="800000"/>
                        </a:ln>
                      </wps:spPr>
                      <wps:txbx>
                        <w:txbxContent>
                          <w:p w14:paraId="3FB1573B"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116C5318"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C 500 mg</w:t>
                            </w:r>
                          </w:p>
                          <w:p w14:paraId="03BC7F56"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E 400 UI</w:t>
                            </w:r>
                          </w:p>
                          <w:p w14:paraId="716DC1E2"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Duas vezes ao dia</w:t>
                            </w:r>
                            <w:r>
                              <w:rPr>
                                <w:rFonts w:ascii="Swis721 Th BT" w:hAnsi="Swis721 Th BT"/>
                                <w:color w:val="FFFFFF" w:themeColor="background1"/>
                                <w:szCs w:val="23"/>
                              </w:rPr>
                              <w:t xml:space="preserve"> </w:t>
                            </w:r>
                          </w:p>
                          <w:p w14:paraId="1AB3EB6C"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233" o:spid="_x0000_s1103" type="#_x0000_t202" style="position:absolute;left:0;text-align:left;margin-left:-.3pt;margin-top:7.05pt;width:150.7pt;height:78.75pt;z-index:251777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" fillcolor="#0070c0" strokecolor="#0070c0">
                <v:textbox>
                  <w:txbxContent>
                    <w:p w14:paraId="3FB1573B"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116C5318"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C 500 mg</w:t>
                      </w:r>
                    </w:p>
                    <w:p w14:paraId="03BC7F56"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E 400 UI</w:t>
                      </w:r>
                    </w:p>
                    <w:p w14:paraId="716DC1E2"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Duas vezes ao dia</w:t>
                      </w:r>
                      <w:r>
                        <w:rPr>
                          <w:rFonts w:ascii="Swis721 Th BT" w:hAnsi="Swis721 Th BT"/>
                          <w:color w:val="FFFFFF" w:themeColor="background1"/>
                          <w:szCs w:val="23"/>
                        </w:rPr>
                        <w:t xml:space="preserve"> </w:t>
                      </w:r>
                    </w:p>
                    <w:p w14:paraId="1AB3EB6C"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780096" behindDoc="0" locked="0" layoutInCell="1" allowOverlap="1">
                <wp:simplePos x="0" y="0"/>
                <wp:positionH relativeFrom="column">
                  <wp:posOffset>3834765</wp:posOffset>
                </wp:positionH>
                <wp:positionV relativeFrom="paragraph">
                  <wp:posOffset>89535</wp:posOffset>
                </wp:positionV>
                <wp:extent cx="1905000" cy="1000125"/>
                <wp:effectExtent l="0" t="0" r="19050" b="28575"/>
                <wp:wrapNone/>
                <wp:docPr id="234" name="Caixa de texto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000125"/>
                        </a:xfrm>
                        <a:prstGeom prst="rect">
                          <a:avLst/>
                        </a:prstGeom>
                        <a:solidFill>
                          <a:srgbClr val="0070C0"/>
                        </a:solidFill>
                        <a:ln w="9525">
                          <a:solidFill>
                            <a:srgbClr val="0070C0"/>
                          </a:solidFill>
                          <a:miter lim="800000"/>
                        </a:ln>
                      </wps:spPr>
                      <wps:txbx>
                        <w:txbxContent>
                          <w:p w14:paraId="74641306"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14:paraId="3E3AD15B" w14:textId="77777777" w:rsidR="00FA41FC" w:rsidRDefault="00FA41FC">
                            <w:pPr>
                              <w:spacing w:after="0" w:line="240" w:lineRule="auto"/>
                              <w:jc w:val="center"/>
                              <w:rPr>
                                <w:rFonts w:ascii="Swis721 Th BT" w:hAnsi="Swis721 Th BT"/>
                                <w:b/>
                                <w:color w:val="FFFFFF" w:themeColor="background1"/>
                                <w:sz w:val="23"/>
                                <w:szCs w:val="23"/>
                              </w:rPr>
                            </w:pPr>
                          </w:p>
                          <w:p w14:paraId="717E536B"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16531507" w14:textId="77777777" w:rsidR="00FA41FC" w:rsidRDefault="00FA41FC">
                            <w:pPr>
                              <w:spacing w:after="0" w:line="240" w:lineRule="auto"/>
                              <w:jc w:val="center"/>
                              <w:rPr>
                                <w:rFonts w:ascii="Swis721 Th BT" w:hAnsi="Swis721 Th BT"/>
                                <w:b/>
                                <w:color w:val="FFFFFF" w:themeColor="background1"/>
                                <w:sz w:val="23"/>
                                <w:szCs w:val="23"/>
                              </w:rPr>
                            </w:pPr>
                          </w:p>
                          <w:p w14:paraId="0C5A696A" w14:textId="77777777" w:rsidR="00FA41FC" w:rsidRDefault="00FA41FC">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234" o:spid="_x0000_s1104" type="#_x0000_t202" style="position:absolute;left:0;text-align:left;margin-left:301.95pt;margin-top:7.05pt;width:150pt;height:78.75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" fillcolor="#0070c0" strokecolor="#0070c0">
                <v:textbox>
                  <w:txbxContent>
                    <w:p w14:paraId="74641306"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14:paraId="3E3AD15B" w14:textId="77777777" w:rsidR="00FA41FC" w:rsidRDefault="00FA41FC">
                      <w:pPr>
                        <w:spacing w:after="0" w:line="240" w:lineRule="auto"/>
                        <w:jc w:val="center"/>
                        <w:rPr>
                          <w:rFonts w:ascii="Swis721 Th BT" w:hAnsi="Swis721 Th BT"/>
                          <w:b/>
                          <w:color w:val="FFFFFF" w:themeColor="background1"/>
                          <w:sz w:val="23"/>
                          <w:szCs w:val="23"/>
                        </w:rPr>
                      </w:pPr>
                    </w:p>
                    <w:p w14:paraId="717E536B"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16531507" w14:textId="77777777" w:rsidR="00FA41FC" w:rsidRDefault="00FA41FC">
                      <w:pPr>
                        <w:spacing w:after="0" w:line="240" w:lineRule="auto"/>
                        <w:jc w:val="center"/>
                        <w:rPr>
                          <w:rFonts w:ascii="Swis721 Th BT" w:hAnsi="Swis721 Th BT"/>
                          <w:b/>
                          <w:color w:val="FFFFFF" w:themeColor="background1"/>
                          <w:sz w:val="23"/>
                          <w:szCs w:val="23"/>
                        </w:rPr>
                      </w:pPr>
                    </w:p>
                    <w:p w14:paraId="0C5A696A" w14:textId="77777777" w:rsidR="00FA41FC" w:rsidRDefault="00FA41FC">
                      <w:pPr>
                        <w:spacing w:after="0" w:line="240" w:lineRule="auto"/>
                        <w:jc w:val="center"/>
                      </w:pPr>
                    </w:p>
                  </w:txbxContent>
                </v:textbox>
              </v:shape>
            </w:pict>
          </mc:Fallback>
        </mc:AlternateContent>
      </w:r>
    </w:p>
    <w:p w14:paraId="038AC002" w14:textId="77777777" w:rsidR="00CD65C2" w:rsidRDefault="00CD65C2">
      <w:pPr>
        <w:pStyle w:val="Corpo"/>
        <w:rPr>
          <w:rFonts w:hint="eastAsia"/>
          <w:color w:val="404040" w:themeColor="text1" w:themeTint="BF"/>
        </w:rPr>
      </w:pPr>
    </w:p>
    <w:p w14:paraId="7CF4BE8D" w14:textId="77777777" w:rsidR="00CD65C2" w:rsidRDefault="00CD65C2">
      <w:pPr>
        <w:pStyle w:val="Corpo"/>
        <w:rPr>
          <w:rFonts w:hint="eastAsia"/>
          <w:color w:val="404040" w:themeColor="text1" w:themeTint="BF"/>
        </w:rPr>
      </w:pPr>
    </w:p>
    <w:p w14:paraId="543F1F68" w14:textId="77777777" w:rsidR="00CD65C2" w:rsidRDefault="00CD65C2">
      <w:pPr>
        <w:pStyle w:val="Corpo"/>
        <w:rPr>
          <w:rFonts w:hint="eastAsia"/>
          <w:color w:val="404040" w:themeColor="text1" w:themeTint="BF"/>
        </w:rPr>
      </w:pPr>
    </w:p>
    <w:p w14:paraId="14A4C01C" w14:textId="77777777" w:rsidR="00CD65C2" w:rsidRDefault="00CD65C2">
      <w:pPr>
        <w:pStyle w:val="Corpo"/>
        <w:spacing w:before="120"/>
        <w:rPr>
          <w:rFonts w:hint="eastAsia"/>
          <w:color w:val="404040" w:themeColor="text1" w:themeTint="BF"/>
          <w:sz w:val="20"/>
        </w:rPr>
      </w:pPr>
    </w:p>
    <w:p w14:paraId="0F6AB828" w14:textId="77777777" w:rsidR="00CD65C2" w:rsidRDefault="00CD65C2">
      <w:pPr>
        <w:pStyle w:val="Corpo"/>
        <w:spacing w:before="120"/>
        <w:rPr>
          <w:rFonts w:hint="eastAsia"/>
          <w:color w:val="404040" w:themeColor="text1" w:themeTint="BF"/>
          <w:sz w:val="20"/>
        </w:rPr>
      </w:pPr>
    </w:p>
    <w:p w14:paraId="0C27A309"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67A65534"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731F89EC" w14:textId="77777777" w:rsidR="00CD65C2" w:rsidRDefault="00CD65C2">
      <w:pPr>
        <w:pStyle w:val="Corpo"/>
        <w:rPr>
          <w:rFonts w:hint="eastAsia"/>
          <w:b/>
          <w:color w:val="404040" w:themeColor="text1" w:themeTint="BF"/>
          <w:szCs w:val="23"/>
        </w:rPr>
      </w:pPr>
    </w:p>
    <w:p w14:paraId="1BFB215E" w14:textId="46AA2887"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Após o tratamento com vitamina C e vitamina E, encontrou-se uma redução significativa em MDA e ROS em comparação com o grupo placebo;</w:t>
      </w:r>
    </w:p>
    <w:p w14:paraId="0C3BC5BB" w14:textId="77777777"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Não houve declínio significativo na capacidade antioxidante total após o tratamento;</w:t>
      </w:r>
    </w:p>
    <w:p w14:paraId="6C1D3B59" w14:textId="56A7CE88"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 xml:space="preserve">A gravidade da dor pélvica </w:t>
      </w:r>
      <w:r>
        <w:rPr>
          <w:rFonts w:hint="eastAsia"/>
          <w:color w:val="404040" w:themeColor="text1" w:themeTint="BF"/>
          <w:sz w:val="24"/>
        </w:rPr>
        <w:t>(</w:t>
      </w:r>
      <w:r w:rsidRPr="00D1428E">
        <w:rPr>
          <w:rFonts w:hint="eastAsia"/>
          <w:color w:val="404040" w:themeColor="text1" w:themeTint="BF"/>
          <w:sz w:val="24"/>
        </w:rPr>
        <w:t>p</w:t>
      </w:r>
      <w:r>
        <w:rPr>
          <w:rFonts w:hint="cs"/>
          <w:color w:val="404040" w:themeColor="text1" w:themeTint="BF"/>
          <w:sz w:val="24"/>
        </w:rPr>
        <w:t> </w:t>
      </w:r>
      <w:r>
        <w:rPr>
          <w:rFonts w:hint="eastAsia"/>
          <w:color w:val="404040" w:themeColor="text1" w:themeTint="BF"/>
          <w:sz w:val="24"/>
        </w:rPr>
        <w:t>&lt;</w:t>
      </w:r>
      <w:r>
        <w:rPr>
          <w:color w:val="404040" w:themeColor="text1" w:themeTint="BF"/>
          <w:sz w:val="24"/>
        </w:rPr>
        <w:t xml:space="preserve"> </w:t>
      </w:r>
      <w:r>
        <w:rPr>
          <w:rFonts w:hint="eastAsia"/>
          <w:color w:val="404040" w:themeColor="text1" w:themeTint="BF"/>
          <w:sz w:val="24"/>
        </w:rPr>
        <w:t>0,001), dismenorreia (</w:t>
      </w:r>
      <w:r w:rsidRPr="00D1428E">
        <w:rPr>
          <w:rFonts w:hint="eastAsia"/>
          <w:color w:val="404040" w:themeColor="text1" w:themeTint="BF"/>
          <w:sz w:val="24"/>
        </w:rPr>
        <w:t>p</w:t>
      </w:r>
      <w:r>
        <w:rPr>
          <w:rFonts w:hint="cs"/>
          <w:color w:val="404040" w:themeColor="text1" w:themeTint="BF"/>
          <w:sz w:val="24"/>
        </w:rPr>
        <w:t> </w:t>
      </w:r>
      <w:r>
        <w:rPr>
          <w:rFonts w:hint="eastAsia"/>
          <w:color w:val="404040" w:themeColor="text1" w:themeTint="BF"/>
          <w:sz w:val="24"/>
        </w:rPr>
        <w:t>&lt;</w:t>
      </w:r>
      <w:r>
        <w:rPr>
          <w:color w:val="404040" w:themeColor="text1" w:themeTint="BF"/>
          <w:sz w:val="24"/>
        </w:rPr>
        <w:t xml:space="preserve"> </w:t>
      </w:r>
      <w:r>
        <w:rPr>
          <w:rFonts w:hint="eastAsia"/>
          <w:color w:val="404040" w:themeColor="text1" w:themeTint="BF"/>
          <w:sz w:val="24"/>
        </w:rPr>
        <w:t>0,001) e dispareunia (</w:t>
      </w:r>
      <w:r w:rsidRPr="00D1428E">
        <w:rPr>
          <w:rFonts w:hint="eastAsia"/>
          <w:color w:val="404040" w:themeColor="text1" w:themeTint="BF"/>
          <w:sz w:val="24"/>
        </w:rPr>
        <w:t>p</w:t>
      </w:r>
      <w:r>
        <w:rPr>
          <w:rFonts w:hint="cs"/>
          <w:color w:val="404040" w:themeColor="text1" w:themeTint="BF"/>
          <w:sz w:val="24"/>
        </w:rPr>
        <w:t> </w:t>
      </w:r>
      <w:r>
        <w:rPr>
          <w:rFonts w:hint="eastAsia"/>
          <w:color w:val="404040" w:themeColor="text1" w:themeTint="BF"/>
          <w:sz w:val="24"/>
        </w:rPr>
        <w:t>&lt;</w:t>
      </w:r>
      <w:r>
        <w:rPr>
          <w:color w:val="404040" w:themeColor="text1" w:themeTint="BF"/>
          <w:sz w:val="24"/>
        </w:rPr>
        <w:t xml:space="preserve"> </w:t>
      </w:r>
      <w:r>
        <w:rPr>
          <w:rFonts w:hint="eastAsia"/>
          <w:color w:val="404040" w:themeColor="text1" w:themeTint="BF"/>
          <w:sz w:val="24"/>
        </w:rPr>
        <w:t xml:space="preserve">0,001) diminuiu significativamente no grupo </w:t>
      </w:r>
      <w:r>
        <w:rPr>
          <w:color w:val="404040" w:themeColor="text1" w:themeTint="BF"/>
          <w:sz w:val="24"/>
        </w:rPr>
        <w:t>tratamento ap</w:t>
      </w:r>
      <w:r>
        <w:rPr>
          <w:rFonts w:hint="cs"/>
          <w:color w:val="404040" w:themeColor="text1" w:themeTint="BF"/>
          <w:sz w:val="24"/>
        </w:rPr>
        <w:t>ó</w:t>
      </w:r>
      <w:r>
        <w:rPr>
          <w:color w:val="404040" w:themeColor="text1" w:themeTint="BF"/>
          <w:sz w:val="24"/>
        </w:rPr>
        <w:t>s oito semanas de suplementa</w:t>
      </w:r>
      <w:r>
        <w:rPr>
          <w:rFonts w:hint="cs"/>
          <w:color w:val="404040" w:themeColor="text1" w:themeTint="BF"/>
          <w:sz w:val="24"/>
        </w:rPr>
        <w:t>çã</w:t>
      </w:r>
      <w:r>
        <w:rPr>
          <w:color w:val="404040" w:themeColor="text1" w:themeTint="BF"/>
          <w:sz w:val="24"/>
        </w:rPr>
        <w:t>o.</w:t>
      </w:r>
    </w:p>
    <w:p w14:paraId="387AA9D0"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54D15A5E"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 xml:space="preserve">Conclusão: </w:t>
      </w:r>
    </w:p>
    <w:p w14:paraId="7E849EC3"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40CB9E25" w14:textId="7EAB21A7" w:rsidR="00CD65C2" w:rsidRDefault="00FA41FC">
      <w:pPr>
        <w:pStyle w:val="Corpo"/>
        <w:jc w:val="center"/>
        <w:rPr>
          <w:rFonts w:hint="eastAsia"/>
          <w:color w:val="404040" w:themeColor="text1" w:themeTint="BF"/>
        </w:rPr>
      </w:pPr>
      <w:r>
        <w:rPr>
          <w:b/>
          <w:i/>
          <w:color w:val="404040" w:themeColor="text1" w:themeTint="BF"/>
        </w:rPr>
        <w:t>Os resultados deste estudo apoiam o papel dos antioxidantes no tratamento da endometriose. A ingestão de suplementos de vitamina C e vitamina E reduziu efetivamente a gravidade da dismenorreia e melhorou a dispareunia e a intensidade da dor pélvica.</w:t>
      </w:r>
    </w:p>
    <w:p w14:paraId="5E7EBC4B" w14:textId="77777777" w:rsidR="00CD65C2" w:rsidRDefault="00CD65C2">
      <w:pPr>
        <w:pStyle w:val="Corpo"/>
        <w:jc w:val="center"/>
        <w:rPr>
          <w:rFonts w:hint="eastAsia"/>
          <w:b/>
          <w:bCs/>
          <w:i/>
          <w:color w:val="404040" w:themeColor="text1" w:themeTint="BF"/>
        </w:rPr>
      </w:pPr>
    </w:p>
    <w:p w14:paraId="3F0A74B2" w14:textId="77777777" w:rsidR="00CD65C2" w:rsidRDefault="00CD65C2">
      <w:pPr>
        <w:pStyle w:val="Corpo"/>
        <w:jc w:val="center"/>
        <w:rPr>
          <w:rFonts w:hint="eastAsia"/>
          <w:b/>
          <w:bCs/>
          <w:i/>
          <w:color w:val="404040" w:themeColor="text1" w:themeTint="BF"/>
        </w:rPr>
      </w:pPr>
    </w:p>
    <w:p w14:paraId="0F2B9647" w14:textId="77777777" w:rsidR="00CD65C2" w:rsidRDefault="00FA41FC">
      <w:pPr>
        <w:pStyle w:val="Ttulo1"/>
        <w:jc w:val="center"/>
        <w:rPr>
          <w:rFonts w:hint="eastAsia"/>
        </w:rPr>
      </w:pPr>
      <w:bookmarkStart w:id="62" w:name="_Toc165537213"/>
      <w:r>
        <w:t>Formulário</w:t>
      </w:r>
      <w:bookmarkEnd w:id="62"/>
    </w:p>
    <w:p w14:paraId="1630CB75" w14:textId="77777777" w:rsidR="00CD65C2" w:rsidRDefault="00CD65C2">
      <w:pPr>
        <w:pStyle w:val="Corpo"/>
        <w:rPr>
          <w:rFonts w:hint="eastAsia"/>
          <w:b/>
          <w:i/>
          <w:color w:val="404040" w:themeColor="text1" w:themeTint="BF"/>
        </w:rPr>
      </w:pPr>
    </w:p>
    <w:p w14:paraId="68F9FAAE" w14:textId="77777777" w:rsidR="00CD65C2" w:rsidRDefault="00CD65C2">
      <w:pPr>
        <w:pStyle w:val="Corpo"/>
        <w:rPr>
          <w:rFonts w:hint="eastAsia"/>
          <w:b/>
          <w:i/>
          <w:color w:val="404040" w:themeColor="text1" w:themeTint="BF"/>
        </w:rPr>
      </w:pPr>
    </w:p>
    <w:p w14:paraId="5912C15F" w14:textId="77777777" w:rsidR="00CD65C2" w:rsidRDefault="00FA41FC">
      <w:pPr>
        <w:pStyle w:val="Corpo"/>
        <w:rPr>
          <w:rFonts w:hint="eastAsia"/>
          <w:b/>
          <w:i/>
          <w:color w:val="404040" w:themeColor="text1" w:themeTint="BF"/>
          <w:sz w:val="24"/>
        </w:rPr>
      </w:pPr>
      <w:r>
        <w:rPr>
          <w:b/>
          <w:i/>
          <w:color w:val="404040" w:themeColor="text1" w:themeTint="BF"/>
          <w:sz w:val="24"/>
        </w:rPr>
        <w:t xml:space="preserve">Vitamina C e Vitamina E Melhoram a Dor Associada a Endometriose </w:t>
      </w:r>
    </w:p>
    <w:p w14:paraId="3F914363" w14:textId="77777777" w:rsidR="00CD65C2" w:rsidRDefault="00FA41FC">
      <w:pPr>
        <w:pStyle w:val="Corpo"/>
        <w:rPr>
          <w:rFonts w:hint="eastAsia"/>
          <w:color w:val="404040" w:themeColor="text1" w:themeTint="BF"/>
        </w:rPr>
      </w:pPr>
      <w:r>
        <w:rPr>
          <w:noProof/>
          <w:color w:val="404040" w:themeColor="text1" w:themeTint="BF"/>
          <w:sz w:val="16"/>
          <w:szCs w:val="16"/>
          <w:lang w:eastAsia="pt-BR"/>
        </w:rPr>
        <mc:AlternateContent>
          <mc:Choice Requires="wps">
            <w:drawing>
              <wp:anchor distT="0" distB="0" distL="114300" distR="114300" simplePos="0" relativeHeight="251783168" behindDoc="0" locked="0" layoutInCell="1" allowOverlap="1">
                <wp:simplePos x="0" y="0"/>
                <wp:positionH relativeFrom="margin">
                  <wp:posOffset>3246120</wp:posOffset>
                </wp:positionH>
                <wp:positionV relativeFrom="paragraph">
                  <wp:posOffset>226695</wp:posOffset>
                </wp:positionV>
                <wp:extent cx="2501265" cy="1351280"/>
                <wp:effectExtent l="0" t="0" r="0" b="1905"/>
                <wp:wrapNone/>
                <wp:docPr id="239" name="Caixa de texto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1351129"/>
                        </a:xfrm>
                        <a:prstGeom prst="rect">
                          <a:avLst/>
                        </a:prstGeom>
                        <a:solidFill>
                          <a:schemeClr val="bg2">
                            <a:lumMod val="100000"/>
                            <a:lumOff val="0"/>
                          </a:schemeClr>
                        </a:solidFill>
                        <a:ln>
                          <a:noFill/>
                        </a:ln>
                      </wps:spPr>
                      <wps:txbx>
                        <w:txbxContent>
                          <w:p w14:paraId="511A97C0" w14:textId="77777777" w:rsidR="00FA41FC" w:rsidRDefault="00FA41FC">
                            <w:pPr>
                              <w:pStyle w:val="Corpo"/>
                              <w:rPr>
                                <w:rFonts w:hint="eastAsia"/>
                                <w:color w:val="404040" w:themeColor="text1" w:themeTint="BF"/>
                                <w:sz w:val="18"/>
                                <w:szCs w:val="18"/>
                              </w:rPr>
                            </w:pPr>
                            <w:r>
                              <w:rPr>
                                <w:color w:val="404040" w:themeColor="text1" w:themeTint="BF"/>
                                <w:sz w:val="18"/>
                                <w:szCs w:val="18"/>
                              </w:rPr>
                              <w:t xml:space="preserve">De acordo com Santanam </w:t>
                            </w:r>
                            <w:r>
                              <w:rPr>
                                <w:i/>
                                <w:color w:val="404040" w:themeColor="text1" w:themeTint="BF"/>
                                <w:sz w:val="18"/>
                                <w:szCs w:val="18"/>
                              </w:rPr>
                              <w:t>et al</w:t>
                            </w:r>
                            <w:r>
                              <w:rPr>
                                <w:color w:val="404040" w:themeColor="text1" w:themeTint="BF"/>
                                <w:sz w:val="18"/>
                                <w:szCs w:val="18"/>
                              </w:rPr>
                              <w:t>. (2013), a associação de vitamina E e C em mulheres com dor pélvica e histórico de endometriose ou infertilidade resultou em melhora da dor crônica em 43% dos pacientes, redução da dismenorreia e dispareunia em 37% e 24%, respectivamente, além de diminuição dos marcadores inflamatórios em comparação ao placebo.</w:t>
                            </w:r>
                          </w:p>
                          <w:p w14:paraId="043C7A25" w14:textId="77777777" w:rsidR="00FA41FC" w:rsidRDefault="00FA41FC">
                            <w:pPr>
                              <w:pStyle w:val="Corpo"/>
                              <w:spacing w:line="276" w:lineRule="auto"/>
                              <w:rPr>
                                <w:rFonts w:hint="eastAsia"/>
                                <w:color w:val="404040" w:themeColor="text1" w:themeTint="BF"/>
                                <w:sz w:val="18"/>
                                <w:szCs w:val="18"/>
                              </w:rPr>
                            </w:pPr>
                          </w:p>
                        </w:txbxContent>
                      </wps:txbx>
                      <wps:bodyPr rot="0" vert="horz" wrap="square" lIns="91440" tIns="45720" rIns="91440" bIns="45720" anchor="t" anchorCtr="0" upright="1">
                        <a:noAutofit/>
                      </wps:bodyPr>
                    </wps:wsp>
                  </a:graphicData>
                </a:graphic>
              </wp:anchor>
            </w:drawing>
          </mc:Choice>
          <mc:Fallback>
            <w:pict>
              <v:shape id="Caixa de texto 239" o:spid="_x0000_s1105" type="#_x0000_t202" style="position:absolute;left:0;text-align:left;margin-left:255.6pt;margin-top:17.85pt;width:196.95pt;height:106.4pt;z-index:2517831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" fillcolor="#e7e6e6 [3214]" stroked="f">
                <v:textbox>
                  <w:txbxContent>
                    <w:p w14:paraId="511A97C0" w14:textId="77777777" w:rsidR="00FA41FC" w:rsidRDefault="00FA41FC">
                      <w:pPr>
                        <w:pStyle w:val="Corpo"/>
                        <w:rPr>
                          <w:rFonts w:hint="eastAsia"/>
                          <w:color w:val="404040" w:themeColor="text1" w:themeTint="BF"/>
                          <w:sz w:val="18"/>
                          <w:szCs w:val="18"/>
                        </w:rPr>
                      </w:pPr>
                      <w:r>
                        <w:rPr>
                          <w:color w:val="404040" w:themeColor="text1" w:themeTint="BF"/>
                          <w:sz w:val="18"/>
                          <w:szCs w:val="18"/>
                        </w:rPr>
                        <w:t xml:space="preserve">De acordo com Santanam </w:t>
                      </w:r>
                      <w:r>
                        <w:rPr>
                          <w:i/>
                          <w:color w:val="404040" w:themeColor="text1" w:themeTint="BF"/>
                          <w:sz w:val="18"/>
                          <w:szCs w:val="18"/>
                        </w:rPr>
                        <w:t>et al</w:t>
                      </w:r>
                      <w:r>
                        <w:rPr>
                          <w:color w:val="404040" w:themeColor="text1" w:themeTint="BF"/>
                          <w:sz w:val="18"/>
                          <w:szCs w:val="18"/>
                        </w:rPr>
                        <w:t>. (2013), a associação de vitamina E e C em mulheres com dor pélvica e histórico de endometriose ou infertilidade resultou em melhora da dor crônica em 43% dos pacientes, redução da dismenorreia e dispareunia em 37% e 24%, respectivamente, além de diminuição dos marcadores inflamatórios em comparação ao placebo.</w:t>
                      </w:r>
                    </w:p>
                    <w:p w14:paraId="043C7A25" w14:textId="77777777" w:rsidR="00FA41FC" w:rsidRDefault="00FA41FC">
                      <w:pPr>
                        <w:pStyle w:val="Corpo"/>
                        <w:spacing w:line="276" w:lineRule="auto"/>
                        <w:rPr>
                          <w:rFonts w:hint="eastAsia"/>
                          <w:color w:val="404040" w:themeColor="text1" w:themeTint="BF"/>
                          <w:sz w:val="18"/>
                          <w:szCs w:val="18"/>
                        </w:rPr>
                      </w:pPr>
                    </w:p>
                  </w:txbxContent>
                </v:textbox>
                <w10:wrap anchorx="margin"/>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23D4CD17"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1F26854E" w14:textId="77777777" w:rsidR="00CD65C2" w:rsidRDefault="00FA41FC">
            <w:pPr>
              <w:pStyle w:val="Corpo"/>
              <w:jc w:val="center"/>
              <w:rPr>
                <w:rFonts w:hint="eastAsia"/>
                <w:b/>
                <w:color w:val="FFFFFF" w:themeColor="background1"/>
              </w:rPr>
            </w:pPr>
            <w:r>
              <w:rPr>
                <w:b/>
                <w:color w:val="FFFFFF" w:themeColor="background1"/>
                <w:sz w:val="22"/>
              </w:rPr>
              <w:t>Cápsulas de Vitamina C + Vitamina E</w:t>
            </w:r>
          </w:p>
        </w:tc>
      </w:tr>
      <w:tr w:rsidR="00CD65C2" w14:paraId="09A218C4"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5CCB755" w14:textId="77777777" w:rsidR="00CD65C2" w:rsidRDefault="00FA41FC">
            <w:pPr>
              <w:pStyle w:val="Corpo"/>
              <w:rPr>
                <w:rFonts w:hint="eastAsia"/>
                <w:color w:val="404040" w:themeColor="text1" w:themeTint="BF"/>
              </w:rPr>
            </w:pPr>
            <w:r>
              <w:rPr>
                <w:color w:val="404040" w:themeColor="text1" w:themeTint="BF"/>
              </w:rPr>
              <w:t>Vitamina C......................................500 mg</w:t>
            </w:r>
          </w:p>
        </w:tc>
      </w:tr>
      <w:tr w:rsidR="00CD65C2" w14:paraId="5B4C301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A9CC55C" w14:textId="77777777" w:rsidR="00CD65C2" w:rsidRDefault="00FA41FC">
            <w:pPr>
              <w:pStyle w:val="Corpo"/>
              <w:rPr>
                <w:rFonts w:hint="eastAsia"/>
                <w:color w:val="404040" w:themeColor="text1" w:themeTint="BF"/>
              </w:rPr>
            </w:pPr>
            <w:r>
              <w:rPr>
                <w:color w:val="404040" w:themeColor="text1" w:themeTint="BF"/>
              </w:rPr>
              <w:t>Vitamina E........................................400 UI</w:t>
            </w:r>
          </w:p>
        </w:tc>
      </w:tr>
      <w:tr w:rsidR="00CD65C2" w14:paraId="74D4E299"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4DCC742" w14:textId="0636F33D" w:rsidR="00CD65C2" w:rsidRDefault="00FA41FC">
            <w:pPr>
              <w:pStyle w:val="Corpo"/>
              <w:rPr>
                <w:rFonts w:hint="eastAsia"/>
                <w:color w:val="404040" w:themeColor="text1" w:themeTint="BF"/>
              </w:rPr>
            </w:pPr>
            <w:r>
              <w:rPr>
                <w:color w:val="404040" w:themeColor="text1" w:themeTint="BF"/>
              </w:rPr>
              <w:t>Excipiente q.s.p. ........................1 Cápsula</w:t>
            </w:r>
          </w:p>
        </w:tc>
      </w:tr>
    </w:tbl>
    <w:p w14:paraId="26060D8E" w14:textId="77777777" w:rsidR="00CD65C2" w:rsidRDefault="00FA41FC">
      <w:pPr>
        <w:pStyle w:val="Corpo"/>
        <w:ind w:right="4818"/>
        <w:jc w:val="center"/>
        <w:rPr>
          <w:rFonts w:hint="eastAsia"/>
          <w:color w:val="404040" w:themeColor="text1" w:themeTint="BF"/>
          <w:sz w:val="22"/>
          <w:szCs w:val="22"/>
        </w:rPr>
      </w:pPr>
      <w:r>
        <w:rPr>
          <w:color w:val="404040" w:themeColor="text1" w:themeTint="BF"/>
          <w:sz w:val="22"/>
          <w:szCs w:val="22"/>
        </w:rPr>
        <w:t>Administrar 1 cápsula duas vezes ao dia ou conforme orientação médica.</w:t>
      </w:r>
    </w:p>
    <w:p w14:paraId="5142D1BC" w14:textId="77777777" w:rsidR="00CD65C2" w:rsidRDefault="00CD65C2">
      <w:pPr>
        <w:pStyle w:val="Corpo"/>
        <w:rPr>
          <w:rFonts w:hint="eastAsia"/>
          <w:b/>
          <w:i/>
          <w:color w:val="404040" w:themeColor="text1" w:themeTint="BF"/>
          <w:sz w:val="24"/>
        </w:rPr>
      </w:pPr>
    </w:p>
    <w:p w14:paraId="0B74E846" w14:textId="77777777" w:rsidR="00CD65C2" w:rsidRDefault="00CD65C2">
      <w:pPr>
        <w:pStyle w:val="Corpo"/>
        <w:rPr>
          <w:rFonts w:hint="eastAsia"/>
          <w:b/>
          <w:i/>
          <w:color w:val="404040" w:themeColor="text1" w:themeTint="BF"/>
          <w:sz w:val="14"/>
        </w:rPr>
      </w:pPr>
    </w:p>
    <w:p w14:paraId="1EFF8A24" w14:textId="77777777" w:rsidR="00CD65C2" w:rsidRDefault="00CD65C2">
      <w:pPr>
        <w:pStyle w:val="SemEspaamento"/>
      </w:pPr>
    </w:p>
    <w:p w14:paraId="4C635035" w14:textId="77777777" w:rsidR="00CD65C2" w:rsidRDefault="00CD65C2">
      <w:pPr>
        <w:pStyle w:val="SemEspaamento"/>
      </w:pPr>
    </w:p>
    <w:p w14:paraId="1908E5E3" w14:textId="77777777" w:rsidR="00CD65C2" w:rsidRDefault="00CD65C2">
      <w:pPr>
        <w:pStyle w:val="SemEspaamento"/>
      </w:pPr>
    </w:p>
    <w:p w14:paraId="0567E6C6" w14:textId="77777777" w:rsidR="00CD65C2" w:rsidRDefault="00CD65C2">
      <w:pPr>
        <w:pStyle w:val="SemEspaamento"/>
      </w:pPr>
    </w:p>
    <w:p w14:paraId="7E0CDAF8" w14:textId="77777777" w:rsidR="00CD65C2" w:rsidRDefault="00CD65C2">
      <w:pPr>
        <w:pStyle w:val="SemEspaamento"/>
      </w:pPr>
    </w:p>
    <w:p w14:paraId="4E396044" w14:textId="77777777" w:rsidR="00CD65C2" w:rsidRDefault="00CD65C2">
      <w:pPr>
        <w:pStyle w:val="SemEspaamento"/>
      </w:pPr>
    </w:p>
    <w:p w14:paraId="0A2EFA6E" w14:textId="77777777" w:rsidR="00CD65C2" w:rsidRDefault="00CD65C2">
      <w:pPr>
        <w:pStyle w:val="SemEspaamento"/>
      </w:pPr>
    </w:p>
    <w:p w14:paraId="474A0CC0" w14:textId="77777777" w:rsidR="00CD65C2" w:rsidRDefault="00CD65C2">
      <w:pPr>
        <w:pStyle w:val="SemEspaamento"/>
      </w:pPr>
    </w:p>
    <w:p w14:paraId="7ED803D4" w14:textId="77777777" w:rsidR="00CD65C2" w:rsidRDefault="00CD65C2">
      <w:pPr>
        <w:pStyle w:val="SemEspaamento"/>
      </w:pPr>
    </w:p>
    <w:p w14:paraId="4017D34D" w14:textId="77777777" w:rsidR="00CD65C2" w:rsidRDefault="00CD65C2">
      <w:pPr>
        <w:pStyle w:val="SemEspaamento"/>
      </w:pPr>
    </w:p>
    <w:p w14:paraId="6D121167" w14:textId="77777777" w:rsidR="00CD65C2" w:rsidRDefault="00CD65C2">
      <w:pPr>
        <w:pStyle w:val="SemEspaamento"/>
      </w:pPr>
    </w:p>
    <w:p w14:paraId="693293DA" w14:textId="77777777" w:rsidR="00CD65C2" w:rsidRDefault="00CD65C2">
      <w:pPr>
        <w:pStyle w:val="SemEspaamento"/>
      </w:pPr>
    </w:p>
    <w:p w14:paraId="545F00B7" w14:textId="77777777" w:rsidR="00CD65C2" w:rsidRDefault="00CD65C2">
      <w:pPr>
        <w:pStyle w:val="SemEspaamento"/>
      </w:pPr>
    </w:p>
    <w:p w14:paraId="5BAB433F" w14:textId="77777777" w:rsidR="00CD65C2" w:rsidRDefault="00CD65C2">
      <w:pPr>
        <w:pStyle w:val="SemEspaamento"/>
      </w:pPr>
    </w:p>
    <w:p w14:paraId="543FAEC3" w14:textId="77777777" w:rsidR="00CD65C2" w:rsidRDefault="00CD65C2">
      <w:pPr>
        <w:pStyle w:val="SemEspaamento"/>
      </w:pPr>
    </w:p>
    <w:p w14:paraId="2A2057BE" w14:textId="77777777" w:rsidR="00CD65C2" w:rsidRDefault="00CD65C2">
      <w:pPr>
        <w:pStyle w:val="SemEspaamento"/>
      </w:pPr>
    </w:p>
    <w:p w14:paraId="35D2D2E4" w14:textId="77777777" w:rsidR="00CD65C2" w:rsidRDefault="00CD65C2">
      <w:pPr>
        <w:pStyle w:val="SemEspaamento"/>
      </w:pPr>
    </w:p>
    <w:p w14:paraId="73F13783" w14:textId="77777777" w:rsidR="00CD65C2" w:rsidRDefault="00CD65C2">
      <w:pPr>
        <w:pStyle w:val="SemEspaamento"/>
      </w:pPr>
    </w:p>
    <w:p w14:paraId="07EB8FC2" w14:textId="77777777" w:rsidR="00CD65C2" w:rsidRDefault="00CD65C2">
      <w:pPr>
        <w:pStyle w:val="SemEspaamento"/>
      </w:pPr>
    </w:p>
    <w:p w14:paraId="72F6BFFE" w14:textId="77777777" w:rsidR="00CD65C2" w:rsidRDefault="00CD65C2">
      <w:pPr>
        <w:pStyle w:val="SemEspaamento"/>
      </w:pPr>
    </w:p>
    <w:p w14:paraId="7F306E27" w14:textId="77777777" w:rsidR="00CD65C2" w:rsidRDefault="00CD65C2">
      <w:pPr>
        <w:pStyle w:val="SemEspaamento"/>
      </w:pPr>
    </w:p>
    <w:p w14:paraId="7FFECA2C" w14:textId="77777777" w:rsidR="00CD65C2" w:rsidRDefault="00CD65C2">
      <w:pPr>
        <w:pStyle w:val="SemEspaamento"/>
      </w:pPr>
    </w:p>
    <w:p w14:paraId="6C9EEB80" w14:textId="77777777" w:rsidR="00CD65C2" w:rsidRDefault="00CD65C2">
      <w:pPr>
        <w:pStyle w:val="SemEspaamento"/>
      </w:pPr>
    </w:p>
    <w:p w14:paraId="27BD6E89" w14:textId="77777777" w:rsidR="00CD65C2" w:rsidRDefault="00CD65C2">
      <w:pPr>
        <w:pStyle w:val="SemEspaamento"/>
      </w:pPr>
    </w:p>
    <w:p w14:paraId="294639F0" w14:textId="77777777" w:rsidR="00CD65C2" w:rsidRDefault="00CD65C2">
      <w:pPr>
        <w:pStyle w:val="SemEspaamento"/>
      </w:pPr>
    </w:p>
    <w:p w14:paraId="06298090" w14:textId="77777777" w:rsidR="00CD65C2" w:rsidRDefault="00CD65C2">
      <w:pPr>
        <w:pStyle w:val="SemEspaamento"/>
      </w:pPr>
    </w:p>
    <w:p w14:paraId="0135B5A9" w14:textId="77777777" w:rsidR="00CD65C2" w:rsidRDefault="00CD65C2">
      <w:pPr>
        <w:pStyle w:val="SemEspaamento"/>
      </w:pPr>
    </w:p>
    <w:p w14:paraId="0486C15B" w14:textId="77777777" w:rsidR="00CD65C2" w:rsidRDefault="00CD65C2">
      <w:pPr>
        <w:pStyle w:val="SemEspaamento"/>
      </w:pPr>
    </w:p>
    <w:p w14:paraId="40B472F0" w14:textId="77777777" w:rsidR="00CD65C2" w:rsidRDefault="00FA41FC">
      <w:pPr>
        <w:pStyle w:val="Ttulo1"/>
        <w:jc w:val="center"/>
        <w:rPr>
          <w:rFonts w:hint="eastAsia"/>
        </w:rPr>
      </w:pPr>
      <w:bookmarkStart w:id="63" w:name="_Toc165537214"/>
      <w:r>
        <w:rPr>
          <w:bCs/>
          <w:iCs/>
        </w:rPr>
        <w:t>Vitamina D</w:t>
      </w:r>
      <w:bookmarkEnd w:id="63"/>
    </w:p>
    <w:p w14:paraId="65AA2CF9" w14:textId="77777777" w:rsidR="00CD65C2" w:rsidRPr="00D1428E" w:rsidRDefault="00FA41FC">
      <w:pPr>
        <w:pStyle w:val="Corpo"/>
        <w:jc w:val="center"/>
        <w:rPr>
          <w:rFonts w:hint="eastAsia"/>
          <w:color w:val="0070C0"/>
          <w:sz w:val="24"/>
        </w:rPr>
      </w:pPr>
      <w:r w:rsidRPr="00D1428E">
        <w:rPr>
          <w:b/>
          <w:bCs/>
          <w:color w:val="0070C0"/>
          <w:sz w:val="40"/>
          <w:szCs w:val="22"/>
        </w:rPr>
        <w:t>Melhora a Dor Pélvica e Outros Parâmetros na Endometriose</w:t>
      </w:r>
    </w:p>
    <w:p w14:paraId="4C8C277F" w14:textId="77777777" w:rsidR="00CD65C2" w:rsidRDefault="00CD65C2">
      <w:pPr>
        <w:pStyle w:val="Corpo"/>
        <w:spacing w:after="120"/>
        <w:rPr>
          <w:rFonts w:hint="eastAsia"/>
          <w:color w:val="404040" w:themeColor="text1" w:themeTint="BF"/>
          <w:sz w:val="24"/>
        </w:rPr>
      </w:pPr>
    </w:p>
    <w:p w14:paraId="37D40136" w14:textId="77777777" w:rsidR="00CD65C2" w:rsidRDefault="00CD65C2">
      <w:pPr>
        <w:pStyle w:val="Corpo"/>
        <w:spacing w:line="276" w:lineRule="auto"/>
        <w:rPr>
          <w:rFonts w:hint="eastAsia"/>
          <w:color w:val="404040" w:themeColor="text1" w:themeTint="BF"/>
          <w:szCs w:val="23"/>
        </w:rPr>
      </w:pPr>
    </w:p>
    <w:p w14:paraId="5B3F58CC" w14:textId="77777777" w:rsidR="00CD65C2" w:rsidRDefault="00FA41FC">
      <w:pPr>
        <w:pStyle w:val="Corpo"/>
        <w:spacing w:line="276" w:lineRule="auto"/>
        <w:rPr>
          <w:rFonts w:hint="eastAsia"/>
          <w:color w:val="404040" w:themeColor="text1" w:themeTint="BF"/>
          <w:sz w:val="21"/>
          <w:szCs w:val="21"/>
        </w:rPr>
      </w:pPr>
      <w:r>
        <w:rPr>
          <w:color w:val="404040" w:themeColor="text1" w:themeTint="BF"/>
          <w:szCs w:val="23"/>
        </w:rPr>
        <w:t xml:space="preserve">Este estudo randomizado, duplo-cego e placebo-controlado foi conduzido com o objetivo de avaliar os efeitos da suplementação de vitamina D nos sintomas clínicos e perfil metabólico em pacientes com endometriose (MEHDIZADEHKASHI; ROKHGIREH; TAHERMANESH; ESLAHI </w:t>
      </w:r>
      <w:r>
        <w:rPr>
          <w:i/>
          <w:iCs/>
          <w:color w:val="404040" w:themeColor="text1" w:themeTint="BF"/>
          <w:szCs w:val="23"/>
        </w:rPr>
        <w:t>et al</w:t>
      </w:r>
      <w:r>
        <w:rPr>
          <w:color w:val="404040" w:themeColor="text1" w:themeTint="BF"/>
          <w:szCs w:val="23"/>
        </w:rPr>
        <w:t>., 2021).</w:t>
      </w:r>
    </w:p>
    <w:p w14:paraId="283E5E55"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88288" behindDoc="0" locked="0" layoutInCell="1" allowOverlap="1">
                <wp:simplePos x="0" y="0"/>
                <wp:positionH relativeFrom="margin">
                  <wp:posOffset>5715</wp:posOffset>
                </wp:positionH>
                <wp:positionV relativeFrom="paragraph">
                  <wp:posOffset>97155</wp:posOffset>
                </wp:positionV>
                <wp:extent cx="5724525" cy="485775"/>
                <wp:effectExtent l="0" t="0" r="28575" b="28575"/>
                <wp:wrapNone/>
                <wp:docPr id="240" name="Caixa de texto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485775"/>
                        </a:xfrm>
                        <a:prstGeom prst="rect">
                          <a:avLst/>
                        </a:prstGeom>
                        <a:solidFill>
                          <a:schemeClr val="bg1">
                            <a:lumMod val="100000"/>
                            <a:lumOff val="0"/>
                          </a:schemeClr>
                        </a:solidFill>
                        <a:ln w="9525">
                          <a:solidFill>
                            <a:srgbClr val="0070C0"/>
                          </a:solidFill>
                          <a:miter lim="800000"/>
                        </a:ln>
                      </wps:spPr>
                      <wps:txbx>
                        <w:txbxContent>
                          <w:p w14:paraId="2B68884A" w14:textId="77777777" w:rsidR="00FA41FC" w:rsidRDefault="00FA41FC">
                            <w:pPr>
                              <w:spacing w:line="276" w:lineRule="auto"/>
                              <w:jc w:val="center"/>
                              <w:rPr>
                                <w:rFonts w:ascii="Swis721 Th BT" w:hAnsi="Swis721 Th BT"/>
                                <w:sz w:val="23"/>
                                <w:szCs w:val="23"/>
                              </w:rPr>
                            </w:pPr>
                            <w:r>
                              <w:rPr>
                                <w:rFonts w:ascii="Swis721 Th BT" w:hAnsi="Swis721 Th BT"/>
                                <w:sz w:val="23"/>
                                <w:szCs w:val="23"/>
                              </w:rPr>
                              <w:t>Assim, 60 pacientes (idades entre 18 e 40 anos) com endometriose foram selecionadas para receberem durante 12 semanas:</w:t>
                            </w:r>
                          </w:p>
                          <w:p w14:paraId="64415427"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240" o:spid="_x0000_s1106" type="#_x0000_t202" style="position:absolute;left:0;text-align:left;margin-left:.45pt;margin-top:7.65pt;width:450.75pt;height:38.25pt;z-index:251788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" fillcolor="white [3212]" strokecolor="#0070c0">
                <v:textbox>
                  <w:txbxContent>
                    <w:p w14:paraId="2B68884A" w14:textId="77777777" w:rsidR="00FA41FC" w:rsidRDefault="00FA41FC">
                      <w:pPr>
                        <w:spacing w:line="276" w:lineRule="auto"/>
                        <w:jc w:val="center"/>
                        <w:rPr>
                          <w:rFonts w:ascii="Swis721 Th BT" w:hAnsi="Swis721 Th BT"/>
                          <w:sz w:val="23"/>
                          <w:szCs w:val="23"/>
                        </w:rPr>
                      </w:pPr>
                      <w:r>
                        <w:rPr>
                          <w:rFonts w:ascii="Swis721 Th BT" w:hAnsi="Swis721 Th BT"/>
                          <w:sz w:val="23"/>
                          <w:szCs w:val="23"/>
                        </w:rPr>
                        <w:t>Assim, 60 pacientes (idades entre 18 e 40 anos) com endometriose foram selecionadas para receberem durante 12 semanas:</w:t>
                      </w:r>
                    </w:p>
                    <w:p w14:paraId="64415427"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39463645" w14:textId="77777777" w:rsidR="00CD65C2" w:rsidRDefault="00CD65C2">
      <w:pPr>
        <w:pStyle w:val="Corpo"/>
        <w:rPr>
          <w:rFonts w:hint="eastAsia"/>
          <w:color w:val="404040" w:themeColor="text1" w:themeTint="BF"/>
        </w:rPr>
      </w:pPr>
    </w:p>
    <w:p w14:paraId="559CCBFB" w14:textId="77777777" w:rsidR="00CD65C2" w:rsidRDefault="00CD65C2">
      <w:pPr>
        <w:pStyle w:val="Corpo"/>
        <w:rPr>
          <w:rFonts w:hint="eastAsia"/>
          <w:color w:val="404040" w:themeColor="text1" w:themeTint="BF"/>
        </w:rPr>
      </w:pPr>
    </w:p>
    <w:p w14:paraId="7B4A50FE"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786240"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241" name="Triângulo isósceles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41" o:spid="_x0000_s1026" o:spt="5" type="#_x0000_t5" style="position:absolute;left:0pt;flip:y;margin-left:65.25pt;margin-top:0.85pt;height:10.9pt;width:17.85pt;z-index:251786240;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rg23W&#10;AAAACAEAAA8AAAAAAAAAAQAgAAAAIgAAAGRycy9kb3ducmV2LnhtbFBLAQIUABQAAAAIAIdO4kAx&#10;yUhRWwIAAKcEAAAOAAAAAAAAAAEAIAAAACUBAABkcnMvZTJvRG9jLnhtbFBLBQYAAAAABgAGAFkB&#10;AADyBQ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785216" behindDoc="0" locked="0" layoutInCell="1" allowOverlap="1">
                <wp:simplePos x="0" y="0"/>
                <wp:positionH relativeFrom="column">
                  <wp:posOffset>4664710</wp:posOffset>
                </wp:positionH>
                <wp:positionV relativeFrom="paragraph">
                  <wp:posOffset>10795</wp:posOffset>
                </wp:positionV>
                <wp:extent cx="226695" cy="138430"/>
                <wp:effectExtent l="0" t="0" r="1905" b="0"/>
                <wp:wrapNone/>
                <wp:docPr id="243" name="Triângulo isósceles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43" o:spid="_x0000_s1026" o:spt="5" type="#_x0000_t5" style="position:absolute;left:0pt;flip:y;margin-left:367.3pt;margin-top:0.85pt;height:10.9pt;width:17.85pt;z-index:251785216;mso-width-relative:page;mso-height-relative:page;" fillcolor="#D9D9D9 [3212]" filled="t" stroked="f" coordsize="21600,21600" o:gfxdata="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rIplbW&#10;AAAACAEAAA8AAAAAAAAAAQAgAAAAIgAAAGRycy9kb3ducmV2LnhtbFBLAQIUABQAAAAIAIdO4kA2&#10;DSWKWwIAAKcEAAAOAAAAAAAAAAEAIAAAACUBAABkcnMvZTJvRG9jLnhtbFBLBQYAAAAABgAGAFkB&#10;AADyBQAAAAA=&#10;" adj="10800">
                <v:fill on="t" focussize="0,0"/>
                <v:stroke on="f"/>
                <v:imagedata o:title=""/>
                <o:lock v:ext="edit" aspectratio="f"/>
              </v:shape>
            </w:pict>
          </mc:Fallback>
        </mc:AlternateContent>
      </w:r>
    </w:p>
    <w:p w14:paraId="6D12274B"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784192" behindDoc="0" locked="0" layoutInCell="1" allowOverlap="1">
                <wp:simplePos x="0" y="0"/>
                <wp:positionH relativeFrom="column">
                  <wp:posOffset>-3810</wp:posOffset>
                </wp:positionH>
                <wp:positionV relativeFrom="paragraph">
                  <wp:posOffset>89535</wp:posOffset>
                </wp:positionV>
                <wp:extent cx="1913890" cy="1000125"/>
                <wp:effectExtent l="0" t="0" r="10160" b="28575"/>
                <wp:wrapNone/>
                <wp:docPr id="244" name="Caixa de texto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000125"/>
                        </a:xfrm>
                        <a:prstGeom prst="rect">
                          <a:avLst/>
                        </a:prstGeom>
                        <a:solidFill>
                          <a:srgbClr val="0070C0"/>
                        </a:solidFill>
                        <a:ln w="9525">
                          <a:solidFill>
                            <a:srgbClr val="0070C0"/>
                          </a:solidFill>
                          <a:miter lim="800000"/>
                        </a:ln>
                      </wps:spPr>
                      <wps:txbx>
                        <w:txbxContent>
                          <w:p w14:paraId="2625642A"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0380610D"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D</w:t>
                            </w:r>
                          </w:p>
                          <w:p w14:paraId="6F17CF44"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50.000 UI a cada 2 semanas </w:t>
                            </w:r>
                          </w:p>
                          <w:p w14:paraId="7F774F99"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244" o:spid="_x0000_s1107" type="#_x0000_t202" style="position:absolute;left:0;text-align:left;margin-left:-.3pt;margin-top:7.05pt;width:150.7pt;height:78.75pt;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" fillcolor="#0070c0" strokecolor="#0070c0">
                <v:textbox>
                  <w:txbxContent>
                    <w:p w14:paraId="2625642A"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0380610D"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D</w:t>
                      </w:r>
                    </w:p>
                    <w:p w14:paraId="6F17CF44"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50.000 UI a cada 2 semanas </w:t>
                      </w:r>
                    </w:p>
                    <w:p w14:paraId="7F774F99"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787264" behindDoc="0" locked="0" layoutInCell="1" allowOverlap="1">
                <wp:simplePos x="0" y="0"/>
                <wp:positionH relativeFrom="column">
                  <wp:posOffset>3834765</wp:posOffset>
                </wp:positionH>
                <wp:positionV relativeFrom="paragraph">
                  <wp:posOffset>89535</wp:posOffset>
                </wp:positionV>
                <wp:extent cx="1905000" cy="1000125"/>
                <wp:effectExtent l="0" t="0" r="19050" b="28575"/>
                <wp:wrapNone/>
                <wp:docPr id="245" name="Caixa de texto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000125"/>
                        </a:xfrm>
                        <a:prstGeom prst="rect">
                          <a:avLst/>
                        </a:prstGeom>
                        <a:solidFill>
                          <a:srgbClr val="0070C0"/>
                        </a:solidFill>
                        <a:ln w="9525">
                          <a:solidFill>
                            <a:srgbClr val="0070C0"/>
                          </a:solidFill>
                          <a:miter lim="800000"/>
                        </a:ln>
                      </wps:spPr>
                      <wps:txbx>
                        <w:txbxContent>
                          <w:p w14:paraId="5401680D"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14:paraId="5501A3FF" w14:textId="77777777" w:rsidR="00FA41FC" w:rsidRDefault="00FA41FC">
                            <w:pPr>
                              <w:spacing w:after="0" w:line="240" w:lineRule="auto"/>
                              <w:jc w:val="center"/>
                              <w:rPr>
                                <w:rFonts w:ascii="Swis721 Th BT" w:hAnsi="Swis721 Th BT"/>
                                <w:b/>
                                <w:color w:val="FFFFFF" w:themeColor="background1"/>
                                <w:sz w:val="23"/>
                                <w:szCs w:val="23"/>
                              </w:rPr>
                            </w:pPr>
                          </w:p>
                          <w:p w14:paraId="3AFD4F58"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22D9B76A" w14:textId="77777777" w:rsidR="00FA41FC" w:rsidRDefault="00FA41FC">
                            <w:pPr>
                              <w:spacing w:after="0" w:line="240" w:lineRule="auto"/>
                              <w:jc w:val="center"/>
                              <w:rPr>
                                <w:rFonts w:ascii="Swis721 Th BT" w:hAnsi="Swis721 Th BT"/>
                                <w:b/>
                                <w:color w:val="FFFFFF" w:themeColor="background1"/>
                                <w:sz w:val="23"/>
                                <w:szCs w:val="23"/>
                              </w:rPr>
                            </w:pPr>
                          </w:p>
                          <w:p w14:paraId="155E2C2F" w14:textId="77777777" w:rsidR="00FA41FC" w:rsidRDefault="00FA41FC">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245" o:spid="_x0000_s1108" type="#_x0000_t202" style="position:absolute;left:0;text-align:left;margin-left:301.95pt;margin-top:7.05pt;width:150pt;height:78.75pt;z-index:251787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" fillcolor="#0070c0" strokecolor="#0070c0">
                <v:textbox>
                  <w:txbxContent>
                    <w:p w14:paraId="5401680D"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14:paraId="5501A3FF" w14:textId="77777777" w:rsidR="00FA41FC" w:rsidRDefault="00FA41FC">
                      <w:pPr>
                        <w:spacing w:after="0" w:line="240" w:lineRule="auto"/>
                        <w:jc w:val="center"/>
                        <w:rPr>
                          <w:rFonts w:ascii="Swis721 Th BT" w:hAnsi="Swis721 Th BT"/>
                          <w:b/>
                          <w:color w:val="FFFFFF" w:themeColor="background1"/>
                          <w:sz w:val="23"/>
                          <w:szCs w:val="23"/>
                        </w:rPr>
                      </w:pPr>
                    </w:p>
                    <w:p w14:paraId="3AFD4F58"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22D9B76A" w14:textId="77777777" w:rsidR="00FA41FC" w:rsidRDefault="00FA41FC">
                      <w:pPr>
                        <w:spacing w:after="0" w:line="240" w:lineRule="auto"/>
                        <w:jc w:val="center"/>
                        <w:rPr>
                          <w:rFonts w:ascii="Swis721 Th BT" w:hAnsi="Swis721 Th BT"/>
                          <w:b/>
                          <w:color w:val="FFFFFF" w:themeColor="background1"/>
                          <w:sz w:val="23"/>
                          <w:szCs w:val="23"/>
                        </w:rPr>
                      </w:pPr>
                    </w:p>
                    <w:p w14:paraId="155E2C2F" w14:textId="77777777" w:rsidR="00FA41FC" w:rsidRDefault="00FA41FC">
                      <w:pPr>
                        <w:spacing w:after="0" w:line="240" w:lineRule="auto"/>
                        <w:jc w:val="center"/>
                      </w:pPr>
                    </w:p>
                  </w:txbxContent>
                </v:textbox>
              </v:shape>
            </w:pict>
          </mc:Fallback>
        </mc:AlternateContent>
      </w:r>
    </w:p>
    <w:p w14:paraId="58D1D646" w14:textId="77777777" w:rsidR="00CD65C2" w:rsidRDefault="00CD65C2">
      <w:pPr>
        <w:pStyle w:val="Corpo"/>
        <w:rPr>
          <w:rFonts w:hint="eastAsia"/>
          <w:color w:val="404040" w:themeColor="text1" w:themeTint="BF"/>
        </w:rPr>
      </w:pPr>
    </w:p>
    <w:p w14:paraId="0516150C" w14:textId="77777777" w:rsidR="00CD65C2" w:rsidRDefault="00CD65C2">
      <w:pPr>
        <w:pStyle w:val="Corpo"/>
        <w:rPr>
          <w:rFonts w:hint="eastAsia"/>
          <w:color w:val="404040" w:themeColor="text1" w:themeTint="BF"/>
        </w:rPr>
      </w:pPr>
    </w:p>
    <w:p w14:paraId="3B322A20" w14:textId="77777777" w:rsidR="00CD65C2" w:rsidRDefault="00CD65C2">
      <w:pPr>
        <w:pStyle w:val="Corpo"/>
        <w:rPr>
          <w:rFonts w:hint="eastAsia"/>
          <w:color w:val="404040" w:themeColor="text1" w:themeTint="BF"/>
        </w:rPr>
      </w:pPr>
    </w:p>
    <w:p w14:paraId="0E86F362" w14:textId="77777777" w:rsidR="00CD65C2" w:rsidRDefault="00CD65C2">
      <w:pPr>
        <w:pStyle w:val="Corpo"/>
        <w:spacing w:before="120"/>
        <w:rPr>
          <w:rFonts w:hint="eastAsia"/>
          <w:color w:val="404040" w:themeColor="text1" w:themeTint="BF"/>
          <w:sz w:val="20"/>
        </w:rPr>
      </w:pPr>
    </w:p>
    <w:p w14:paraId="6A339D56" w14:textId="77777777" w:rsidR="00CD65C2" w:rsidRDefault="00CD65C2">
      <w:pPr>
        <w:pStyle w:val="Corpo"/>
        <w:spacing w:before="120"/>
        <w:rPr>
          <w:rFonts w:hint="eastAsia"/>
          <w:color w:val="404040" w:themeColor="text1" w:themeTint="BF"/>
          <w:sz w:val="20"/>
        </w:rPr>
      </w:pPr>
    </w:p>
    <w:p w14:paraId="5927E8EC"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6B1F8929"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33DDEB86" w14:textId="77777777" w:rsidR="00CD65C2" w:rsidRDefault="00CD65C2">
      <w:pPr>
        <w:pStyle w:val="Corpo"/>
        <w:rPr>
          <w:rFonts w:hint="eastAsia"/>
          <w:b/>
          <w:color w:val="404040" w:themeColor="text1" w:themeTint="BF"/>
          <w:szCs w:val="23"/>
        </w:rPr>
      </w:pPr>
    </w:p>
    <w:p w14:paraId="63A13072" w14:textId="77777777" w:rsidR="00CD65C2" w:rsidRDefault="00FA41FC">
      <w:pPr>
        <w:pStyle w:val="Corpo"/>
        <w:numPr>
          <w:ilvl w:val="0"/>
          <w:numId w:val="31"/>
        </w:numPr>
        <w:rPr>
          <w:rFonts w:hint="eastAsia"/>
          <w:color w:val="404040" w:themeColor="text1" w:themeTint="BF"/>
          <w:sz w:val="24"/>
        </w:rPr>
      </w:pPr>
      <w:r>
        <w:rPr>
          <w:color w:val="404040" w:themeColor="text1" w:themeTint="BF"/>
          <w:sz w:val="24"/>
        </w:rPr>
        <w:t>A suplementação de vitamina D diminuiu significativamente a dor pélvica e a relação colesterol total/HDL em comparação com o placebo;</w:t>
      </w:r>
    </w:p>
    <w:p w14:paraId="39CC6B2B" w14:textId="77777777" w:rsidR="00CD65C2" w:rsidRDefault="00CD65C2">
      <w:pPr>
        <w:pStyle w:val="Corpo"/>
        <w:ind w:left="360"/>
        <w:rPr>
          <w:rFonts w:hint="eastAsia"/>
          <w:color w:val="404040" w:themeColor="text1" w:themeTint="BF"/>
          <w:sz w:val="24"/>
        </w:rPr>
      </w:pPr>
    </w:p>
    <w:p w14:paraId="72381DB8" w14:textId="051E3079" w:rsidR="00CD65C2" w:rsidRDefault="00FA41FC">
      <w:pPr>
        <w:pStyle w:val="Corpo"/>
        <w:numPr>
          <w:ilvl w:val="0"/>
          <w:numId w:val="31"/>
        </w:numPr>
        <w:rPr>
          <w:rFonts w:hint="eastAsia"/>
          <w:color w:val="404040" w:themeColor="text1" w:themeTint="BF"/>
          <w:sz w:val="24"/>
        </w:rPr>
      </w:pPr>
      <w:r>
        <w:rPr>
          <w:color w:val="404040" w:themeColor="text1" w:themeTint="BF"/>
          <w:sz w:val="24"/>
        </w:rPr>
        <w:t>Além disso, a ingestão de vitamina D promoveu uma redução significativa na proteína C reativa de alta sensibilidade (PCR-as; -0,64 mg/L) e um aumento significativo na capacidade antioxidante total (TAC) em comparação com o grupo placebo.</w:t>
      </w:r>
    </w:p>
    <w:p w14:paraId="6DD91886"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3C8EB01C"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 xml:space="preserve">Conclusão: </w:t>
      </w:r>
    </w:p>
    <w:p w14:paraId="4906FD82"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2C384E2D" w14:textId="77777777" w:rsidR="00CD65C2" w:rsidRDefault="00FA41FC">
      <w:pPr>
        <w:pStyle w:val="Corpo"/>
        <w:jc w:val="center"/>
        <w:rPr>
          <w:rFonts w:hint="eastAsia"/>
          <w:b/>
          <w:i/>
          <w:color w:val="404040" w:themeColor="text1" w:themeTint="BF"/>
        </w:rPr>
      </w:pPr>
      <w:r>
        <w:rPr>
          <w:b/>
          <w:i/>
          <w:color w:val="404040" w:themeColor="text1" w:themeTint="BF"/>
        </w:rPr>
        <w:t>De acordo com os resultados, foi possível concluir que a suplementação de vitamina D em pacientes com endometriose resultou em melhora significativa da dor pélvica, relação colesterol total/HDL, níveis de PCR-as e TAC.</w:t>
      </w:r>
    </w:p>
    <w:p w14:paraId="071BE80C" w14:textId="77777777" w:rsidR="00CD65C2" w:rsidRDefault="00CD65C2">
      <w:pPr>
        <w:pStyle w:val="Corpo"/>
        <w:jc w:val="center"/>
        <w:rPr>
          <w:rFonts w:hint="eastAsia"/>
          <w:b/>
          <w:bCs/>
          <w:i/>
          <w:color w:val="404040" w:themeColor="text1" w:themeTint="BF"/>
        </w:rPr>
      </w:pPr>
    </w:p>
    <w:p w14:paraId="54A1C3B7" w14:textId="77777777" w:rsidR="00CD65C2" w:rsidRDefault="00CD65C2">
      <w:pPr>
        <w:pStyle w:val="Corpo"/>
        <w:jc w:val="center"/>
        <w:rPr>
          <w:rFonts w:hint="eastAsia"/>
          <w:b/>
          <w:bCs/>
          <w:i/>
          <w:color w:val="404040" w:themeColor="text1" w:themeTint="BF"/>
        </w:rPr>
      </w:pPr>
    </w:p>
    <w:p w14:paraId="5CDE1587" w14:textId="77777777" w:rsidR="00CD65C2" w:rsidRDefault="00FA41FC">
      <w:pPr>
        <w:pStyle w:val="Ttulo1"/>
        <w:jc w:val="center"/>
        <w:rPr>
          <w:rFonts w:hint="eastAsia"/>
        </w:rPr>
      </w:pPr>
      <w:bookmarkStart w:id="64" w:name="_Toc165537215"/>
      <w:r>
        <w:t>Formulário</w:t>
      </w:r>
      <w:bookmarkEnd w:id="64"/>
    </w:p>
    <w:p w14:paraId="4EECB1E9" w14:textId="77777777" w:rsidR="00CD65C2" w:rsidRDefault="00CD65C2">
      <w:pPr>
        <w:pStyle w:val="Corpo"/>
        <w:rPr>
          <w:rFonts w:hint="eastAsia"/>
          <w:b/>
          <w:i/>
          <w:color w:val="404040" w:themeColor="text1" w:themeTint="BF"/>
        </w:rPr>
      </w:pPr>
    </w:p>
    <w:p w14:paraId="697217A0" w14:textId="77777777" w:rsidR="00CD65C2" w:rsidRDefault="00CD65C2">
      <w:pPr>
        <w:pStyle w:val="Corpo"/>
        <w:rPr>
          <w:rFonts w:hint="eastAsia"/>
          <w:b/>
          <w:i/>
          <w:color w:val="404040" w:themeColor="text1" w:themeTint="BF"/>
        </w:rPr>
      </w:pPr>
    </w:p>
    <w:p w14:paraId="5901491D" w14:textId="77777777" w:rsidR="00CD65C2" w:rsidRDefault="00FA41FC">
      <w:pPr>
        <w:pStyle w:val="Corpo"/>
        <w:rPr>
          <w:rFonts w:hint="eastAsia"/>
          <w:b/>
          <w:i/>
          <w:color w:val="404040" w:themeColor="text1" w:themeTint="BF"/>
        </w:rPr>
      </w:pPr>
      <w:r>
        <w:rPr>
          <w:b/>
          <w:i/>
          <w:color w:val="404040" w:themeColor="text1" w:themeTint="BF"/>
        </w:rPr>
        <w:t>Uso de Vitamina D na Endometriose</w:t>
      </w:r>
    </w:p>
    <w:p w14:paraId="215EBE45" w14:textId="77777777" w:rsidR="00CD65C2" w:rsidRDefault="00CD65C2">
      <w:pPr>
        <w:pStyle w:val="Corpo"/>
        <w:rPr>
          <w:rFonts w:hint="eastAsia"/>
          <w:color w:val="404040" w:themeColor="text1" w:themeTint="BF"/>
          <w:sz w:val="10"/>
          <w:szCs w:val="10"/>
        </w:rPr>
      </w:pPr>
    </w:p>
    <w:p w14:paraId="4AB623A6" w14:textId="77777777" w:rsidR="00CD65C2" w:rsidRDefault="00CD65C2">
      <w:pPr>
        <w:pStyle w:val="Corpo"/>
        <w:rPr>
          <w:rFonts w:hint="eastAsia"/>
          <w:color w:val="404040" w:themeColor="text1" w:themeTint="BF"/>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4FD6A321"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48827531" w14:textId="77777777" w:rsidR="00CD65C2" w:rsidRDefault="00FA41FC">
            <w:pPr>
              <w:pStyle w:val="Corpo"/>
              <w:jc w:val="center"/>
              <w:rPr>
                <w:rFonts w:hint="eastAsia"/>
                <w:b/>
                <w:color w:val="FFFFFF" w:themeColor="background1"/>
              </w:rPr>
            </w:pPr>
            <w:bookmarkStart w:id="65" w:name="_Hlk84426615"/>
            <w:r>
              <w:rPr>
                <w:b/>
                <w:color w:val="FFFFFF" w:themeColor="background1"/>
                <w:sz w:val="22"/>
              </w:rPr>
              <w:t>Cápsulas de Vitamina D3</w:t>
            </w:r>
          </w:p>
        </w:tc>
      </w:tr>
      <w:tr w:rsidR="00CD65C2" w14:paraId="58B64445"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83D0A04" w14:textId="77777777" w:rsidR="00CD65C2" w:rsidRDefault="00FA41FC">
            <w:pPr>
              <w:pStyle w:val="Corpo"/>
              <w:jc w:val="center"/>
              <w:rPr>
                <w:rFonts w:hint="eastAsia"/>
                <w:color w:val="404040" w:themeColor="text1" w:themeTint="BF"/>
              </w:rPr>
            </w:pPr>
            <w:r>
              <w:rPr>
                <w:color w:val="404040" w:themeColor="text1" w:themeTint="BF"/>
              </w:rPr>
              <w:t>Vitamina D...................................50.000 UI</w:t>
            </w:r>
          </w:p>
        </w:tc>
      </w:tr>
      <w:tr w:rsidR="00CD65C2" w14:paraId="5AF3BCF2"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365FEFB" w14:textId="7236461B" w:rsidR="00CD65C2" w:rsidRDefault="00FA41FC">
            <w:pPr>
              <w:pStyle w:val="Corpo"/>
              <w:jc w:val="center"/>
              <w:rPr>
                <w:rFonts w:hint="eastAsia"/>
                <w:color w:val="404040" w:themeColor="text1" w:themeTint="BF"/>
              </w:rPr>
            </w:pPr>
            <w:r>
              <w:rPr>
                <w:color w:val="404040" w:themeColor="text1" w:themeTint="BF"/>
              </w:rPr>
              <w:t>Excipiente q.s.p. ........................1 Cápsula</w:t>
            </w:r>
          </w:p>
        </w:tc>
      </w:tr>
    </w:tbl>
    <w:bookmarkEnd w:id="65"/>
    <w:p w14:paraId="53A480FB" w14:textId="04F39A4F" w:rsidR="00CD65C2" w:rsidRDefault="00FA41FC">
      <w:pPr>
        <w:pStyle w:val="Corpo"/>
        <w:ind w:right="5102"/>
        <w:jc w:val="center"/>
        <w:rPr>
          <w:rFonts w:hint="eastAsia"/>
          <w:b/>
          <w:bCs/>
          <w:i/>
          <w:iCs/>
          <w:color w:val="404040" w:themeColor="text1" w:themeTint="BF"/>
          <w:sz w:val="22"/>
          <w:szCs w:val="22"/>
        </w:rPr>
      </w:pPr>
      <w:r>
        <w:rPr>
          <w:color w:val="404040" w:themeColor="text1" w:themeTint="BF"/>
          <w:sz w:val="22"/>
          <w:szCs w:val="22"/>
        </w:rPr>
        <w:t>Administrar 1 cápsula a cada duas semanas ou conforme orientação médica.</w:t>
      </w:r>
    </w:p>
    <w:p w14:paraId="68F4FAB1" w14:textId="77777777" w:rsidR="00CD65C2" w:rsidRDefault="00CD65C2">
      <w:pPr>
        <w:pStyle w:val="SemEspaamento"/>
      </w:pPr>
    </w:p>
    <w:p w14:paraId="19424C84" w14:textId="77777777" w:rsidR="00CD65C2" w:rsidRDefault="00CD65C2">
      <w:pPr>
        <w:pStyle w:val="SemEspaamento"/>
      </w:pPr>
    </w:p>
    <w:p w14:paraId="1F7E333B" w14:textId="77777777" w:rsidR="00CD65C2" w:rsidRDefault="00CD65C2">
      <w:pPr>
        <w:pStyle w:val="SemEspaamento"/>
      </w:pPr>
    </w:p>
    <w:p w14:paraId="478018A7" w14:textId="77777777" w:rsidR="00CD65C2" w:rsidRDefault="00CD65C2">
      <w:pPr>
        <w:pStyle w:val="SemEspaamento"/>
      </w:pPr>
    </w:p>
    <w:p w14:paraId="183E9DAE" w14:textId="77777777" w:rsidR="00CD65C2" w:rsidRDefault="00CD65C2">
      <w:pPr>
        <w:pStyle w:val="SemEspaamento"/>
      </w:pPr>
    </w:p>
    <w:p w14:paraId="3533DBFA" w14:textId="77777777" w:rsidR="00CD65C2" w:rsidRDefault="00CD65C2">
      <w:pPr>
        <w:pStyle w:val="SemEspaamento"/>
      </w:pPr>
    </w:p>
    <w:p w14:paraId="218ACF67" w14:textId="77777777" w:rsidR="00CD65C2" w:rsidRDefault="00CD65C2">
      <w:pPr>
        <w:pStyle w:val="SemEspaamento"/>
      </w:pPr>
    </w:p>
    <w:p w14:paraId="65436421" w14:textId="77777777" w:rsidR="00CD65C2" w:rsidRDefault="00CD65C2">
      <w:pPr>
        <w:pStyle w:val="SemEspaamento"/>
      </w:pPr>
    </w:p>
    <w:p w14:paraId="65652B4A" w14:textId="77777777" w:rsidR="00CD65C2" w:rsidRDefault="00CD65C2">
      <w:pPr>
        <w:pStyle w:val="SemEspaamento"/>
      </w:pPr>
    </w:p>
    <w:p w14:paraId="753AA5E6" w14:textId="77777777" w:rsidR="00CD65C2" w:rsidRDefault="00CD65C2">
      <w:pPr>
        <w:pStyle w:val="SemEspaamento"/>
      </w:pPr>
    </w:p>
    <w:p w14:paraId="65FB5799" w14:textId="77777777" w:rsidR="00CD65C2" w:rsidRDefault="00CD65C2">
      <w:pPr>
        <w:pStyle w:val="SemEspaamento"/>
      </w:pPr>
    </w:p>
    <w:p w14:paraId="765C69E9" w14:textId="77777777" w:rsidR="00CD65C2" w:rsidRDefault="00CD65C2">
      <w:pPr>
        <w:pStyle w:val="SemEspaamento"/>
      </w:pPr>
    </w:p>
    <w:p w14:paraId="52580DF9" w14:textId="77777777" w:rsidR="00CD65C2" w:rsidRDefault="00CD65C2">
      <w:pPr>
        <w:pStyle w:val="SemEspaamento"/>
      </w:pPr>
    </w:p>
    <w:p w14:paraId="171CECE4" w14:textId="77777777" w:rsidR="00CD65C2" w:rsidRDefault="00CD65C2">
      <w:pPr>
        <w:pStyle w:val="SemEspaamento"/>
      </w:pPr>
    </w:p>
    <w:p w14:paraId="4BB89BBA" w14:textId="77777777" w:rsidR="00CD65C2" w:rsidRDefault="00CD65C2">
      <w:pPr>
        <w:pStyle w:val="SemEspaamento"/>
      </w:pPr>
    </w:p>
    <w:p w14:paraId="043B118E" w14:textId="77777777" w:rsidR="00CD65C2" w:rsidRDefault="00CD65C2">
      <w:pPr>
        <w:pStyle w:val="SemEspaamento"/>
      </w:pPr>
    </w:p>
    <w:p w14:paraId="691D2609" w14:textId="77777777" w:rsidR="00CD65C2" w:rsidRDefault="00CD65C2">
      <w:pPr>
        <w:pStyle w:val="SemEspaamento"/>
      </w:pPr>
    </w:p>
    <w:p w14:paraId="1E4922FB" w14:textId="77777777" w:rsidR="00CD65C2" w:rsidRDefault="00CD65C2">
      <w:pPr>
        <w:pStyle w:val="SemEspaamento"/>
      </w:pPr>
    </w:p>
    <w:p w14:paraId="76CFA663" w14:textId="77777777" w:rsidR="00CD65C2" w:rsidRDefault="00CD65C2">
      <w:pPr>
        <w:pStyle w:val="SemEspaamento"/>
      </w:pPr>
    </w:p>
    <w:p w14:paraId="172F0E71" w14:textId="77777777" w:rsidR="00CD65C2" w:rsidRDefault="00CD65C2">
      <w:pPr>
        <w:pStyle w:val="SemEspaamento"/>
      </w:pPr>
    </w:p>
    <w:p w14:paraId="0349BCE0" w14:textId="77777777" w:rsidR="00CD65C2" w:rsidRDefault="00CD65C2">
      <w:pPr>
        <w:pStyle w:val="SemEspaamento"/>
      </w:pPr>
    </w:p>
    <w:p w14:paraId="3EDF9D37" w14:textId="77777777" w:rsidR="00CD65C2" w:rsidRDefault="00CD65C2">
      <w:pPr>
        <w:pStyle w:val="SemEspaamento"/>
      </w:pPr>
    </w:p>
    <w:p w14:paraId="239F1788" w14:textId="77777777" w:rsidR="00CD65C2" w:rsidRDefault="00CD65C2">
      <w:pPr>
        <w:pStyle w:val="SemEspaamento"/>
      </w:pPr>
    </w:p>
    <w:p w14:paraId="29569101" w14:textId="77777777" w:rsidR="00CD65C2" w:rsidRDefault="00CD65C2">
      <w:pPr>
        <w:pStyle w:val="SemEspaamento"/>
      </w:pPr>
    </w:p>
    <w:p w14:paraId="7905899C" w14:textId="77777777" w:rsidR="00CD65C2" w:rsidRDefault="00CD65C2">
      <w:pPr>
        <w:pStyle w:val="SemEspaamento"/>
      </w:pPr>
    </w:p>
    <w:p w14:paraId="647D12FE" w14:textId="77777777" w:rsidR="00CD65C2" w:rsidRDefault="00CD65C2">
      <w:pPr>
        <w:pStyle w:val="SemEspaamento"/>
      </w:pPr>
    </w:p>
    <w:p w14:paraId="2D4E74B7" w14:textId="77777777" w:rsidR="00CD65C2" w:rsidRDefault="00CD65C2">
      <w:pPr>
        <w:pStyle w:val="SemEspaamento"/>
      </w:pPr>
    </w:p>
    <w:p w14:paraId="35E04D2C" w14:textId="77777777" w:rsidR="00CD65C2" w:rsidRDefault="00CD65C2">
      <w:pPr>
        <w:pStyle w:val="SemEspaamento"/>
      </w:pPr>
    </w:p>
    <w:p w14:paraId="78FD6FC4" w14:textId="77777777" w:rsidR="00CD65C2" w:rsidRDefault="00CD65C2">
      <w:pPr>
        <w:pStyle w:val="SemEspaamento"/>
      </w:pPr>
    </w:p>
    <w:p w14:paraId="2DB5A9CA" w14:textId="77777777" w:rsidR="00CD65C2" w:rsidRDefault="00CD65C2">
      <w:pPr>
        <w:pStyle w:val="SemEspaamento"/>
      </w:pPr>
    </w:p>
    <w:p w14:paraId="2D3F8054" w14:textId="77777777" w:rsidR="00CD65C2" w:rsidRDefault="00CD65C2">
      <w:pPr>
        <w:pStyle w:val="SemEspaamento"/>
      </w:pPr>
    </w:p>
    <w:p w14:paraId="782AD71A" w14:textId="77777777" w:rsidR="00CD65C2" w:rsidRDefault="00CD65C2">
      <w:pPr>
        <w:pStyle w:val="SemEspaamento"/>
      </w:pPr>
    </w:p>
    <w:p w14:paraId="1E8AF051" w14:textId="107386E5" w:rsidR="00CD65C2" w:rsidRDefault="00FA41FC">
      <w:pPr>
        <w:pStyle w:val="Ttulo1"/>
        <w:jc w:val="center"/>
        <w:rPr>
          <w:rFonts w:hint="eastAsia"/>
        </w:rPr>
      </w:pPr>
      <w:bookmarkStart w:id="66" w:name="_Toc165537216"/>
      <w:r>
        <w:rPr>
          <w:bCs/>
          <w:iCs/>
        </w:rPr>
        <w:t>N-Acetilcisteína, Ácido Alfa-Lipóico, Zinco e Bromelina</w:t>
      </w:r>
      <w:bookmarkEnd w:id="66"/>
    </w:p>
    <w:p w14:paraId="53320E3E" w14:textId="77777777" w:rsidR="00CD65C2" w:rsidRDefault="00FA41FC">
      <w:pPr>
        <w:pStyle w:val="Subtitulocorpo"/>
        <w:rPr>
          <w:rFonts w:hint="eastAsia"/>
        </w:rPr>
      </w:pPr>
      <w:r>
        <w:t>Associação Antioxidante Reduz a Dor Pélvica Relacionada à Endometriose</w:t>
      </w:r>
    </w:p>
    <w:p w14:paraId="425950EB" w14:textId="77777777" w:rsidR="00CD65C2" w:rsidRDefault="00CD65C2">
      <w:pPr>
        <w:pStyle w:val="Corpo"/>
        <w:spacing w:after="120"/>
        <w:rPr>
          <w:rFonts w:hint="eastAsia"/>
          <w:color w:val="404040" w:themeColor="text1" w:themeTint="BF"/>
          <w:sz w:val="24"/>
        </w:rPr>
      </w:pPr>
    </w:p>
    <w:p w14:paraId="77820C87" w14:textId="4CB2E6A2" w:rsidR="00CD65C2" w:rsidRDefault="00FA41FC">
      <w:pPr>
        <w:pStyle w:val="Corpo"/>
        <w:spacing w:after="120"/>
        <w:rPr>
          <w:rFonts w:hint="eastAsia"/>
          <w:color w:val="404040" w:themeColor="text1" w:themeTint="BF"/>
          <w:sz w:val="24"/>
        </w:rPr>
      </w:pPr>
      <w:r>
        <w:rPr>
          <w:color w:val="404040" w:themeColor="text1" w:themeTint="BF"/>
          <w:sz w:val="24"/>
        </w:rPr>
        <w:t xml:space="preserve">O objetivo deste estudo multicêntrico, aberto e não comparativo foi avaliar uma preparação antioxidante na dor pélvica associada à endometriose (Lete </w:t>
      </w:r>
      <w:r>
        <w:rPr>
          <w:i/>
          <w:color w:val="404040" w:themeColor="text1" w:themeTint="BF"/>
          <w:sz w:val="24"/>
        </w:rPr>
        <w:t xml:space="preserve">et al., </w:t>
      </w:r>
      <w:r>
        <w:rPr>
          <w:color w:val="404040" w:themeColor="text1" w:themeTint="BF"/>
          <w:sz w:val="24"/>
        </w:rPr>
        <w:t>2018).</w:t>
      </w:r>
    </w:p>
    <w:p w14:paraId="532789FB"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90336" behindDoc="0" locked="0" layoutInCell="1" allowOverlap="1">
                <wp:simplePos x="0" y="0"/>
                <wp:positionH relativeFrom="margin">
                  <wp:posOffset>5715</wp:posOffset>
                </wp:positionH>
                <wp:positionV relativeFrom="paragraph">
                  <wp:posOffset>97155</wp:posOffset>
                </wp:positionV>
                <wp:extent cx="5724525" cy="485775"/>
                <wp:effectExtent l="0" t="0" r="28575" b="28575"/>
                <wp:wrapNone/>
                <wp:docPr id="250" name="Caixa de texto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485775"/>
                        </a:xfrm>
                        <a:prstGeom prst="rect">
                          <a:avLst/>
                        </a:prstGeom>
                        <a:solidFill>
                          <a:schemeClr val="bg1">
                            <a:lumMod val="100000"/>
                            <a:lumOff val="0"/>
                          </a:schemeClr>
                        </a:solidFill>
                        <a:ln w="9525">
                          <a:solidFill>
                            <a:srgbClr val="0070C0"/>
                          </a:solidFill>
                          <a:miter lim="800000"/>
                        </a:ln>
                      </wps:spPr>
                      <wps:txbx>
                        <w:txbxContent>
                          <w:p w14:paraId="15D2C7BA" w14:textId="47C60690" w:rsidR="00FA41FC" w:rsidRDefault="00FA41FC">
                            <w:pPr>
                              <w:jc w:val="center"/>
                              <w:rPr>
                                <w:rFonts w:ascii="Swis721 Th BT" w:hAnsi="Swis721 Th BT"/>
                                <w:sz w:val="23"/>
                                <w:szCs w:val="23"/>
                              </w:rPr>
                            </w:pPr>
                            <w:r>
                              <w:rPr>
                                <w:rFonts w:ascii="Swis721 Th BT" w:hAnsi="Swis721 Th BT"/>
                                <w:sz w:val="23"/>
                                <w:szCs w:val="23"/>
                              </w:rPr>
                              <w:t xml:space="preserve">Para isso, 398 pacientes com idade média de 34,6±7,2 anos foram selecionadas para receberem durante seis meses: </w:t>
                            </w:r>
                          </w:p>
                          <w:p w14:paraId="5244DA39"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250" o:spid="_x0000_s1109" type="#_x0000_t202" style="position:absolute;left:0;text-align:left;margin-left:.45pt;margin-top:7.65pt;width:450.75pt;height:38.25pt;z-index:251790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" fillcolor="white [3212]" strokecolor="#0070c0">
                <v:textbox>
                  <w:txbxContent>
                    <w:p w14:paraId="15D2C7BA" w14:textId="47C60690" w:rsidR="00FA41FC" w:rsidRDefault="00FA41FC">
                      <w:pPr>
                        <w:jc w:val="center"/>
                        <w:rPr>
                          <w:rFonts w:ascii="Swis721 Th BT" w:hAnsi="Swis721 Th BT"/>
                          <w:sz w:val="23"/>
                          <w:szCs w:val="23"/>
                        </w:rPr>
                      </w:pPr>
                      <w:r>
                        <w:rPr>
                          <w:rFonts w:ascii="Swis721 Th BT" w:hAnsi="Swis721 Th BT"/>
                          <w:sz w:val="23"/>
                          <w:szCs w:val="23"/>
                        </w:rPr>
                        <w:t xml:space="preserve">Para isso, 398 pacientes com idade média de 34,6±7,2 anos foram selecionadas para receberem durante seis meses: </w:t>
                      </w:r>
                    </w:p>
                    <w:p w14:paraId="5244DA39"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3674AAA1" w14:textId="77777777" w:rsidR="00CD65C2" w:rsidRDefault="00CD65C2">
      <w:pPr>
        <w:pStyle w:val="Corpo"/>
        <w:rPr>
          <w:rFonts w:hint="eastAsia"/>
          <w:color w:val="404040" w:themeColor="text1" w:themeTint="BF"/>
        </w:rPr>
      </w:pPr>
    </w:p>
    <w:p w14:paraId="34C2A7DF"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789312" behindDoc="0" locked="0" layoutInCell="1" allowOverlap="1">
                <wp:simplePos x="0" y="0"/>
                <wp:positionH relativeFrom="column">
                  <wp:posOffset>1977390</wp:posOffset>
                </wp:positionH>
                <wp:positionV relativeFrom="paragraph">
                  <wp:posOffset>80010</wp:posOffset>
                </wp:positionV>
                <wp:extent cx="1913890" cy="1000125"/>
                <wp:effectExtent l="0" t="0" r="10160" b="28575"/>
                <wp:wrapNone/>
                <wp:docPr id="253" name="Caixa de texto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000125"/>
                        </a:xfrm>
                        <a:prstGeom prst="rect">
                          <a:avLst/>
                        </a:prstGeom>
                        <a:solidFill>
                          <a:srgbClr val="0070C0"/>
                        </a:solidFill>
                        <a:ln w="9525">
                          <a:solidFill>
                            <a:srgbClr val="0070C0"/>
                          </a:solidFill>
                          <a:miter lim="800000"/>
                        </a:ln>
                      </wps:spPr>
                      <wps:txbx>
                        <w:txbxContent>
                          <w:p w14:paraId="25F701E3"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10102F8B"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N-acetilcisteína 600 mg</w:t>
                            </w:r>
                          </w:p>
                          <w:p w14:paraId="57FCA550"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Ácido alfa-lipóico 200 mg</w:t>
                            </w:r>
                          </w:p>
                          <w:p w14:paraId="125EC249"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Bromelina 25 mg</w:t>
                            </w:r>
                          </w:p>
                          <w:p w14:paraId="5850244A"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Zinco 10 mg</w:t>
                            </w:r>
                          </w:p>
                          <w:p w14:paraId="158D0673"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253" o:spid="_x0000_s1110" type="#_x0000_t202" style="position:absolute;left:0;text-align:left;margin-left:155.7pt;margin-top:6.3pt;width:150.7pt;height:78.75pt;z-index:25178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" fillcolor="#0070c0" strokecolor="#0070c0">
                <v:textbox>
                  <w:txbxContent>
                    <w:p w14:paraId="25F701E3"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10102F8B"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N-acetilcisteína 600 mg</w:t>
                      </w:r>
                    </w:p>
                    <w:p w14:paraId="57FCA550"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Ácido alfa-lipóico 200 mg</w:t>
                      </w:r>
                    </w:p>
                    <w:p w14:paraId="125EC249"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Bromelina 25 mg</w:t>
                      </w:r>
                    </w:p>
                    <w:p w14:paraId="5850244A"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Zinco 10 mg</w:t>
                      </w:r>
                    </w:p>
                    <w:p w14:paraId="158D0673"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p>
    <w:p w14:paraId="5E3D1BE7" w14:textId="77777777" w:rsidR="00CD65C2" w:rsidRDefault="00CD65C2">
      <w:pPr>
        <w:pStyle w:val="Corpo"/>
        <w:rPr>
          <w:rFonts w:hint="eastAsia"/>
          <w:color w:val="404040" w:themeColor="text1" w:themeTint="BF"/>
        </w:rPr>
      </w:pPr>
    </w:p>
    <w:p w14:paraId="69645A9C" w14:textId="77777777" w:rsidR="00CD65C2" w:rsidRDefault="00CD65C2">
      <w:pPr>
        <w:pStyle w:val="Corpo"/>
        <w:rPr>
          <w:rFonts w:hint="eastAsia"/>
          <w:color w:val="404040" w:themeColor="text1" w:themeTint="BF"/>
        </w:rPr>
      </w:pPr>
    </w:p>
    <w:p w14:paraId="49F50FE0" w14:textId="77777777" w:rsidR="00CD65C2" w:rsidRDefault="00CD65C2">
      <w:pPr>
        <w:pStyle w:val="Corpo"/>
        <w:rPr>
          <w:rFonts w:hint="eastAsia"/>
          <w:color w:val="404040" w:themeColor="text1" w:themeTint="BF"/>
        </w:rPr>
      </w:pPr>
    </w:p>
    <w:p w14:paraId="596EF238" w14:textId="77777777" w:rsidR="00CD65C2" w:rsidRDefault="00CD65C2">
      <w:pPr>
        <w:pStyle w:val="Corpo"/>
        <w:spacing w:before="120"/>
        <w:rPr>
          <w:rFonts w:hint="eastAsia"/>
          <w:color w:val="404040" w:themeColor="text1" w:themeTint="BF"/>
          <w:sz w:val="20"/>
        </w:rPr>
      </w:pPr>
    </w:p>
    <w:p w14:paraId="104F3320" w14:textId="77777777" w:rsidR="00CD65C2" w:rsidRDefault="00CD65C2">
      <w:pPr>
        <w:pStyle w:val="Corpo"/>
        <w:spacing w:before="120"/>
        <w:rPr>
          <w:rFonts w:hint="eastAsia"/>
          <w:color w:val="404040" w:themeColor="text1" w:themeTint="BF"/>
          <w:sz w:val="20"/>
        </w:rPr>
      </w:pPr>
    </w:p>
    <w:p w14:paraId="496911DD"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5EDF30D0"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33607A20" w14:textId="77777777" w:rsidR="00CD65C2" w:rsidRDefault="00CD65C2">
      <w:pPr>
        <w:pStyle w:val="Corpo"/>
        <w:rPr>
          <w:rFonts w:hint="eastAsia"/>
          <w:b/>
          <w:color w:val="404040" w:themeColor="text1" w:themeTint="BF"/>
          <w:szCs w:val="23"/>
        </w:rPr>
      </w:pPr>
    </w:p>
    <w:p w14:paraId="1739D9F2" w14:textId="31B3D040" w:rsidR="00CD65C2" w:rsidRDefault="00FA41FC">
      <w:pPr>
        <w:pStyle w:val="Corpo"/>
        <w:numPr>
          <w:ilvl w:val="0"/>
          <w:numId w:val="5"/>
        </w:numPr>
        <w:rPr>
          <w:rFonts w:hint="eastAsia"/>
          <w:color w:val="404040" w:themeColor="text1" w:themeTint="BF"/>
          <w:sz w:val="24"/>
        </w:rPr>
      </w:pPr>
      <w:r>
        <w:rPr>
          <w:color w:val="404040" w:themeColor="text1" w:themeTint="BF"/>
          <w:sz w:val="24"/>
        </w:rPr>
        <w:t xml:space="preserve">No início do estudo, 92,7% dos indivíduos tinham intensidade da dor maior que 4 na </w:t>
      </w:r>
      <w:r>
        <w:rPr>
          <w:i/>
          <w:color w:val="404040" w:themeColor="text1" w:themeTint="BF"/>
          <w:sz w:val="24"/>
        </w:rPr>
        <w:t>Visual Analogue Scale</w:t>
      </w:r>
      <w:r>
        <w:rPr>
          <w:color w:val="404040" w:themeColor="text1" w:themeTint="BF"/>
          <w:sz w:val="24"/>
        </w:rPr>
        <w:t xml:space="preserve"> (VAS). Após três meses de tratamento, essa porcentagem reduziu para 87,2% e aos seis meses foi de 82,7%;</w:t>
      </w:r>
    </w:p>
    <w:p w14:paraId="216AD4DC" w14:textId="77777777" w:rsidR="00CD65C2" w:rsidRDefault="00CD65C2">
      <w:pPr>
        <w:pStyle w:val="Corpo"/>
        <w:ind w:left="360"/>
        <w:rPr>
          <w:rFonts w:hint="eastAsia"/>
          <w:color w:val="404040" w:themeColor="text1" w:themeTint="BF"/>
          <w:sz w:val="24"/>
        </w:rPr>
      </w:pPr>
    </w:p>
    <w:p w14:paraId="1A74BB64" w14:textId="7F3AA6FF"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Além disso, 344 das 398 pacientes (86,4%) precisavam de anti-Inflamatórios não esteroidais (AINEs) para controle da dor no início do estudo. Após três e seis meses de tratamento, essa porcentagem reduziu para 57,4% e 37,4%, respectivamente.</w:t>
      </w:r>
    </w:p>
    <w:p w14:paraId="0B45990A" w14:textId="77777777" w:rsidR="00CD65C2" w:rsidRDefault="00FA41FC">
      <w:pPr>
        <w:pStyle w:val="Corpo"/>
        <w:spacing w:after="0"/>
        <w:jc w:val="center"/>
        <w:rPr>
          <w:rFonts w:hint="eastAsia"/>
          <w:b/>
          <w:color w:val="404040" w:themeColor="text1" w:themeTint="BF"/>
          <w:sz w:val="24"/>
        </w:rPr>
      </w:pPr>
      <w:r>
        <w:rPr>
          <w:b/>
          <w:color w:val="404040" w:themeColor="text1" w:themeTint="BF"/>
          <w:sz w:val="24"/>
        </w:rPr>
        <w:t>Alterações na VAS de acordo com a intensidade da dor (porcentagem de mulheres em cada grupo).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356"/>
        <w:gridCol w:w="1812"/>
        <w:gridCol w:w="1812"/>
        <w:gridCol w:w="1813"/>
      </w:tblGrid>
      <w:tr w:rsidR="00CD65C2" w14:paraId="68B593D2" w14:textId="77777777">
        <w:tc>
          <w:tcPr>
            <w:tcW w:w="2268" w:type="dxa"/>
            <w:tcBorders>
              <w:top w:val="single" w:sz="4" w:space="0" w:color="5B9BD5" w:themeColor="accent1"/>
            </w:tcBorders>
            <w:shd w:val="clear" w:color="auto" w:fill="DEEAF6" w:themeFill="accent1" w:themeFillTint="33"/>
            <w:vAlign w:val="center"/>
          </w:tcPr>
          <w:p w14:paraId="080CC078" w14:textId="77777777" w:rsidR="00CD65C2" w:rsidRDefault="00FA41FC">
            <w:pPr>
              <w:pStyle w:val="Corpo"/>
              <w:spacing w:after="120"/>
              <w:jc w:val="center"/>
              <w:rPr>
                <w:rFonts w:hint="eastAsia"/>
                <w:color w:val="404040" w:themeColor="text1" w:themeTint="BF"/>
                <w:sz w:val="24"/>
              </w:rPr>
            </w:pPr>
            <w:r>
              <w:rPr>
                <w:color w:val="404040" w:themeColor="text1" w:themeTint="BF"/>
              </w:rPr>
              <w:t xml:space="preserve">VAS </w:t>
            </w:r>
            <w:r>
              <w:rPr>
                <w:i/>
                <w:color w:val="404040" w:themeColor="text1" w:themeTint="BF"/>
              </w:rPr>
              <w:t>score</w:t>
            </w:r>
          </w:p>
        </w:tc>
        <w:tc>
          <w:tcPr>
            <w:tcW w:w="1356" w:type="dxa"/>
            <w:tcBorders>
              <w:top w:val="single" w:sz="4" w:space="0" w:color="5B9BD5" w:themeColor="accent1"/>
            </w:tcBorders>
            <w:shd w:val="clear" w:color="auto" w:fill="DEEAF6" w:themeFill="accent1" w:themeFillTint="33"/>
            <w:vAlign w:val="center"/>
          </w:tcPr>
          <w:p w14:paraId="6C407908" w14:textId="77777777" w:rsidR="00CD65C2" w:rsidRDefault="00FA41FC">
            <w:pPr>
              <w:pStyle w:val="Corpo"/>
              <w:spacing w:after="120"/>
              <w:jc w:val="center"/>
              <w:rPr>
                <w:rFonts w:hint="eastAsia"/>
                <w:color w:val="404040" w:themeColor="text1" w:themeTint="BF"/>
                <w:sz w:val="24"/>
              </w:rPr>
            </w:pPr>
            <w:r>
              <w:rPr>
                <w:color w:val="404040" w:themeColor="text1" w:themeTint="BF"/>
              </w:rPr>
              <w:t>&lt;3</w:t>
            </w:r>
          </w:p>
        </w:tc>
        <w:tc>
          <w:tcPr>
            <w:tcW w:w="1812" w:type="dxa"/>
            <w:tcBorders>
              <w:top w:val="single" w:sz="4" w:space="0" w:color="5B9BD5" w:themeColor="accent1"/>
            </w:tcBorders>
            <w:shd w:val="clear" w:color="auto" w:fill="DEEAF6" w:themeFill="accent1" w:themeFillTint="33"/>
            <w:vAlign w:val="center"/>
          </w:tcPr>
          <w:p w14:paraId="00702604" w14:textId="77777777" w:rsidR="00CD65C2" w:rsidRDefault="00FA41FC">
            <w:pPr>
              <w:pStyle w:val="Corpo"/>
              <w:spacing w:after="120"/>
              <w:jc w:val="center"/>
              <w:rPr>
                <w:rFonts w:hint="eastAsia"/>
                <w:color w:val="404040" w:themeColor="text1" w:themeTint="BF"/>
                <w:sz w:val="24"/>
              </w:rPr>
            </w:pPr>
            <w:r>
              <w:rPr>
                <w:color w:val="404040" w:themeColor="text1" w:themeTint="BF"/>
              </w:rPr>
              <w:t>4–5</w:t>
            </w:r>
          </w:p>
        </w:tc>
        <w:tc>
          <w:tcPr>
            <w:tcW w:w="1812" w:type="dxa"/>
            <w:tcBorders>
              <w:top w:val="single" w:sz="4" w:space="0" w:color="5B9BD5" w:themeColor="accent1"/>
            </w:tcBorders>
            <w:shd w:val="clear" w:color="auto" w:fill="DEEAF6" w:themeFill="accent1" w:themeFillTint="33"/>
            <w:vAlign w:val="center"/>
          </w:tcPr>
          <w:p w14:paraId="696F0F8A" w14:textId="77777777" w:rsidR="00CD65C2" w:rsidRDefault="00FA41FC">
            <w:pPr>
              <w:pStyle w:val="Corpo"/>
              <w:spacing w:after="120"/>
              <w:jc w:val="center"/>
              <w:rPr>
                <w:rFonts w:hint="eastAsia"/>
                <w:color w:val="404040" w:themeColor="text1" w:themeTint="BF"/>
                <w:sz w:val="24"/>
              </w:rPr>
            </w:pPr>
            <w:r>
              <w:rPr>
                <w:color w:val="404040" w:themeColor="text1" w:themeTint="BF"/>
              </w:rPr>
              <w:t>6–7</w:t>
            </w:r>
          </w:p>
        </w:tc>
        <w:tc>
          <w:tcPr>
            <w:tcW w:w="1813" w:type="dxa"/>
            <w:tcBorders>
              <w:top w:val="single" w:sz="4" w:space="0" w:color="5B9BD5" w:themeColor="accent1"/>
            </w:tcBorders>
            <w:shd w:val="clear" w:color="auto" w:fill="DEEAF6" w:themeFill="accent1" w:themeFillTint="33"/>
            <w:vAlign w:val="center"/>
          </w:tcPr>
          <w:p w14:paraId="64B401CA" w14:textId="77777777" w:rsidR="00CD65C2" w:rsidRDefault="00FA41FC">
            <w:pPr>
              <w:pStyle w:val="Corpo"/>
              <w:spacing w:after="120"/>
              <w:jc w:val="center"/>
              <w:rPr>
                <w:rFonts w:hint="eastAsia"/>
                <w:color w:val="404040" w:themeColor="text1" w:themeTint="BF"/>
                <w:sz w:val="24"/>
              </w:rPr>
            </w:pPr>
            <w:r>
              <w:rPr>
                <w:color w:val="404040" w:themeColor="text1" w:themeTint="BF"/>
              </w:rPr>
              <w:t>8–10</w:t>
            </w:r>
          </w:p>
        </w:tc>
      </w:tr>
      <w:tr w:rsidR="00CD65C2" w14:paraId="0BF2BBDD" w14:textId="77777777">
        <w:tc>
          <w:tcPr>
            <w:tcW w:w="2268" w:type="dxa"/>
            <w:vAlign w:val="center"/>
          </w:tcPr>
          <w:p w14:paraId="18F4DFA5" w14:textId="77777777" w:rsidR="00CD65C2" w:rsidRDefault="00FA41FC">
            <w:pPr>
              <w:pStyle w:val="Corpo"/>
              <w:spacing w:after="120"/>
              <w:jc w:val="center"/>
              <w:rPr>
                <w:rFonts w:hint="eastAsia"/>
                <w:color w:val="404040" w:themeColor="text1" w:themeTint="BF"/>
                <w:sz w:val="24"/>
              </w:rPr>
            </w:pPr>
            <w:r>
              <w:rPr>
                <w:color w:val="404040" w:themeColor="text1" w:themeTint="BF"/>
                <w:sz w:val="24"/>
              </w:rPr>
              <w:t>Início do tratamento</w:t>
            </w:r>
          </w:p>
        </w:tc>
        <w:tc>
          <w:tcPr>
            <w:tcW w:w="1356" w:type="dxa"/>
            <w:vAlign w:val="center"/>
          </w:tcPr>
          <w:p w14:paraId="05347631" w14:textId="77777777" w:rsidR="00CD65C2" w:rsidRDefault="00CD65C2">
            <w:pPr>
              <w:pStyle w:val="Corpo"/>
              <w:spacing w:after="120"/>
              <w:jc w:val="center"/>
              <w:rPr>
                <w:rFonts w:hint="eastAsia"/>
                <w:color w:val="404040" w:themeColor="text1" w:themeTint="BF"/>
                <w:sz w:val="24"/>
              </w:rPr>
            </w:pPr>
          </w:p>
        </w:tc>
        <w:tc>
          <w:tcPr>
            <w:tcW w:w="1812" w:type="dxa"/>
            <w:vAlign w:val="center"/>
          </w:tcPr>
          <w:p w14:paraId="4502A977" w14:textId="77777777" w:rsidR="00CD65C2" w:rsidRDefault="00FA41FC">
            <w:pPr>
              <w:pStyle w:val="Corpo"/>
              <w:spacing w:after="120"/>
              <w:jc w:val="center"/>
              <w:rPr>
                <w:rFonts w:hint="eastAsia"/>
                <w:color w:val="404040" w:themeColor="text1" w:themeTint="BF"/>
                <w:sz w:val="24"/>
              </w:rPr>
            </w:pPr>
            <w:r>
              <w:rPr>
                <w:color w:val="404040" w:themeColor="text1" w:themeTint="BF"/>
                <w:sz w:val="24"/>
              </w:rPr>
              <w:t>24.7</w:t>
            </w:r>
          </w:p>
        </w:tc>
        <w:tc>
          <w:tcPr>
            <w:tcW w:w="1812" w:type="dxa"/>
            <w:vAlign w:val="center"/>
          </w:tcPr>
          <w:p w14:paraId="122C254E" w14:textId="77777777" w:rsidR="00CD65C2" w:rsidRDefault="00FA41FC">
            <w:pPr>
              <w:pStyle w:val="Corpo"/>
              <w:spacing w:after="120"/>
              <w:jc w:val="center"/>
              <w:rPr>
                <w:rFonts w:hint="eastAsia"/>
                <w:color w:val="404040" w:themeColor="text1" w:themeTint="BF"/>
                <w:sz w:val="24"/>
              </w:rPr>
            </w:pPr>
            <w:r>
              <w:rPr>
                <w:color w:val="404040" w:themeColor="text1" w:themeTint="BF"/>
                <w:sz w:val="24"/>
              </w:rPr>
              <w:t>35.1</w:t>
            </w:r>
          </w:p>
        </w:tc>
        <w:tc>
          <w:tcPr>
            <w:tcW w:w="1813" w:type="dxa"/>
            <w:vAlign w:val="center"/>
          </w:tcPr>
          <w:p w14:paraId="429FEA77" w14:textId="77777777" w:rsidR="00CD65C2" w:rsidRDefault="00FA41FC">
            <w:pPr>
              <w:pStyle w:val="Corpo"/>
              <w:spacing w:after="120"/>
              <w:jc w:val="center"/>
              <w:rPr>
                <w:rFonts w:hint="eastAsia"/>
                <w:color w:val="404040" w:themeColor="text1" w:themeTint="BF"/>
                <w:sz w:val="24"/>
              </w:rPr>
            </w:pPr>
            <w:r>
              <w:rPr>
                <w:color w:val="404040" w:themeColor="text1" w:themeTint="BF"/>
                <w:sz w:val="24"/>
              </w:rPr>
              <w:t>40.2</w:t>
            </w:r>
          </w:p>
        </w:tc>
      </w:tr>
      <w:tr w:rsidR="00CD65C2" w14:paraId="1BB75973" w14:textId="77777777">
        <w:tc>
          <w:tcPr>
            <w:tcW w:w="2268" w:type="dxa"/>
            <w:shd w:val="clear" w:color="auto" w:fill="DEEAF6" w:themeFill="accent1" w:themeFillTint="33"/>
            <w:vAlign w:val="center"/>
          </w:tcPr>
          <w:p w14:paraId="7A1DBE96" w14:textId="77777777" w:rsidR="00CD65C2" w:rsidRDefault="00FA41FC">
            <w:pPr>
              <w:pStyle w:val="Corpo"/>
              <w:spacing w:after="120"/>
              <w:jc w:val="center"/>
              <w:rPr>
                <w:rFonts w:hint="eastAsia"/>
                <w:color w:val="404040" w:themeColor="text1" w:themeTint="BF"/>
                <w:sz w:val="24"/>
              </w:rPr>
            </w:pPr>
            <w:r>
              <w:rPr>
                <w:color w:val="404040" w:themeColor="text1" w:themeTint="BF"/>
                <w:sz w:val="24"/>
              </w:rPr>
              <w:t>Visita 1</w:t>
            </w:r>
          </w:p>
        </w:tc>
        <w:tc>
          <w:tcPr>
            <w:tcW w:w="1356" w:type="dxa"/>
            <w:shd w:val="clear" w:color="auto" w:fill="DEEAF6" w:themeFill="accent1" w:themeFillTint="33"/>
            <w:vAlign w:val="center"/>
          </w:tcPr>
          <w:p w14:paraId="62256E43" w14:textId="77777777" w:rsidR="00CD65C2" w:rsidRDefault="00FA41FC">
            <w:pPr>
              <w:pStyle w:val="Corpo"/>
              <w:spacing w:after="120"/>
              <w:jc w:val="center"/>
              <w:rPr>
                <w:rFonts w:hint="eastAsia"/>
                <w:color w:val="404040" w:themeColor="text1" w:themeTint="BF"/>
                <w:sz w:val="24"/>
              </w:rPr>
            </w:pPr>
            <w:r>
              <w:rPr>
                <w:color w:val="404040" w:themeColor="text1" w:themeTint="BF"/>
                <w:sz w:val="24"/>
              </w:rPr>
              <w:t>29.6</w:t>
            </w:r>
          </w:p>
        </w:tc>
        <w:tc>
          <w:tcPr>
            <w:tcW w:w="1812" w:type="dxa"/>
            <w:shd w:val="clear" w:color="auto" w:fill="DEEAF6" w:themeFill="accent1" w:themeFillTint="33"/>
            <w:vAlign w:val="center"/>
          </w:tcPr>
          <w:p w14:paraId="5103DE39" w14:textId="77777777" w:rsidR="00CD65C2" w:rsidRDefault="00FA41FC">
            <w:pPr>
              <w:pStyle w:val="Corpo"/>
              <w:spacing w:after="120"/>
              <w:jc w:val="center"/>
              <w:rPr>
                <w:rFonts w:hint="eastAsia"/>
                <w:color w:val="404040" w:themeColor="text1" w:themeTint="BF"/>
                <w:sz w:val="24"/>
              </w:rPr>
            </w:pPr>
            <w:r>
              <w:rPr>
                <w:color w:val="404040" w:themeColor="text1" w:themeTint="BF"/>
                <w:sz w:val="24"/>
              </w:rPr>
              <w:t>40.0</w:t>
            </w:r>
          </w:p>
        </w:tc>
        <w:tc>
          <w:tcPr>
            <w:tcW w:w="1812" w:type="dxa"/>
            <w:shd w:val="clear" w:color="auto" w:fill="DEEAF6" w:themeFill="accent1" w:themeFillTint="33"/>
            <w:vAlign w:val="center"/>
          </w:tcPr>
          <w:p w14:paraId="1C712167" w14:textId="77777777" w:rsidR="00CD65C2" w:rsidRDefault="00FA41FC">
            <w:pPr>
              <w:pStyle w:val="Corpo"/>
              <w:spacing w:after="120"/>
              <w:jc w:val="center"/>
              <w:rPr>
                <w:rFonts w:hint="eastAsia"/>
                <w:color w:val="404040" w:themeColor="text1" w:themeTint="BF"/>
                <w:sz w:val="24"/>
              </w:rPr>
            </w:pPr>
            <w:r>
              <w:rPr>
                <w:color w:val="404040" w:themeColor="text1" w:themeTint="BF"/>
                <w:sz w:val="24"/>
              </w:rPr>
              <w:t>24.6</w:t>
            </w:r>
          </w:p>
        </w:tc>
        <w:tc>
          <w:tcPr>
            <w:tcW w:w="1813" w:type="dxa"/>
            <w:shd w:val="clear" w:color="auto" w:fill="DEEAF6" w:themeFill="accent1" w:themeFillTint="33"/>
            <w:vAlign w:val="center"/>
          </w:tcPr>
          <w:p w14:paraId="3B1B2716" w14:textId="77777777" w:rsidR="00CD65C2" w:rsidRDefault="00FA41FC">
            <w:pPr>
              <w:pStyle w:val="Corpo"/>
              <w:spacing w:after="120"/>
              <w:jc w:val="center"/>
              <w:rPr>
                <w:rFonts w:hint="eastAsia"/>
                <w:color w:val="404040" w:themeColor="text1" w:themeTint="BF"/>
                <w:sz w:val="24"/>
              </w:rPr>
            </w:pPr>
            <w:r>
              <w:rPr>
                <w:color w:val="404040" w:themeColor="text1" w:themeTint="BF"/>
                <w:sz w:val="24"/>
              </w:rPr>
              <w:t>5.8</w:t>
            </w:r>
          </w:p>
        </w:tc>
      </w:tr>
      <w:tr w:rsidR="00CD65C2" w14:paraId="45A8B8D9" w14:textId="77777777">
        <w:tc>
          <w:tcPr>
            <w:tcW w:w="2268" w:type="dxa"/>
            <w:tcBorders>
              <w:bottom w:val="single" w:sz="4" w:space="0" w:color="5B9BD5" w:themeColor="accent1"/>
            </w:tcBorders>
            <w:vAlign w:val="center"/>
          </w:tcPr>
          <w:p w14:paraId="63EF5E2D" w14:textId="77777777" w:rsidR="00CD65C2" w:rsidRDefault="00FA41FC">
            <w:pPr>
              <w:pStyle w:val="Corpo"/>
              <w:spacing w:after="120"/>
              <w:jc w:val="center"/>
              <w:rPr>
                <w:rFonts w:hint="eastAsia"/>
                <w:color w:val="404040" w:themeColor="text1" w:themeTint="BF"/>
                <w:sz w:val="24"/>
              </w:rPr>
            </w:pPr>
            <w:r>
              <w:rPr>
                <w:color w:val="404040" w:themeColor="text1" w:themeTint="BF"/>
                <w:sz w:val="24"/>
              </w:rPr>
              <w:t>Visita 2</w:t>
            </w:r>
          </w:p>
        </w:tc>
        <w:tc>
          <w:tcPr>
            <w:tcW w:w="1356" w:type="dxa"/>
            <w:tcBorders>
              <w:bottom w:val="single" w:sz="4" w:space="0" w:color="5B9BD5" w:themeColor="accent1"/>
            </w:tcBorders>
            <w:vAlign w:val="center"/>
          </w:tcPr>
          <w:p w14:paraId="70FCD689" w14:textId="77777777" w:rsidR="00CD65C2" w:rsidRDefault="00FA41FC">
            <w:pPr>
              <w:pStyle w:val="Corpo"/>
              <w:spacing w:after="120"/>
              <w:jc w:val="center"/>
              <w:rPr>
                <w:rFonts w:hint="eastAsia"/>
                <w:color w:val="404040" w:themeColor="text1" w:themeTint="BF"/>
                <w:sz w:val="24"/>
              </w:rPr>
            </w:pPr>
            <w:r>
              <w:rPr>
                <w:color w:val="404040" w:themeColor="text1" w:themeTint="BF"/>
                <w:sz w:val="24"/>
              </w:rPr>
              <w:t>52.0</w:t>
            </w:r>
          </w:p>
        </w:tc>
        <w:tc>
          <w:tcPr>
            <w:tcW w:w="1812" w:type="dxa"/>
            <w:tcBorders>
              <w:bottom w:val="single" w:sz="4" w:space="0" w:color="5B9BD5" w:themeColor="accent1"/>
            </w:tcBorders>
            <w:vAlign w:val="center"/>
          </w:tcPr>
          <w:p w14:paraId="2EBF3F14" w14:textId="77777777" w:rsidR="00CD65C2" w:rsidRDefault="00FA41FC">
            <w:pPr>
              <w:pStyle w:val="Corpo"/>
              <w:spacing w:after="120"/>
              <w:jc w:val="center"/>
              <w:rPr>
                <w:rFonts w:hint="eastAsia"/>
                <w:color w:val="404040" w:themeColor="text1" w:themeTint="BF"/>
                <w:sz w:val="24"/>
              </w:rPr>
            </w:pPr>
            <w:r>
              <w:rPr>
                <w:color w:val="404040" w:themeColor="text1" w:themeTint="BF"/>
                <w:sz w:val="24"/>
              </w:rPr>
              <w:t>33.0</w:t>
            </w:r>
          </w:p>
        </w:tc>
        <w:tc>
          <w:tcPr>
            <w:tcW w:w="1812" w:type="dxa"/>
            <w:tcBorders>
              <w:bottom w:val="single" w:sz="4" w:space="0" w:color="5B9BD5" w:themeColor="accent1"/>
            </w:tcBorders>
            <w:vAlign w:val="center"/>
          </w:tcPr>
          <w:p w14:paraId="79E3BF19" w14:textId="77777777" w:rsidR="00CD65C2" w:rsidRDefault="00FA41FC">
            <w:pPr>
              <w:pStyle w:val="Corpo"/>
              <w:spacing w:after="120"/>
              <w:jc w:val="center"/>
              <w:rPr>
                <w:rFonts w:hint="eastAsia"/>
                <w:color w:val="404040" w:themeColor="text1" w:themeTint="BF"/>
                <w:sz w:val="24"/>
              </w:rPr>
            </w:pPr>
            <w:r>
              <w:rPr>
                <w:color w:val="404040" w:themeColor="text1" w:themeTint="BF"/>
                <w:sz w:val="24"/>
              </w:rPr>
              <w:t>11.4</w:t>
            </w:r>
          </w:p>
        </w:tc>
        <w:tc>
          <w:tcPr>
            <w:tcW w:w="1813" w:type="dxa"/>
            <w:tcBorders>
              <w:bottom w:val="single" w:sz="4" w:space="0" w:color="5B9BD5" w:themeColor="accent1"/>
            </w:tcBorders>
            <w:vAlign w:val="center"/>
          </w:tcPr>
          <w:p w14:paraId="3127244F" w14:textId="77777777" w:rsidR="00CD65C2" w:rsidRDefault="00FA41FC">
            <w:pPr>
              <w:pStyle w:val="Corpo"/>
              <w:spacing w:after="120"/>
              <w:jc w:val="center"/>
              <w:rPr>
                <w:rFonts w:hint="eastAsia"/>
                <w:color w:val="404040" w:themeColor="text1" w:themeTint="BF"/>
                <w:sz w:val="24"/>
              </w:rPr>
            </w:pPr>
            <w:r>
              <w:rPr>
                <w:color w:val="404040" w:themeColor="text1" w:themeTint="BF"/>
                <w:sz w:val="24"/>
              </w:rPr>
              <w:t>3.6</w:t>
            </w:r>
          </w:p>
        </w:tc>
      </w:tr>
    </w:tbl>
    <w:p w14:paraId="74C847FA" w14:textId="77777777" w:rsidR="00CD65C2" w:rsidRDefault="00CD65C2">
      <w:pPr>
        <w:pStyle w:val="Corpo"/>
        <w:spacing w:after="120"/>
        <w:ind w:left="360"/>
        <w:rPr>
          <w:rFonts w:hint="eastAsia"/>
          <w:color w:val="404040" w:themeColor="text1" w:themeTint="BF"/>
          <w:sz w:val="24"/>
        </w:rPr>
      </w:pPr>
    </w:p>
    <w:p w14:paraId="427E3848"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7F4202BC" w14:textId="77777777" w:rsidR="00CD65C2" w:rsidRDefault="00FA41FC">
      <w:pPr>
        <w:pStyle w:val="Ttulo1"/>
        <w:jc w:val="center"/>
        <w:rPr>
          <w:rFonts w:hint="eastAsia"/>
        </w:rPr>
      </w:pPr>
      <w:bookmarkStart w:id="67" w:name="_Toc165537217"/>
      <w:r>
        <w:t>Formulário</w:t>
      </w:r>
      <w:bookmarkEnd w:id="67"/>
    </w:p>
    <w:p w14:paraId="226FEBAC" w14:textId="77777777" w:rsidR="00CD65C2" w:rsidRDefault="00CD65C2">
      <w:pPr>
        <w:pStyle w:val="Corpo"/>
        <w:rPr>
          <w:rFonts w:hint="eastAsia"/>
          <w:b/>
          <w:i/>
          <w:color w:val="404040" w:themeColor="text1" w:themeTint="BF"/>
        </w:rPr>
      </w:pPr>
    </w:p>
    <w:p w14:paraId="3AB0E540" w14:textId="77777777" w:rsidR="00CD65C2" w:rsidRDefault="00CD65C2">
      <w:pPr>
        <w:pStyle w:val="Corpo"/>
        <w:rPr>
          <w:rFonts w:hint="eastAsia"/>
          <w:b/>
          <w:i/>
          <w:color w:val="404040" w:themeColor="text1" w:themeTint="BF"/>
        </w:rPr>
      </w:pPr>
    </w:p>
    <w:p w14:paraId="2F5791D5" w14:textId="77777777" w:rsidR="00CD65C2" w:rsidRDefault="00FA41FC">
      <w:pPr>
        <w:pStyle w:val="Corpo"/>
        <w:rPr>
          <w:rFonts w:hint="eastAsia"/>
          <w:b/>
          <w:i/>
          <w:color w:val="404040" w:themeColor="text1" w:themeTint="BF"/>
          <w:sz w:val="24"/>
        </w:rPr>
      </w:pPr>
      <w:r>
        <w:rPr>
          <w:b/>
          <w:i/>
          <w:color w:val="404040" w:themeColor="text1" w:themeTint="BF"/>
          <w:sz w:val="24"/>
        </w:rPr>
        <w:t>Redução da Dor e do Uso de Analgésicos na Endometriose</w:t>
      </w:r>
    </w:p>
    <w:p w14:paraId="4D825A17"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1ACA620D"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1CC709A9" w14:textId="77777777" w:rsidR="00CD65C2" w:rsidRDefault="00FA41FC">
            <w:pPr>
              <w:pStyle w:val="Corpo"/>
              <w:jc w:val="center"/>
              <w:rPr>
                <w:rFonts w:hint="eastAsia"/>
                <w:b/>
                <w:color w:val="FFFFFF" w:themeColor="background1"/>
              </w:rPr>
            </w:pPr>
            <w:r>
              <w:rPr>
                <w:b/>
                <w:color w:val="FFFFFF" w:themeColor="background1"/>
                <w:sz w:val="22"/>
              </w:rPr>
              <w:t>Associação</w:t>
            </w:r>
          </w:p>
        </w:tc>
      </w:tr>
      <w:tr w:rsidR="00CD65C2" w14:paraId="3079319A"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1205567" w14:textId="77777777" w:rsidR="00CD65C2" w:rsidRDefault="00FA41FC">
            <w:pPr>
              <w:pStyle w:val="Corpo"/>
              <w:rPr>
                <w:rFonts w:hint="eastAsia"/>
                <w:color w:val="404040" w:themeColor="text1" w:themeTint="BF"/>
              </w:rPr>
            </w:pPr>
            <w:r>
              <w:rPr>
                <w:color w:val="404040" w:themeColor="text1" w:themeTint="BF"/>
              </w:rPr>
              <w:t>N-acetilcisteína...............................600 mg</w:t>
            </w:r>
          </w:p>
        </w:tc>
      </w:tr>
      <w:tr w:rsidR="00CD65C2" w14:paraId="615BFDFA"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470AAFA" w14:textId="77777777" w:rsidR="00CD65C2" w:rsidRDefault="00FA41FC">
            <w:pPr>
              <w:pStyle w:val="Corpo"/>
              <w:rPr>
                <w:rFonts w:hint="eastAsia"/>
                <w:color w:val="404040" w:themeColor="text1" w:themeTint="BF"/>
              </w:rPr>
            </w:pPr>
            <w:r>
              <w:rPr>
                <w:color w:val="404040" w:themeColor="text1" w:themeTint="BF"/>
              </w:rPr>
              <w:t>Ácido Alfa-Lipóico...........................200 mg</w:t>
            </w:r>
          </w:p>
        </w:tc>
      </w:tr>
      <w:tr w:rsidR="00CD65C2" w14:paraId="1612CEBF"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12B52C3" w14:textId="77777777" w:rsidR="00CD65C2" w:rsidRDefault="00FA41FC">
            <w:pPr>
              <w:pStyle w:val="Corpo"/>
              <w:rPr>
                <w:rFonts w:hint="eastAsia"/>
                <w:color w:val="404040" w:themeColor="text1" w:themeTint="BF"/>
              </w:rPr>
            </w:pPr>
            <w:r>
              <w:rPr>
                <w:color w:val="404040" w:themeColor="text1" w:themeTint="BF"/>
              </w:rPr>
              <w:t>Bromelina.........................................25 mg</w:t>
            </w:r>
          </w:p>
        </w:tc>
      </w:tr>
      <w:tr w:rsidR="00CD65C2" w14:paraId="043957D5"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A9228EF" w14:textId="77777777" w:rsidR="00CD65C2" w:rsidRDefault="00FA41FC">
            <w:pPr>
              <w:pStyle w:val="Corpo"/>
              <w:rPr>
                <w:rFonts w:hint="eastAsia"/>
                <w:color w:val="404040" w:themeColor="text1" w:themeTint="BF"/>
              </w:rPr>
            </w:pPr>
            <w:r>
              <w:rPr>
                <w:color w:val="404040" w:themeColor="text1" w:themeTint="BF"/>
              </w:rPr>
              <w:t xml:space="preserve">Zinco................................................10 mg </w:t>
            </w:r>
          </w:p>
        </w:tc>
      </w:tr>
      <w:tr w:rsidR="00CD65C2" w14:paraId="2868001F"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6EB3549" w14:textId="0825721C" w:rsidR="00CD65C2" w:rsidRDefault="00FA41FC">
            <w:pPr>
              <w:pStyle w:val="Corpo"/>
              <w:rPr>
                <w:rFonts w:hint="eastAsia"/>
                <w:color w:val="404040" w:themeColor="text1" w:themeTint="BF"/>
              </w:rPr>
            </w:pPr>
            <w:r>
              <w:rPr>
                <w:color w:val="404040" w:themeColor="text1" w:themeTint="BF"/>
              </w:rPr>
              <w:t>Excipiente q.s.p. ........................1 Cápsula</w:t>
            </w:r>
          </w:p>
        </w:tc>
      </w:tr>
    </w:tbl>
    <w:p w14:paraId="38D96D7E" w14:textId="77777777" w:rsidR="00CD65C2" w:rsidRDefault="00FA41FC">
      <w:pPr>
        <w:pStyle w:val="Corpo"/>
        <w:ind w:right="4818"/>
        <w:jc w:val="center"/>
        <w:rPr>
          <w:rFonts w:hint="eastAsia"/>
          <w:color w:val="404040" w:themeColor="text1" w:themeTint="BF"/>
          <w:sz w:val="22"/>
          <w:szCs w:val="22"/>
        </w:rPr>
      </w:pPr>
      <w:r>
        <w:rPr>
          <w:color w:val="404040" w:themeColor="text1" w:themeTint="BF"/>
          <w:sz w:val="22"/>
          <w:szCs w:val="22"/>
        </w:rPr>
        <w:t>Administrar 1 cápsula duas vezes ao dia ou conforme orientação médica.</w:t>
      </w:r>
    </w:p>
    <w:p w14:paraId="084A5883" w14:textId="77777777" w:rsidR="00CD65C2" w:rsidRDefault="00CD65C2">
      <w:pPr>
        <w:pStyle w:val="SemEspaamento"/>
      </w:pPr>
    </w:p>
    <w:p w14:paraId="273255FC" w14:textId="77777777" w:rsidR="00CD65C2" w:rsidRDefault="00CD65C2">
      <w:pPr>
        <w:pStyle w:val="SemEspaamento"/>
      </w:pPr>
    </w:p>
    <w:p w14:paraId="51196775" w14:textId="77777777" w:rsidR="00CD65C2" w:rsidRDefault="00CD65C2">
      <w:pPr>
        <w:pStyle w:val="SemEspaamento"/>
      </w:pPr>
    </w:p>
    <w:p w14:paraId="56A2D536" w14:textId="77777777" w:rsidR="00CD65C2" w:rsidRDefault="00CD65C2">
      <w:pPr>
        <w:pStyle w:val="SemEspaamento"/>
      </w:pPr>
    </w:p>
    <w:p w14:paraId="3FDA4D10" w14:textId="77777777" w:rsidR="00CD65C2" w:rsidRDefault="00CD65C2">
      <w:pPr>
        <w:pStyle w:val="SemEspaamento"/>
      </w:pPr>
    </w:p>
    <w:p w14:paraId="34CB2D7D" w14:textId="77777777" w:rsidR="00CD65C2" w:rsidRDefault="00CD65C2">
      <w:pPr>
        <w:pStyle w:val="SemEspaamento"/>
      </w:pPr>
    </w:p>
    <w:p w14:paraId="719CE39B" w14:textId="77777777" w:rsidR="00CD65C2" w:rsidRDefault="00CD65C2">
      <w:pPr>
        <w:pStyle w:val="SemEspaamento"/>
      </w:pPr>
    </w:p>
    <w:p w14:paraId="2AD4B14A" w14:textId="77777777" w:rsidR="00CD65C2" w:rsidRDefault="00CD65C2">
      <w:pPr>
        <w:pStyle w:val="SemEspaamento"/>
      </w:pPr>
    </w:p>
    <w:p w14:paraId="3CA220A6" w14:textId="77777777" w:rsidR="00CD65C2" w:rsidRDefault="00CD65C2">
      <w:pPr>
        <w:pStyle w:val="SemEspaamento"/>
      </w:pPr>
    </w:p>
    <w:p w14:paraId="32CB660F" w14:textId="77777777" w:rsidR="00CD65C2" w:rsidRDefault="00CD65C2">
      <w:pPr>
        <w:pStyle w:val="SemEspaamento"/>
      </w:pPr>
    </w:p>
    <w:p w14:paraId="40171A8D" w14:textId="77777777" w:rsidR="00CD65C2" w:rsidRDefault="00CD65C2">
      <w:pPr>
        <w:pStyle w:val="SemEspaamento"/>
      </w:pPr>
    </w:p>
    <w:p w14:paraId="5162698A" w14:textId="77777777" w:rsidR="00CD65C2" w:rsidRDefault="00CD65C2">
      <w:pPr>
        <w:pStyle w:val="SemEspaamento"/>
      </w:pPr>
    </w:p>
    <w:p w14:paraId="4777B690" w14:textId="77777777" w:rsidR="00CD65C2" w:rsidRDefault="00CD65C2">
      <w:pPr>
        <w:pStyle w:val="SemEspaamento"/>
      </w:pPr>
    </w:p>
    <w:p w14:paraId="56A38D93" w14:textId="77777777" w:rsidR="00CD65C2" w:rsidRDefault="00CD65C2">
      <w:pPr>
        <w:pStyle w:val="SemEspaamento"/>
      </w:pPr>
    </w:p>
    <w:p w14:paraId="5B7B2362" w14:textId="77777777" w:rsidR="00CD65C2" w:rsidRDefault="00CD65C2">
      <w:pPr>
        <w:pStyle w:val="SemEspaamento"/>
      </w:pPr>
    </w:p>
    <w:p w14:paraId="1E093E6B" w14:textId="77777777" w:rsidR="00CD65C2" w:rsidRDefault="00CD65C2">
      <w:pPr>
        <w:pStyle w:val="SemEspaamento"/>
      </w:pPr>
    </w:p>
    <w:p w14:paraId="63AC6436" w14:textId="77777777" w:rsidR="00CD65C2" w:rsidRDefault="00CD65C2">
      <w:pPr>
        <w:pStyle w:val="SemEspaamento"/>
      </w:pPr>
    </w:p>
    <w:p w14:paraId="678D678C" w14:textId="77777777" w:rsidR="00CD65C2" w:rsidRDefault="00CD65C2">
      <w:pPr>
        <w:pStyle w:val="SemEspaamento"/>
      </w:pPr>
    </w:p>
    <w:p w14:paraId="36CA5055" w14:textId="77777777" w:rsidR="00CD65C2" w:rsidRDefault="00CD65C2">
      <w:pPr>
        <w:pStyle w:val="SemEspaamento"/>
      </w:pPr>
    </w:p>
    <w:p w14:paraId="0A78AAFE" w14:textId="77777777" w:rsidR="00CD65C2" w:rsidRDefault="00CD65C2">
      <w:pPr>
        <w:pStyle w:val="SemEspaamento"/>
      </w:pPr>
    </w:p>
    <w:p w14:paraId="52448B25" w14:textId="77777777" w:rsidR="00CD65C2" w:rsidRDefault="00CD65C2">
      <w:pPr>
        <w:pStyle w:val="SemEspaamento"/>
      </w:pPr>
    </w:p>
    <w:p w14:paraId="2A9ADF1D" w14:textId="77777777" w:rsidR="00CD65C2" w:rsidRDefault="00CD65C2">
      <w:pPr>
        <w:pStyle w:val="SemEspaamento"/>
      </w:pPr>
    </w:p>
    <w:p w14:paraId="126E18C1" w14:textId="77777777" w:rsidR="00CD65C2" w:rsidRDefault="00CD65C2">
      <w:pPr>
        <w:pStyle w:val="SemEspaamento"/>
      </w:pPr>
    </w:p>
    <w:p w14:paraId="24B866F4" w14:textId="77777777" w:rsidR="00CD65C2" w:rsidRDefault="00CD65C2">
      <w:pPr>
        <w:pStyle w:val="SemEspaamento"/>
      </w:pPr>
    </w:p>
    <w:p w14:paraId="51525304" w14:textId="77777777" w:rsidR="00CD65C2" w:rsidRDefault="00CD65C2">
      <w:pPr>
        <w:pStyle w:val="SemEspaamento"/>
      </w:pPr>
    </w:p>
    <w:p w14:paraId="5E479904" w14:textId="77777777" w:rsidR="00CD65C2" w:rsidRDefault="00CD65C2">
      <w:pPr>
        <w:pStyle w:val="SemEspaamento"/>
      </w:pPr>
    </w:p>
    <w:p w14:paraId="7BC6231D" w14:textId="77777777" w:rsidR="00CD65C2" w:rsidRDefault="00FA41FC">
      <w:pPr>
        <w:pStyle w:val="Ttulo1"/>
        <w:jc w:val="center"/>
        <w:rPr>
          <w:rFonts w:hint="eastAsia"/>
        </w:rPr>
      </w:pPr>
      <w:bookmarkStart w:id="68" w:name="_Toc165537218"/>
      <w:r>
        <w:t>Miodesin</w:t>
      </w:r>
      <w:bookmarkEnd w:id="68"/>
    </w:p>
    <w:p w14:paraId="7B3E089E" w14:textId="77777777" w:rsidR="00CD65C2" w:rsidRPr="00D1428E" w:rsidRDefault="00FA41FC">
      <w:pPr>
        <w:pStyle w:val="Corpo"/>
        <w:spacing w:after="120"/>
        <w:jc w:val="center"/>
        <w:rPr>
          <w:rFonts w:hint="eastAsia"/>
          <w:color w:val="0070C0"/>
          <w:sz w:val="24"/>
        </w:rPr>
      </w:pPr>
      <w:r w:rsidRPr="00D1428E">
        <w:rPr>
          <w:b/>
          <w:color w:val="0070C0"/>
          <w:sz w:val="40"/>
          <w:szCs w:val="22"/>
        </w:rPr>
        <w:t>Aumenta Eficácia da Gestrinona na Endometriose</w:t>
      </w:r>
    </w:p>
    <w:p w14:paraId="15DD839F" w14:textId="77777777" w:rsidR="00CD65C2" w:rsidRDefault="00CD65C2">
      <w:pPr>
        <w:pStyle w:val="Corpo"/>
        <w:spacing w:after="120"/>
        <w:rPr>
          <w:rFonts w:hint="eastAsia"/>
          <w:color w:val="404040" w:themeColor="text1" w:themeTint="BF"/>
          <w:sz w:val="24"/>
        </w:rPr>
      </w:pPr>
    </w:p>
    <w:p w14:paraId="6E0F25BA" w14:textId="0D050BE4" w:rsidR="00CD65C2" w:rsidRDefault="00FA41FC">
      <w:pPr>
        <w:pStyle w:val="Subtitulocorpo"/>
        <w:jc w:val="both"/>
        <w:rPr>
          <w:rFonts w:hint="eastAsia"/>
          <w:color w:val="404040" w:themeColor="text1" w:themeTint="BF"/>
          <w:sz w:val="24"/>
          <w:szCs w:val="24"/>
        </w:rPr>
      </w:pPr>
      <w:r>
        <w:rPr>
          <w:b w:val="0"/>
          <w:color w:val="404040" w:themeColor="text1" w:themeTint="BF"/>
          <w:sz w:val="24"/>
          <w:szCs w:val="24"/>
        </w:rPr>
        <w:t xml:space="preserve">Este estudo avaliou os efeitos do Miodesin™ em pacientes diagnosticas com endometriose e dor severa </w:t>
      </w:r>
      <w:r>
        <w:rPr>
          <w:b w:val="0"/>
          <w:color w:val="404040" w:themeColor="text1" w:themeTint="BF"/>
          <w:sz w:val="24"/>
          <w:szCs w:val="24"/>
        </w:rPr>
        <w:fldChar w:fldCharType="begin"/>
      </w:r>
      <w:r>
        <w:rPr>
          <w:b w:val="0"/>
          <w:color w:val="404040" w:themeColor="text1" w:themeTint="BF"/>
          <w:sz w:val="24"/>
          <w:szCs w:val="24"/>
        </w:rPr>
        <w:instrText xml:space="preserve"> ADDIN EN.CITE &lt;EndNote&gt;&lt;Cite&gt;&lt;Author&gt;Maia&lt;/Author&gt;&lt;Year&gt;2018&lt;/Year&gt;&lt;IDText&gt;The Effect of the Association of Miodesin with Gestrinone on Deep&lt;/IDText&gt;&lt;DisplayText&gt;(Maia, 2018)&lt;/DisplayText&gt;&lt;record&gt;&lt;titles&gt;&lt;title&gt;The Effect of the Association of Miodesin with Gestrinone on Deep&amp;#xA;Endometriosis Pain&lt;/title&gt;&lt;/titles&gt;&lt;contributors&gt;&lt;authors&gt;&lt;author&gt;Maia, H&lt;/author&gt;&lt;/authors&gt;&lt;/contributors&gt;&lt;added-date format="utc"&gt;1544012483&lt;/added-date&gt;&lt;pub-location&gt; ISGE Congress&lt;/pub-location&gt;&lt;ref-type name="Generic"&gt;13&lt;/ref-type&gt;&lt;dates&gt;&lt;year&gt;2018&lt;/year&gt;&lt;/dates&gt;&lt;rec-number&gt;146&lt;/rec-number&gt;&lt;last-updated-date format="utc"&gt;1544013843&lt;/last-updated-date&gt;&lt;/record&gt;&lt;/Cite&gt;&lt;/EndNote&gt;</w:instrText>
      </w:r>
      <w:r>
        <w:rPr>
          <w:b w:val="0"/>
          <w:color w:val="404040" w:themeColor="text1" w:themeTint="BF"/>
          <w:sz w:val="24"/>
          <w:szCs w:val="24"/>
        </w:rPr>
        <w:fldChar w:fldCharType="separate"/>
      </w:r>
      <w:r>
        <w:rPr>
          <w:b w:val="0"/>
          <w:color w:val="404040" w:themeColor="text1" w:themeTint="BF"/>
          <w:sz w:val="24"/>
          <w:szCs w:val="24"/>
        </w:rPr>
        <w:t>(Maia, 2018)</w:t>
      </w:r>
      <w:r>
        <w:rPr>
          <w:b w:val="0"/>
          <w:color w:val="404040" w:themeColor="text1" w:themeTint="BF"/>
          <w:sz w:val="24"/>
          <w:szCs w:val="24"/>
        </w:rPr>
        <w:fldChar w:fldCharType="end"/>
      </w:r>
      <w:r>
        <w:rPr>
          <w:b w:val="0"/>
          <w:color w:val="404040" w:themeColor="text1" w:themeTint="BF"/>
          <w:sz w:val="24"/>
          <w:szCs w:val="24"/>
        </w:rPr>
        <w:t>.</w:t>
      </w:r>
    </w:p>
    <w:p w14:paraId="56274EE6"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92384" behindDoc="0" locked="0" layoutInCell="1" allowOverlap="1">
                <wp:simplePos x="0" y="0"/>
                <wp:positionH relativeFrom="margin">
                  <wp:posOffset>5715</wp:posOffset>
                </wp:positionH>
                <wp:positionV relativeFrom="paragraph">
                  <wp:posOffset>97155</wp:posOffset>
                </wp:positionV>
                <wp:extent cx="5724525" cy="485775"/>
                <wp:effectExtent l="0" t="0" r="28575" b="28575"/>
                <wp:wrapNone/>
                <wp:docPr id="739657666" name="Caixa de texto 739657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485775"/>
                        </a:xfrm>
                        <a:prstGeom prst="rect">
                          <a:avLst/>
                        </a:prstGeom>
                        <a:solidFill>
                          <a:schemeClr val="bg1">
                            <a:lumMod val="100000"/>
                            <a:lumOff val="0"/>
                          </a:schemeClr>
                        </a:solidFill>
                        <a:ln w="9525">
                          <a:solidFill>
                            <a:srgbClr val="0070C0"/>
                          </a:solidFill>
                          <a:miter lim="800000"/>
                        </a:ln>
                      </wps:spPr>
                      <wps:txbx>
                        <w:txbxContent>
                          <w:p w14:paraId="21577E2F" w14:textId="77777777" w:rsidR="00FA41FC" w:rsidRDefault="00FA41FC">
                            <w:pPr>
                              <w:jc w:val="center"/>
                              <w:rPr>
                                <w:rFonts w:ascii="Swis721 Th BT" w:hAnsi="Swis721 Th BT"/>
                                <w:sz w:val="23"/>
                                <w:szCs w:val="23"/>
                              </w:rPr>
                            </w:pPr>
                            <w:r>
                              <w:rPr>
                                <w:rFonts w:ascii="Swis721 Th BT" w:hAnsi="Swis721 Th BT"/>
                                <w:sz w:val="23"/>
                                <w:szCs w:val="23"/>
                              </w:rPr>
                              <w:t xml:space="preserve">Para isso, 40 mulheres que atendiam aos critérios de diagnóstico foram selecionadas e divididas em dois grupos para receberem por via vaginal: </w:t>
                            </w:r>
                          </w:p>
                          <w:p w14:paraId="34908287"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666" o:spid="_x0000_s1111" type="#_x0000_t202" style="position:absolute;left:0;text-align:left;margin-left:.45pt;margin-top:7.65pt;width:450.75pt;height:38.25pt;z-index:251792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" fillcolor="white [3212]" strokecolor="#0070c0">
                <v:textbox>
                  <w:txbxContent>
                    <w:p w14:paraId="21577E2F" w14:textId="77777777" w:rsidR="00FA41FC" w:rsidRDefault="00FA41FC">
                      <w:pPr>
                        <w:jc w:val="center"/>
                        <w:rPr>
                          <w:rFonts w:ascii="Swis721 Th BT" w:hAnsi="Swis721 Th BT"/>
                          <w:sz w:val="23"/>
                          <w:szCs w:val="23"/>
                        </w:rPr>
                      </w:pPr>
                      <w:r>
                        <w:rPr>
                          <w:rFonts w:ascii="Swis721 Th BT" w:hAnsi="Swis721 Th BT"/>
                          <w:sz w:val="23"/>
                          <w:szCs w:val="23"/>
                        </w:rPr>
                        <w:t xml:space="preserve">Para isso, 40 mulheres que atendiam aos critérios de diagnóstico foram selecionadas e divididas em dois grupos para receberem por via vaginal: </w:t>
                      </w:r>
                    </w:p>
                    <w:p w14:paraId="34908287"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26EC4A63" w14:textId="77777777" w:rsidR="00CD65C2" w:rsidRDefault="00CD65C2">
      <w:pPr>
        <w:pStyle w:val="Corpo"/>
        <w:rPr>
          <w:rFonts w:hint="eastAsia"/>
          <w:color w:val="404040" w:themeColor="text1" w:themeTint="BF"/>
          <w:sz w:val="24"/>
        </w:rPr>
      </w:pPr>
    </w:p>
    <w:p w14:paraId="51EE8D88" w14:textId="77777777" w:rsidR="00CD65C2" w:rsidRDefault="00FA41FC">
      <w:pPr>
        <w:pStyle w:val="Corpo"/>
        <w:rPr>
          <w:rFonts w:hint="eastAsia"/>
          <w:color w:val="404040" w:themeColor="text1" w:themeTint="BF"/>
        </w:rPr>
      </w:pPr>
      <w:r>
        <w:rPr>
          <w:b/>
          <w:noProof/>
          <w:color w:val="404040" w:themeColor="text1" w:themeTint="BF"/>
          <w:szCs w:val="23"/>
          <w:lang w:eastAsia="pt-BR"/>
        </w:rPr>
        <mc:AlternateContent>
          <mc:Choice Requires="wps">
            <w:drawing>
              <wp:anchor distT="0" distB="0" distL="114300" distR="114300" simplePos="0" relativeHeight="251794432" behindDoc="0" locked="0" layoutInCell="1" allowOverlap="1">
                <wp:simplePos x="0" y="0"/>
                <wp:positionH relativeFrom="column">
                  <wp:posOffset>4340860</wp:posOffset>
                </wp:positionH>
                <wp:positionV relativeFrom="paragraph">
                  <wp:posOffset>93980</wp:posOffset>
                </wp:positionV>
                <wp:extent cx="226695" cy="138430"/>
                <wp:effectExtent l="0" t="0" r="1905" b="0"/>
                <wp:wrapNone/>
                <wp:docPr id="739657674" name="Triângulo isósceles 7396576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674" o:spid="_x0000_s1026" o:spt="5" type="#_x0000_t5" style="position:absolute;left:0pt;flip:y;margin-left:341.8pt;margin-top:7.4pt;height:10.9pt;width:17.85pt;z-index:251794432;mso-width-relative:page;mso-height-relative:page;" fillcolor="#D9D9D9 [3212]" filled="t" stroked="f" coordsize="21600,21600" o:gfxdata="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IJUiv1wAAAAkBAAAPAAAAAAAAAAEAIAAAACIAAABkcnMvZG93bnJldi54bWxQSwECFAAUAAAA&#10;CACHTuJAxaGzH2ECAACzBAAADgAAAAAAAAABACAAAAAmAQAAZHJzL2Uyb0RvYy54bWxQSwUGAAAA&#10;AAYABgBZAQAA+QUAAAAA&#10;" adj="10800">
                <v:fill on="t" focussize="0,0"/>
                <v:stroke on="f"/>
                <v:imagedata o:title=""/>
                <o:lock v:ext="edit" aspectratio="f"/>
              </v:shape>
            </w:pict>
          </mc:Fallback>
        </mc:AlternateContent>
      </w:r>
      <w:r>
        <w:rPr>
          <w:b/>
          <w:noProof/>
          <w:color w:val="404040" w:themeColor="text1" w:themeTint="BF"/>
          <w:szCs w:val="23"/>
          <w:lang w:eastAsia="pt-BR"/>
        </w:rPr>
        <mc:AlternateContent>
          <mc:Choice Requires="wps">
            <w:drawing>
              <wp:anchor distT="0" distB="0" distL="114300" distR="114300" simplePos="0" relativeHeight="251795456" behindDoc="0" locked="0" layoutInCell="1" allowOverlap="1">
                <wp:simplePos x="0" y="0"/>
                <wp:positionH relativeFrom="column">
                  <wp:posOffset>1133475</wp:posOffset>
                </wp:positionH>
                <wp:positionV relativeFrom="paragraph">
                  <wp:posOffset>99060</wp:posOffset>
                </wp:positionV>
                <wp:extent cx="226695" cy="138430"/>
                <wp:effectExtent l="0" t="0" r="1905" b="0"/>
                <wp:wrapNone/>
                <wp:docPr id="739657675" name="Triângulo isósceles 7396576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675" o:spid="_x0000_s1026" o:spt="5" type="#_x0000_t5" style="position:absolute;left:0pt;flip:y;margin-left:89.25pt;margin-top:7.8pt;height:10.9pt;width:17.85pt;z-index:251795456;mso-width-relative:page;mso-height-relative:page;" fillcolor="#D9D9D9 [3212]" filled="t" stroked="f" coordsize="21600,21600" o:gfxdata="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WmUFa2AAAAAkBAAAPAAAAAAAAAAEAIAAAACIAAABkcnMvZG93bnJldi54bWxQSwECFAAUAAAA&#10;CACHTuJAbfBLWWACAACzBAAADgAAAAAAAAABACAAAAAnAQAAZHJzL2Uyb0RvYy54bWxQSwUGAAAA&#10;AAYABgBZAQAA+QUAAAAA&#10;" adj="10800">
                <v:fill on="t" focussize="0,0"/>
                <v:stroke on="f"/>
                <v:imagedata o:title=""/>
                <o:lock v:ext="edit" aspectratio="f"/>
              </v:shape>
            </w:pict>
          </mc:Fallback>
        </mc:AlternateContent>
      </w:r>
    </w:p>
    <w:p w14:paraId="47B884E1"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791360" behindDoc="0" locked="0" layoutInCell="1" allowOverlap="1">
                <wp:simplePos x="0" y="0"/>
                <wp:positionH relativeFrom="column">
                  <wp:posOffset>5715</wp:posOffset>
                </wp:positionH>
                <wp:positionV relativeFrom="paragraph">
                  <wp:posOffset>173355</wp:posOffset>
                </wp:positionV>
                <wp:extent cx="2428875" cy="1209675"/>
                <wp:effectExtent l="0" t="0" r="28575" b="28575"/>
                <wp:wrapNone/>
                <wp:docPr id="739657667" name="Caixa de texto 739657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209675"/>
                        </a:xfrm>
                        <a:prstGeom prst="rect">
                          <a:avLst/>
                        </a:prstGeom>
                        <a:solidFill>
                          <a:srgbClr val="0070C0"/>
                        </a:solidFill>
                        <a:ln w="9525">
                          <a:solidFill>
                            <a:srgbClr val="0070C0"/>
                          </a:solidFill>
                          <a:miter lim="800000"/>
                        </a:ln>
                      </wps:spPr>
                      <wps:txbx>
                        <w:txbxContent>
                          <w:p w14:paraId="77B345D7"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338B530D"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Gestrinona </w:t>
                            </w:r>
                          </w:p>
                          <w:p w14:paraId="02FDDCA3"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2,5 mg ao dia 2 vezes por semana</w:t>
                            </w:r>
                          </w:p>
                          <w:p w14:paraId="6006148E"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739657667" o:spid="_x0000_s1112" type="#_x0000_t202" style="position:absolute;left:0;text-align:left;margin-left:.45pt;margin-top:13.65pt;width:191.25pt;height:95.25pt;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" fillcolor="#0070c0" strokecolor="#0070c0">
                <v:textbox>
                  <w:txbxContent>
                    <w:p w14:paraId="77B345D7"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338B530D"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Gestrinona </w:t>
                      </w:r>
                    </w:p>
                    <w:p w14:paraId="02FDDCA3"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2,5 mg ao dia 2 vezes por semana</w:t>
                      </w:r>
                    </w:p>
                    <w:p w14:paraId="6006148E"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793408" behindDoc="0" locked="0" layoutInCell="1" allowOverlap="1">
                <wp:simplePos x="0" y="0"/>
                <wp:positionH relativeFrom="column">
                  <wp:posOffset>3263265</wp:posOffset>
                </wp:positionH>
                <wp:positionV relativeFrom="paragraph">
                  <wp:posOffset>173355</wp:posOffset>
                </wp:positionV>
                <wp:extent cx="2466340" cy="1209675"/>
                <wp:effectExtent l="0" t="0" r="10160" b="28575"/>
                <wp:wrapNone/>
                <wp:docPr id="739657668" name="Caixa de texto 739657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340" cy="1209675"/>
                        </a:xfrm>
                        <a:prstGeom prst="rect">
                          <a:avLst/>
                        </a:prstGeom>
                        <a:solidFill>
                          <a:srgbClr val="0070C0"/>
                        </a:solidFill>
                        <a:ln w="9525">
                          <a:solidFill>
                            <a:srgbClr val="0070C0"/>
                          </a:solidFill>
                          <a:miter lim="800000"/>
                        </a:ln>
                      </wps:spPr>
                      <wps:txbx>
                        <w:txbxContent>
                          <w:p w14:paraId="0FD820A6"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14:paraId="71693461"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Miodesin™</w:t>
                            </w:r>
                          </w:p>
                          <w:p w14:paraId="6C0B504B"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500 mg/3 mL</w:t>
                            </w:r>
                          </w:p>
                          <w:p w14:paraId="09142C2F"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65EFBFF1"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Gestrinona </w:t>
                            </w:r>
                          </w:p>
                          <w:p w14:paraId="39A37B95" w14:textId="77777777" w:rsidR="00FA41FC" w:rsidRDefault="00FA41FC">
                            <w:pPr>
                              <w:spacing w:after="0" w:line="240" w:lineRule="auto"/>
                              <w:jc w:val="center"/>
                              <w:rPr>
                                <w:rFonts w:ascii="Swis721 Th BT" w:hAnsi="Swis721 Th BT"/>
                                <w:color w:val="FFFFFF" w:themeColor="background1"/>
                                <w:sz w:val="12"/>
                                <w:szCs w:val="12"/>
                              </w:rPr>
                            </w:pPr>
                            <w:r>
                              <w:rPr>
                                <w:rFonts w:ascii="Swis721 Th BT" w:hAnsi="Swis721 Th BT"/>
                                <w:color w:val="FFFFFF" w:themeColor="background1"/>
                                <w:sz w:val="23"/>
                                <w:szCs w:val="23"/>
                              </w:rPr>
                              <w:t>2,5 mg ao dia 2 vezes por semana</w:t>
                            </w:r>
                          </w:p>
                          <w:p w14:paraId="4FC8E6B5"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739657668" o:spid="_x0000_s1113" type="#_x0000_t202" style="position:absolute;left:0;text-align:left;margin-left:256.95pt;margin-top:13.65pt;width:194.2pt;height:95.25pt;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" fillcolor="#0070c0" strokecolor="#0070c0">
                <v:textbox>
                  <w:txbxContent>
                    <w:p w14:paraId="0FD820A6"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14:paraId="71693461"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Miodesin™</w:t>
                      </w:r>
                    </w:p>
                    <w:p w14:paraId="6C0B504B"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500 mg/3 mL</w:t>
                      </w:r>
                    </w:p>
                    <w:p w14:paraId="09142C2F"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65EFBFF1"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Gestrinona </w:t>
                      </w:r>
                    </w:p>
                    <w:p w14:paraId="39A37B95" w14:textId="77777777" w:rsidR="00FA41FC" w:rsidRDefault="00FA41FC">
                      <w:pPr>
                        <w:spacing w:after="0" w:line="240" w:lineRule="auto"/>
                        <w:jc w:val="center"/>
                        <w:rPr>
                          <w:rFonts w:ascii="Swis721 Th BT" w:hAnsi="Swis721 Th BT"/>
                          <w:color w:val="FFFFFF" w:themeColor="background1"/>
                          <w:sz w:val="12"/>
                          <w:szCs w:val="12"/>
                        </w:rPr>
                      </w:pPr>
                      <w:r>
                        <w:rPr>
                          <w:rFonts w:ascii="Swis721 Th BT" w:hAnsi="Swis721 Th BT"/>
                          <w:color w:val="FFFFFF" w:themeColor="background1"/>
                          <w:sz w:val="23"/>
                          <w:szCs w:val="23"/>
                        </w:rPr>
                        <w:t>2,5 mg ao dia 2 vezes por semana</w:t>
                      </w:r>
                    </w:p>
                    <w:p w14:paraId="4FC8E6B5"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p>
    <w:p w14:paraId="694796F3" w14:textId="77777777" w:rsidR="00CD65C2" w:rsidRDefault="00CD65C2">
      <w:pPr>
        <w:pStyle w:val="Corpo"/>
        <w:rPr>
          <w:rFonts w:hint="eastAsia"/>
          <w:color w:val="404040" w:themeColor="text1" w:themeTint="BF"/>
        </w:rPr>
      </w:pPr>
    </w:p>
    <w:p w14:paraId="7A76E960" w14:textId="77777777" w:rsidR="00CD65C2" w:rsidRDefault="00CD65C2">
      <w:pPr>
        <w:pStyle w:val="Corpo"/>
        <w:rPr>
          <w:rFonts w:hint="eastAsia"/>
          <w:color w:val="404040" w:themeColor="text1" w:themeTint="BF"/>
        </w:rPr>
      </w:pPr>
    </w:p>
    <w:p w14:paraId="3EE406CE" w14:textId="77777777" w:rsidR="00CD65C2" w:rsidRDefault="00CD65C2">
      <w:pPr>
        <w:pStyle w:val="Corpo"/>
        <w:rPr>
          <w:rFonts w:hint="eastAsia"/>
          <w:color w:val="404040" w:themeColor="text1" w:themeTint="BF"/>
        </w:rPr>
      </w:pPr>
    </w:p>
    <w:p w14:paraId="4CE5DB49" w14:textId="77777777" w:rsidR="00CD65C2" w:rsidRDefault="00CD65C2">
      <w:pPr>
        <w:pStyle w:val="Corpo"/>
        <w:spacing w:before="120"/>
        <w:rPr>
          <w:rFonts w:hint="eastAsia"/>
          <w:color w:val="404040" w:themeColor="text1" w:themeTint="BF"/>
          <w:sz w:val="20"/>
        </w:rPr>
      </w:pPr>
    </w:p>
    <w:p w14:paraId="291A602E" w14:textId="77777777" w:rsidR="00CD65C2" w:rsidRDefault="00CD65C2">
      <w:pPr>
        <w:pStyle w:val="Corpo"/>
        <w:spacing w:before="120"/>
        <w:rPr>
          <w:rFonts w:hint="eastAsia"/>
          <w:color w:val="404040" w:themeColor="text1" w:themeTint="BF"/>
          <w:sz w:val="20"/>
        </w:rPr>
      </w:pPr>
    </w:p>
    <w:p w14:paraId="73E88452" w14:textId="77777777" w:rsidR="00CD65C2" w:rsidRDefault="00CD65C2">
      <w:pPr>
        <w:pStyle w:val="Corpo"/>
        <w:spacing w:before="120"/>
        <w:rPr>
          <w:rFonts w:hint="eastAsia"/>
          <w:color w:val="404040" w:themeColor="text1" w:themeTint="BF"/>
          <w:sz w:val="20"/>
        </w:rPr>
      </w:pPr>
    </w:p>
    <w:p w14:paraId="3A294629"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5C755CD9"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1D77D563" w14:textId="77777777" w:rsidR="00CD65C2" w:rsidRDefault="00CD65C2">
      <w:pPr>
        <w:pStyle w:val="Corpo"/>
        <w:rPr>
          <w:rFonts w:hint="eastAsia"/>
          <w:b/>
          <w:color w:val="404040" w:themeColor="text1" w:themeTint="BF"/>
          <w:szCs w:val="23"/>
        </w:rPr>
      </w:pPr>
    </w:p>
    <w:p w14:paraId="194207AA" w14:textId="77777777" w:rsidR="00CD65C2" w:rsidRDefault="00FA41FC">
      <w:pPr>
        <w:pStyle w:val="Corpo"/>
        <w:numPr>
          <w:ilvl w:val="0"/>
          <w:numId w:val="5"/>
        </w:numPr>
        <w:spacing w:after="0"/>
        <w:rPr>
          <w:rFonts w:hint="eastAsia"/>
          <w:color w:val="404040" w:themeColor="text1" w:themeTint="BF"/>
          <w:sz w:val="24"/>
        </w:rPr>
      </w:pPr>
      <w:r>
        <w:rPr>
          <w:color w:val="404040" w:themeColor="text1" w:themeTint="BF"/>
          <w:sz w:val="24"/>
        </w:rPr>
        <w:t>A baixa dose de gestrinona (2,5 mg) diminuiu significativamente os escores totais de dor (</w:t>
      </w:r>
      <w:r>
        <w:rPr>
          <w:i/>
          <w:color w:val="404040" w:themeColor="text1" w:themeTint="BF"/>
          <w:sz w:val="24"/>
        </w:rPr>
        <w:t xml:space="preserve">Visual Analogic Scale - </w:t>
      </w:r>
      <w:r>
        <w:rPr>
          <w:color w:val="404040" w:themeColor="text1" w:themeTint="BF"/>
          <w:sz w:val="24"/>
        </w:rPr>
        <w:t>VAS) em ambos os gupos, sendo que no início do tratamento era 9, mas após o segundo mês o escore diminuiu para 3 e 0,8 no grupo 1 e 2, respectivamente;</w:t>
      </w:r>
    </w:p>
    <w:p w14:paraId="152CD04A" w14:textId="15A5E300" w:rsidR="00CD65C2" w:rsidRDefault="00FA41FC">
      <w:pPr>
        <w:pStyle w:val="Corpo"/>
        <w:numPr>
          <w:ilvl w:val="0"/>
          <w:numId w:val="5"/>
        </w:numPr>
        <w:spacing w:after="0"/>
        <w:rPr>
          <w:rFonts w:hint="eastAsia"/>
          <w:color w:val="404040" w:themeColor="text1" w:themeTint="BF"/>
          <w:sz w:val="24"/>
        </w:rPr>
      </w:pPr>
      <w:r>
        <w:rPr>
          <w:color w:val="404040" w:themeColor="text1" w:themeTint="BF"/>
          <w:sz w:val="24"/>
        </w:rPr>
        <w:t>O grupo 2 apresentou significativamente mais pacientes sem dor (50%) comparado ao grupo 1 (20%);</w:t>
      </w:r>
    </w:p>
    <w:p w14:paraId="733F5DF4" w14:textId="77777777" w:rsidR="00CD65C2" w:rsidRDefault="00FA41FC">
      <w:pPr>
        <w:pStyle w:val="Corpo"/>
        <w:numPr>
          <w:ilvl w:val="0"/>
          <w:numId w:val="5"/>
        </w:numPr>
        <w:spacing w:after="0"/>
        <w:rPr>
          <w:rFonts w:hint="eastAsia"/>
          <w:color w:val="404040" w:themeColor="text1" w:themeTint="BF"/>
          <w:sz w:val="24"/>
        </w:rPr>
      </w:pPr>
      <w:r>
        <w:rPr>
          <w:color w:val="404040" w:themeColor="text1" w:themeTint="BF"/>
          <w:sz w:val="24"/>
        </w:rPr>
        <w:t>Os efeitos adversos afetaram 20% dos pacientes em ambos os grupos e consistiram principalmente em pele oleosa;</w:t>
      </w:r>
    </w:p>
    <w:p w14:paraId="610446E2" w14:textId="77777777" w:rsidR="00CD65C2" w:rsidRDefault="00FA41FC">
      <w:pPr>
        <w:pStyle w:val="Corpo"/>
        <w:numPr>
          <w:ilvl w:val="0"/>
          <w:numId w:val="5"/>
        </w:numPr>
        <w:spacing w:after="0"/>
        <w:rPr>
          <w:rFonts w:hint="eastAsia"/>
          <w:color w:val="404040" w:themeColor="text1" w:themeTint="BF"/>
          <w:sz w:val="24"/>
        </w:rPr>
      </w:pPr>
      <w:r>
        <w:rPr>
          <w:color w:val="404040" w:themeColor="text1" w:themeTint="BF"/>
          <w:sz w:val="24"/>
        </w:rPr>
        <w:t xml:space="preserve">As enzimas hepáticas não foram alteradas e os níveis de SHBG diminuíram em ambos os grupos. </w:t>
      </w:r>
    </w:p>
    <w:p w14:paraId="7C204602" w14:textId="77777777" w:rsidR="00CD65C2" w:rsidRDefault="00CD65C2">
      <w:pPr>
        <w:pStyle w:val="Corpo"/>
        <w:spacing w:after="0"/>
        <w:rPr>
          <w:rFonts w:hint="eastAsia"/>
          <w:color w:val="404040" w:themeColor="text1" w:themeTint="BF"/>
          <w:sz w:val="24"/>
        </w:rPr>
      </w:pPr>
    </w:p>
    <w:p w14:paraId="7D2AA8DE" w14:textId="77777777" w:rsidR="00CD65C2" w:rsidRDefault="00FA41FC">
      <w:pPr>
        <w:pStyle w:val="Corpo"/>
        <w:spacing w:after="120"/>
        <w:rPr>
          <w:rFonts w:hint="eastAsia"/>
          <w:color w:val="404040" w:themeColor="text1" w:themeTint="BF"/>
          <w:sz w:val="24"/>
        </w:rPr>
      </w:pPr>
      <w:r>
        <w:rPr>
          <w:b/>
          <w:color w:val="339966"/>
          <w14:textFill>
            <w14:solidFill>
              <w14:srgbClr w14:val="339966">
                <w14:lumMod w14:val="75000"/>
                <w14:lumOff w14:val="25000"/>
              </w14:srgbClr>
            </w14:solidFill>
          </w14:textFill>
        </w:rPr>
        <w:t>Conclusão:</w:t>
      </w:r>
    </w:p>
    <w:p w14:paraId="689D4D73" w14:textId="77777777" w:rsidR="00CD65C2" w:rsidRDefault="00CD65C2">
      <w:pPr>
        <w:pStyle w:val="Corpo"/>
        <w:rPr>
          <w:rFonts w:hint="eastAsia"/>
          <w:b/>
          <w:color w:val="339966"/>
          <w:sz w:val="16"/>
          <w:szCs w:val="16"/>
          <w14:textFill>
            <w14:solidFill>
              <w14:srgbClr w14:val="339966">
                <w14:lumMod w14:val="75000"/>
                <w14:lumOff w14:val="25000"/>
              </w14:srgbClr>
            </w14:solidFill>
          </w14:textFill>
        </w:rPr>
      </w:pPr>
    </w:p>
    <w:p w14:paraId="75B117E8" w14:textId="298B54CF" w:rsidR="00CD65C2" w:rsidRDefault="00FA41FC">
      <w:pPr>
        <w:pStyle w:val="Corpo"/>
        <w:jc w:val="center"/>
        <w:rPr>
          <w:rFonts w:hint="eastAsia"/>
          <w:b/>
          <w:i/>
          <w:color w:val="404040" w:themeColor="text1" w:themeTint="BF"/>
        </w:rPr>
      </w:pPr>
      <w:r>
        <w:rPr>
          <w:b/>
          <w:i/>
          <w:color w:val="404040" w:themeColor="text1" w:themeTint="BF"/>
        </w:rPr>
        <w:t>Esses resultados sugerem que o Miodesin vaginal melhora significativamente a eficácia da gestrinona no tratamento da dor pélvica em pacientes com endometriose profunda, deixando 80% dessas sem dor após o segundo mês de tratamento.</w:t>
      </w:r>
    </w:p>
    <w:p w14:paraId="25EF0509" w14:textId="77777777" w:rsidR="00CD65C2" w:rsidRDefault="00CD65C2">
      <w:pPr>
        <w:pStyle w:val="Corpo"/>
        <w:spacing w:after="0"/>
        <w:rPr>
          <w:rFonts w:hint="eastAsia"/>
          <w:color w:val="404040" w:themeColor="text1" w:themeTint="BF"/>
          <w:sz w:val="24"/>
        </w:rPr>
      </w:pPr>
    </w:p>
    <w:p w14:paraId="5DA0F785" w14:textId="77777777" w:rsidR="00CD65C2" w:rsidRDefault="00CD65C2">
      <w:pPr>
        <w:pStyle w:val="Corpo"/>
        <w:spacing w:after="0"/>
        <w:rPr>
          <w:rFonts w:hint="eastAsia"/>
          <w:color w:val="404040" w:themeColor="text1" w:themeTint="BF"/>
          <w:sz w:val="24"/>
        </w:rPr>
      </w:pPr>
    </w:p>
    <w:p w14:paraId="03448D93" w14:textId="77777777" w:rsidR="00CD65C2" w:rsidRDefault="00CD65C2">
      <w:pPr>
        <w:pStyle w:val="Corpo"/>
        <w:spacing w:after="0"/>
        <w:rPr>
          <w:rFonts w:hint="eastAsia"/>
          <w:color w:val="404040" w:themeColor="text1" w:themeTint="BF"/>
          <w:sz w:val="24"/>
        </w:rPr>
      </w:pPr>
    </w:p>
    <w:p w14:paraId="77F7F539" w14:textId="77777777" w:rsidR="00CD65C2" w:rsidRDefault="00CD65C2">
      <w:pPr>
        <w:pStyle w:val="Corpo"/>
        <w:spacing w:after="0"/>
        <w:rPr>
          <w:rFonts w:hint="eastAsia"/>
          <w:color w:val="404040" w:themeColor="text1" w:themeTint="BF"/>
          <w:sz w:val="24"/>
        </w:rPr>
      </w:pPr>
    </w:p>
    <w:p w14:paraId="7E878E15" w14:textId="77777777" w:rsidR="00CD65C2" w:rsidRDefault="00CD65C2">
      <w:pPr>
        <w:pStyle w:val="Corpo"/>
        <w:spacing w:after="0"/>
        <w:rPr>
          <w:rFonts w:hint="eastAsia"/>
          <w:color w:val="404040" w:themeColor="text1" w:themeTint="BF"/>
          <w:sz w:val="24"/>
        </w:rPr>
      </w:pPr>
    </w:p>
    <w:p w14:paraId="3162AEA5"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31D2C2E3" w14:textId="77777777" w:rsidR="00CD65C2" w:rsidRDefault="00FA41FC">
      <w:pPr>
        <w:pStyle w:val="Ttulo1"/>
        <w:jc w:val="center"/>
        <w:rPr>
          <w:rFonts w:hint="eastAsia"/>
        </w:rPr>
      </w:pPr>
      <w:bookmarkStart w:id="69" w:name="_Toc165537219"/>
      <w:r>
        <w:t>Formulário</w:t>
      </w:r>
      <w:bookmarkEnd w:id="69"/>
    </w:p>
    <w:p w14:paraId="7D8B5B39" w14:textId="77777777" w:rsidR="00CD65C2" w:rsidRDefault="00CD65C2">
      <w:pPr>
        <w:pStyle w:val="Corpo"/>
        <w:rPr>
          <w:rFonts w:hint="eastAsia"/>
          <w:b/>
          <w:i/>
          <w:color w:val="404040" w:themeColor="text1" w:themeTint="BF"/>
        </w:rPr>
      </w:pPr>
    </w:p>
    <w:p w14:paraId="663794F6" w14:textId="77777777" w:rsidR="00CD65C2" w:rsidRDefault="00CD65C2">
      <w:pPr>
        <w:pStyle w:val="Corpo"/>
        <w:rPr>
          <w:rFonts w:hint="eastAsia"/>
          <w:b/>
          <w:i/>
          <w:color w:val="404040" w:themeColor="text1" w:themeTint="BF"/>
        </w:rPr>
      </w:pPr>
    </w:p>
    <w:p w14:paraId="7D5A99EC" w14:textId="77777777" w:rsidR="00CD65C2" w:rsidRDefault="00FA41FC">
      <w:pPr>
        <w:pStyle w:val="Corpo"/>
        <w:rPr>
          <w:rFonts w:hint="eastAsia"/>
          <w:b/>
          <w:i/>
          <w:color w:val="404040" w:themeColor="text1" w:themeTint="BF"/>
          <w:sz w:val="24"/>
        </w:rPr>
      </w:pPr>
      <w:r>
        <w:rPr>
          <w:b/>
          <w:i/>
          <w:color w:val="404040" w:themeColor="text1" w:themeTint="BF"/>
          <w:sz w:val="24"/>
        </w:rPr>
        <w:t>Associação para Redução da Dor Pélvica na Endometriose Profunda</w:t>
      </w:r>
    </w:p>
    <w:p w14:paraId="17CFFCE8"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4A1A7EC5"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212601A9" w14:textId="77777777" w:rsidR="00CD65C2" w:rsidRDefault="00FA41FC">
            <w:pPr>
              <w:pStyle w:val="Corpo"/>
              <w:jc w:val="center"/>
              <w:rPr>
                <w:rFonts w:hint="eastAsia"/>
                <w:b/>
                <w:color w:val="FFFFFF" w:themeColor="background1"/>
              </w:rPr>
            </w:pPr>
            <w:r>
              <w:rPr>
                <w:b/>
                <w:color w:val="FFFFFF" w:themeColor="background1"/>
                <w:sz w:val="22"/>
              </w:rPr>
              <w:t>Gestrinona</w:t>
            </w:r>
          </w:p>
        </w:tc>
      </w:tr>
      <w:tr w:rsidR="00CD65C2" w14:paraId="036818B7"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57E2541" w14:textId="77777777" w:rsidR="00CD65C2" w:rsidRDefault="00FA41FC">
            <w:pPr>
              <w:pStyle w:val="Corpo"/>
              <w:rPr>
                <w:rFonts w:hint="eastAsia"/>
                <w:color w:val="404040" w:themeColor="text1" w:themeTint="BF"/>
              </w:rPr>
            </w:pPr>
            <w:r>
              <w:rPr>
                <w:color w:val="404040" w:themeColor="text1" w:themeTint="BF"/>
              </w:rPr>
              <w:t>Gestrinona..........................................5 mg</w:t>
            </w:r>
          </w:p>
        </w:tc>
      </w:tr>
      <w:tr w:rsidR="00CD65C2" w14:paraId="5CFC9639"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B88DFC0" w14:textId="61414D88" w:rsidR="00CD65C2" w:rsidRDefault="00FA41FC">
            <w:pPr>
              <w:pStyle w:val="Corpo"/>
              <w:rPr>
                <w:rFonts w:hint="eastAsia"/>
                <w:color w:val="404040" w:themeColor="text1" w:themeTint="BF"/>
              </w:rPr>
            </w:pPr>
            <w:r>
              <w:rPr>
                <w:color w:val="404040" w:themeColor="text1" w:themeTint="BF"/>
              </w:rPr>
              <w:t>Pentravan</w:t>
            </w:r>
            <w:r>
              <w:rPr>
                <w:color w:val="404040" w:themeColor="text1" w:themeTint="BF"/>
                <w:vertAlign w:val="superscript"/>
              </w:rPr>
              <w:t>®</w:t>
            </w:r>
            <w:r>
              <w:rPr>
                <w:color w:val="404040" w:themeColor="text1" w:themeTint="BF"/>
              </w:rPr>
              <w:t xml:space="preserve"> q.s.p. ..................................1 g</w:t>
            </w:r>
          </w:p>
        </w:tc>
      </w:tr>
    </w:tbl>
    <w:p w14:paraId="611C01DD" w14:textId="6DCEFB1A" w:rsidR="00CD65C2" w:rsidRDefault="00FA41FC">
      <w:pPr>
        <w:pStyle w:val="Corpo"/>
        <w:tabs>
          <w:tab w:val="left" w:pos="4536"/>
        </w:tabs>
        <w:ind w:right="4676"/>
        <w:jc w:val="center"/>
        <w:rPr>
          <w:rFonts w:hint="eastAsia"/>
          <w:color w:val="404040" w:themeColor="text1" w:themeTint="BF"/>
          <w:sz w:val="22"/>
          <w:szCs w:val="22"/>
        </w:rPr>
      </w:pPr>
      <w:r>
        <w:rPr>
          <w:color w:val="404040" w:themeColor="text1" w:themeTint="BF"/>
          <w:sz w:val="22"/>
          <w:szCs w:val="22"/>
        </w:rPr>
        <w:t>Aplicar 1 dose via vaginal (com aplicador vaginal) duas vezes por semana, alternando com Miodesin, ou conforme orientação médica.</w:t>
      </w:r>
    </w:p>
    <w:p w14:paraId="0A80707A" w14:textId="77777777" w:rsidR="00CD65C2" w:rsidRDefault="00CD65C2">
      <w:pPr>
        <w:pStyle w:val="Corpo"/>
        <w:ind w:right="4252"/>
        <w:jc w:val="left"/>
        <w:rPr>
          <w:rFonts w:hint="eastAsia"/>
          <w:color w:val="404040" w:themeColor="text1" w:themeTint="BF"/>
          <w:sz w:val="16"/>
          <w:szCs w:val="16"/>
        </w:rPr>
      </w:pPr>
    </w:p>
    <w:p w14:paraId="7C67AF17" w14:textId="77777777" w:rsidR="00CD65C2" w:rsidRDefault="00FA41FC">
      <w:pPr>
        <w:pStyle w:val="Corpo"/>
        <w:ind w:right="4252"/>
        <w:rPr>
          <w:rFonts w:hint="eastAsia"/>
          <w:b/>
          <w:color w:val="404040" w:themeColor="text1" w:themeTint="BF"/>
          <w:sz w:val="22"/>
          <w:szCs w:val="22"/>
        </w:rPr>
      </w:pPr>
      <w:r>
        <w:rPr>
          <w:b/>
          <w:color w:val="404040" w:themeColor="text1" w:themeTint="BF"/>
          <w:sz w:val="22"/>
          <w:szCs w:val="22"/>
        </w:rPr>
        <w:t xml:space="preserve">                                 +</w:t>
      </w:r>
    </w:p>
    <w:p w14:paraId="30B4FD18"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7CB27F3F"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2A5E3F63" w14:textId="77777777" w:rsidR="00CD65C2" w:rsidRDefault="00FA41FC">
            <w:pPr>
              <w:pStyle w:val="Corpo"/>
              <w:jc w:val="center"/>
              <w:rPr>
                <w:rFonts w:hint="eastAsia"/>
                <w:b/>
                <w:color w:val="FFFFFF" w:themeColor="background1"/>
              </w:rPr>
            </w:pPr>
            <w:r>
              <w:rPr>
                <w:b/>
                <w:color w:val="FFFFFF" w:themeColor="background1"/>
                <w:sz w:val="22"/>
              </w:rPr>
              <w:t>Miodesin™</w:t>
            </w:r>
          </w:p>
        </w:tc>
      </w:tr>
      <w:tr w:rsidR="00CD65C2" w14:paraId="3453F13B"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6C87C43" w14:textId="77777777" w:rsidR="00CD65C2" w:rsidRDefault="00FA41FC">
            <w:pPr>
              <w:pStyle w:val="Corpo"/>
              <w:rPr>
                <w:rFonts w:hint="eastAsia"/>
                <w:color w:val="404040" w:themeColor="text1" w:themeTint="BF"/>
              </w:rPr>
            </w:pPr>
            <w:r>
              <w:rPr>
                <w:color w:val="404040" w:themeColor="text1" w:themeTint="BF"/>
              </w:rPr>
              <w:t>Miodesin™......................................500 mg</w:t>
            </w:r>
          </w:p>
        </w:tc>
      </w:tr>
      <w:tr w:rsidR="00CD65C2" w14:paraId="0439E177"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35A2493" w14:textId="3884109A" w:rsidR="00CD65C2" w:rsidRDefault="00FA41FC">
            <w:pPr>
              <w:pStyle w:val="Corpo"/>
              <w:rPr>
                <w:rFonts w:hint="eastAsia"/>
                <w:color w:val="404040" w:themeColor="text1" w:themeTint="BF"/>
              </w:rPr>
            </w:pPr>
            <w:r>
              <w:rPr>
                <w:color w:val="404040" w:themeColor="text1" w:themeTint="BF"/>
              </w:rPr>
              <w:t>Pentravan</w:t>
            </w:r>
            <w:r>
              <w:rPr>
                <w:color w:val="404040" w:themeColor="text1" w:themeTint="BF"/>
                <w:vertAlign w:val="superscript"/>
              </w:rPr>
              <w:t>®</w:t>
            </w:r>
            <w:r>
              <w:rPr>
                <w:color w:val="404040" w:themeColor="text1" w:themeTint="BF"/>
              </w:rPr>
              <w:t xml:space="preserve"> q.s.p. ..................................3 g</w:t>
            </w:r>
          </w:p>
        </w:tc>
      </w:tr>
    </w:tbl>
    <w:p w14:paraId="3B8B3F57" w14:textId="3D7DBD09" w:rsidR="00CD65C2" w:rsidRDefault="00FA41FC">
      <w:pPr>
        <w:pStyle w:val="Corpo"/>
        <w:ind w:right="4960"/>
        <w:jc w:val="center"/>
        <w:rPr>
          <w:rFonts w:hint="eastAsia"/>
          <w:color w:val="404040" w:themeColor="text1" w:themeTint="BF"/>
          <w:sz w:val="22"/>
          <w:szCs w:val="22"/>
        </w:rPr>
      </w:pPr>
      <w:r>
        <w:rPr>
          <w:color w:val="404040" w:themeColor="text1" w:themeTint="BF"/>
          <w:sz w:val="22"/>
          <w:szCs w:val="22"/>
        </w:rPr>
        <w:t>Aplicar 1 dose via vaginal (com aplicador vaginal) cinco vezes por semana, alternando com gestrinona, ou conforme orientação médica.</w:t>
      </w:r>
    </w:p>
    <w:p w14:paraId="6809AD6B" w14:textId="77777777" w:rsidR="00CD65C2" w:rsidRDefault="00CD65C2">
      <w:pPr>
        <w:pStyle w:val="Corpo"/>
        <w:ind w:right="3969"/>
        <w:jc w:val="left"/>
        <w:rPr>
          <w:rFonts w:hint="eastAsia"/>
          <w:color w:val="404040" w:themeColor="text1" w:themeTint="BF"/>
          <w:sz w:val="16"/>
          <w:szCs w:val="16"/>
        </w:rPr>
      </w:pPr>
    </w:p>
    <w:p w14:paraId="564EC048" w14:textId="77777777" w:rsidR="00CD65C2" w:rsidRDefault="00CD65C2">
      <w:pPr>
        <w:pStyle w:val="SemEspaamento"/>
      </w:pPr>
    </w:p>
    <w:p w14:paraId="26335EE7" w14:textId="77777777" w:rsidR="00CD65C2" w:rsidRDefault="00CD65C2">
      <w:pPr>
        <w:pStyle w:val="SemEspaamento"/>
      </w:pPr>
    </w:p>
    <w:p w14:paraId="1BCC881B" w14:textId="77777777" w:rsidR="00CD65C2" w:rsidRDefault="00CD65C2">
      <w:pPr>
        <w:pStyle w:val="SemEspaamento"/>
      </w:pPr>
    </w:p>
    <w:p w14:paraId="108E3287" w14:textId="77777777" w:rsidR="00CD65C2" w:rsidRDefault="00CD65C2">
      <w:pPr>
        <w:pStyle w:val="SemEspaamento"/>
      </w:pPr>
    </w:p>
    <w:p w14:paraId="3A3519CB" w14:textId="77777777" w:rsidR="00CD65C2" w:rsidRDefault="00CD65C2">
      <w:pPr>
        <w:pStyle w:val="SemEspaamento"/>
      </w:pPr>
    </w:p>
    <w:p w14:paraId="222B55CB" w14:textId="77777777" w:rsidR="00CD65C2" w:rsidRDefault="00CD65C2">
      <w:pPr>
        <w:pStyle w:val="SemEspaamento"/>
      </w:pPr>
    </w:p>
    <w:p w14:paraId="73870670" w14:textId="77777777" w:rsidR="00CD65C2" w:rsidRDefault="00CD65C2">
      <w:pPr>
        <w:pStyle w:val="SemEspaamento"/>
      </w:pPr>
    </w:p>
    <w:p w14:paraId="1E0EF1A6" w14:textId="77777777" w:rsidR="00CD65C2" w:rsidRDefault="00CD65C2">
      <w:pPr>
        <w:pStyle w:val="SemEspaamento"/>
      </w:pPr>
    </w:p>
    <w:p w14:paraId="3E5923A1" w14:textId="77777777" w:rsidR="00CD65C2" w:rsidRDefault="00CD65C2">
      <w:pPr>
        <w:pStyle w:val="SemEspaamento"/>
      </w:pPr>
    </w:p>
    <w:p w14:paraId="7CB8A569" w14:textId="77777777" w:rsidR="00CD65C2" w:rsidRDefault="00CD65C2">
      <w:pPr>
        <w:pStyle w:val="SemEspaamento"/>
      </w:pPr>
    </w:p>
    <w:p w14:paraId="52AEA9C0" w14:textId="77777777" w:rsidR="00CD65C2" w:rsidRDefault="00CD65C2">
      <w:pPr>
        <w:pStyle w:val="SemEspaamento"/>
      </w:pPr>
    </w:p>
    <w:p w14:paraId="11B3074A" w14:textId="77777777" w:rsidR="00CD65C2" w:rsidRDefault="00CD65C2">
      <w:pPr>
        <w:pStyle w:val="SemEspaamento"/>
      </w:pPr>
    </w:p>
    <w:p w14:paraId="1C2B61E0" w14:textId="77777777" w:rsidR="00CD65C2" w:rsidRDefault="00CD65C2">
      <w:pPr>
        <w:pStyle w:val="SemEspaamento"/>
      </w:pPr>
    </w:p>
    <w:p w14:paraId="4756867F" w14:textId="77777777" w:rsidR="00CD65C2" w:rsidRDefault="00CD65C2">
      <w:pPr>
        <w:pStyle w:val="SemEspaamento"/>
      </w:pPr>
    </w:p>
    <w:p w14:paraId="5D7291D9" w14:textId="77777777" w:rsidR="00CD65C2" w:rsidRDefault="00CD65C2">
      <w:pPr>
        <w:pStyle w:val="SemEspaamento"/>
      </w:pPr>
    </w:p>
    <w:p w14:paraId="0F521843" w14:textId="77777777" w:rsidR="00CD65C2" w:rsidRDefault="00CD65C2">
      <w:pPr>
        <w:pStyle w:val="SemEspaamento"/>
      </w:pPr>
    </w:p>
    <w:p w14:paraId="5B79816E" w14:textId="77777777" w:rsidR="00CD65C2" w:rsidRDefault="00FA41FC">
      <w:pPr>
        <w:rPr>
          <w:lang w:eastAsia="pt-BR"/>
        </w:rPr>
      </w:pPr>
      <w:r>
        <w:rPr>
          <w:noProof/>
          <w:lang w:eastAsia="pt-BR"/>
        </w:rPr>
        <w:drawing>
          <wp:anchor distT="0" distB="0" distL="114300" distR="114300" simplePos="0" relativeHeight="251826176" behindDoc="0" locked="0" layoutInCell="1" allowOverlap="1">
            <wp:simplePos x="0" y="0"/>
            <wp:positionH relativeFrom="margin">
              <wp:posOffset>-2222500</wp:posOffset>
            </wp:positionH>
            <wp:positionV relativeFrom="paragraph">
              <wp:posOffset>-958215</wp:posOffset>
            </wp:positionV>
            <wp:extent cx="10154285" cy="7029450"/>
            <wp:effectExtent l="0" t="0" r="0" b="0"/>
            <wp:wrapNone/>
            <wp:docPr id="739657719" name="Imagem 739657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657719" name="Imagem 739657719"/>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154285" cy="7029450"/>
                    </a:xfrm>
                    <a:prstGeom prst="rect">
                      <a:avLst/>
                    </a:prstGeom>
                    <a:noFill/>
                    <a:ln>
                      <a:noFill/>
                    </a:ln>
                  </pic:spPr>
                </pic:pic>
              </a:graphicData>
            </a:graphic>
          </wp:anchor>
        </w:drawing>
      </w:r>
    </w:p>
    <w:p w14:paraId="5F67308D" w14:textId="77777777" w:rsidR="00CD65C2" w:rsidRDefault="00CD65C2">
      <w:pPr>
        <w:rPr>
          <w:lang w:eastAsia="pt-BR"/>
        </w:rPr>
      </w:pPr>
    </w:p>
    <w:p w14:paraId="14BE7807" w14:textId="77777777" w:rsidR="00CD65C2" w:rsidRDefault="00CD65C2">
      <w:pPr>
        <w:rPr>
          <w:lang w:eastAsia="pt-BR"/>
        </w:rPr>
      </w:pPr>
    </w:p>
    <w:p w14:paraId="6A0F601C" w14:textId="77777777" w:rsidR="00CD65C2" w:rsidRDefault="00CD65C2">
      <w:pPr>
        <w:rPr>
          <w:lang w:eastAsia="pt-BR"/>
        </w:rPr>
      </w:pPr>
    </w:p>
    <w:p w14:paraId="6AE6FB85" w14:textId="77777777" w:rsidR="00CD65C2" w:rsidRDefault="00CD65C2">
      <w:pPr>
        <w:rPr>
          <w:lang w:eastAsia="pt-BR"/>
        </w:rPr>
      </w:pPr>
    </w:p>
    <w:p w14:paraId="3A4C05FE" w14:textId="77777777" w:rsidR="00CD65C2" w:rsidRDefault="00CD65C2">
      <w:pPr>
        <w:rPr>
          <w:lang w:eastAsia="pt-BR"/>
        </w:rPr>
      </w:pPr>
    </w:p>
    <w:p w14:paraId="118EB1AD" w14:textId="77777777" w:rsidR="00CD65C2" w:rsidRDefault="00CD65C2">
      <w:pPr>
        <w:rPr>
          <w:lang w:eastAsia="pt-BR"/>
        </w:rPr>
      </w:pPr>
    </w:p>
    <w:p w14:paraId="2A42E981" w14:textId="77777777" w:rsidR="00CD65C2" w:rsidRDefault="00CD65C2">
      <w:pPr>
        <w:rPr>
          <w:lang w:eastAsia="pt-BR"/>
        </w:rPr>
      </w:pPr>
    </w:p>
    <w:p w14:paraId="6404C16B" w14:textId="77777777" w:rsidR="00CD65C2" w:rsidRDefault="00CD65C2">
      <w:pPr>
        <w:rPr>
          <w:lang w:eastAsia="pt-BR"/>
        </w:rPr>
      </w:pPr>
    </w:p>
    <w:p w14:paraId="257D119F" w14:textId="77777777" w:rsidR="00CD65C2" w:rsidRDefault="00CD65C2">
      <w:pPr>
        <w:rPr>
          <w:lang w:eastAsia="pt-BR"/>
        </w:rPr>
      </w:pPr>
    </w:p>
    <w:p w14:paraId="4A19BBE1" w14:textId="77777777" w:rsidR="00CD65C2" w:rsidRDefault="00CD65C2">
      <w:pPr>
        <w:rPr>
          <w:lang w:eastAsia="pt-BR"/>
        </w:rPr>
      </w:pPr>
    </w:p>
    <w:p w14:paraId="58498CA4" w14:textId="77777777" w:rsidR="00CD65C2" w:rsidRDefault="00CD65C2">
      <w:pPr>
        <w:rPr>
          <w:lang w:eastAsia="pt-BR"/>
        </w:rPr>
      </w:pPr>
    </w:p>
    <w:p w14:paraId="18A54A9E" w14:textId="77777777" w:rsidR="00CD65C2" w:rsidRDefault="00CD65C2">
      <w:pPr>
        <w:rPr>
          <w:lang w:eastAsia="pt-BR"/>
        </w:rPr>
      </w:pPr>
    </w:p>
    <w:p w14:paraId="182C5D7A" w14:textId="77777777" w:rsidR="00CD65C2" w:rsidRDefault="00CD65C2">
      <w:pPr>
        <w:rPr>
          <w:lang w:eastAsia="pt-BR"/>
        </w:rPr>
      </w:pPr>
    </w:p>
    <w:p w14:paraId="790ACF22" w14:textId="77777777" w:rsidR="00CD65C2" w:rsidRDefault="00CD65C2">
      <w:pPr>
        <w:rPr>
          <w:lang w:eastAsia="pt-BR"/>
        </w:rPr>
      </w:pPr>
    </w:p>
    <w:p w14:paraId="2EB945F0" w14:textId="77777777" w:rsidR="00CD65C2" w:rsidRDefault="00CD65C2">
      <w:pPr>
        <w:rPr>
          <w:lang w:eastAsia="pt-BR"/>
        </w:rPr>
      </w:pPr>
    </w:p>
    <w:p w14:paraId="14BCC1F6" w14:textId="77777777" w:rsidR="00CD65C2" w:rsidRDefault="00CD65C2">
      <w:pPr>
        <w:rPr>
          <w:lang w:eastAsia="pt-BR"/>
        </w:rPr>
      </w:pPr>
    </w:p>
    <w:p w14:paraId="2869AF91" w14:textId="77777777" w:rsidR="00CD65C2" w:rsidRDefault="00CD65C2">
      <w:pPr>
        <w:rPr>
          <w:lang w:eastAsia="pt-BR"/>
        </w:rPr>
      </w:pPr>
    </w:p>
    <w:p w14:paraId="7981262A" w14:textId="77777777" w:rsidR="00CD65C2" w:rsidRDefault="00CD65C2">
      <w:pPr>
        <w:rPr>
          <w:lang w:eastAsia="pt-BR"/>
        </w:rPr>
      </w:pPr>
    </w:p>
    <w:p w14:paraId="6AA206F3" w14:textId="77777777" w:rsidR="00CD65C2" w:rsidRDefault="00CD65C2">
      <w:pPr>
        <w:rPr>
          <w:lang w:eastAsia="pt-BR"/>
        </w:rPr>
      </w:pPr>
    </w:p>
    <w:p w14:paraId="23007D88" w14:textId="77777777" w:rsidR="00CD65C2" w:rsidRDefault="00CD65C2"/>
    <w:p w14:paraId="64DC88D2" w14:textId="77777777" w:rsidR="00CD65C2" w:rsidRDefault="00FA41FC">
      <w:pPr>
        <w:pStyle w:val="Ttulo1"/>
        <w:jc w:val="center"/>
        <w:rPr>
          <w:rFonts w:hint="eastAsia"/>
        </w:rPr>
      </w:pPr>
      <w:bookmarkStart w:id="70" w:name="_Toc165537220"/>
      <w:r>
        <w:t>Menopausa</w:t>
      </w:r>
      <w:bookmarkEnd w:id="70"/>
    </w:p>
    <w:p w14:paraId="7B79C5E3" w14:textId="1BC9DAFD" w:rsidR="00CD65C2" w:rsidRDefault="00FA41FC">
      <w:pPr>
        <w:pStyle w:val="Ttulo1"/>
        <w:jc w:val="center"/>
        <w:rPr>
          <w:rFonts w:hint="eastAsia"/>
        </w:rPr>
      </w:pPr>
      <w:r>
        <w:t xml:space="preserve"> </w:t>
      </w:r>
      <w:bookmarkStart w:id="71" w:name="_Toc165537221"/>
      <w:r>
        <w:t>(Perfil Metabólico, Osteopenia e Sintomas do Climatério)</w:t>
      </w:r>
      <w:bookmarkEnd w:id="71"/>
    </w:p>
    <w:p w14:paraId="09A9A15C" w14:textId="77777777" w:rsidR="00CD65C2" w:rsidRDefault="00CD65C2">
      <w:pPr>
        <w:pStyle w:val="SemEspaamento"/>
      </w:pPr>
    </w:p>
    <w:p w14:paraId="4B9FFEB1" w14:textId="77777777" w:rsidR="00CD65C2" w:rsidRDefault="00FA41FC">
      <w:pPr>
        <w:pStyle w:val="Ttulo1"/>
        <w:jc w:val="center"/>
        <w:rPr>
          <w:rFonts w:hint="eastAsia"/>
        </w:rPr>
      </w:pPr>
      <w:bookmarkStart w:id="72" w:name="_Toc165537222"/>
      <w:r>
        <w:rPr>
          <w:bCs/>
          <w:iCs/>
        </w:rPr>
        <w:t>Curcumina e Vitamina E</w:t>
      </w:r>
      <w:bookmarkEnd w:id="72"/>
    </w:p>
    <w:p w14:paraId="53FAB5F3" w14:textId="77777777" w:rsidR="00CD65C2" w:rsidRPr="00D1428E" w:rsidRDefault="00FA41FC">
      <w:pPr>
        <w:pStyle w:val="Corpo"/>
        <w:spacing w:after="120"/>
        <w:jc w:val="center"/>
        <w:rPr>
          <w:rFonts w:hint="eastAsia"/>
          <w:b/>
          <w:bCs/>
          <w:color w:val="0070C0"/>
          <w:sz w:val="40"/>
        </w:rPr>
      </w:pPr>
      <w:r w:rsidRPr="00D1428E">
        <w:rPr>
          <w:b/>
          <w:bCs/>
          <w:color w:val="0070C0"/>
          <w:sz w:val="40"/>
        </w:rPr>
        <w:t>Melhoram o Status Antioxidante, Inflamatório e Ansiedade</w:t>
      </w:r>
    </w:p>
    <w:p w14:paraId="54230976" w14:textId="77777777" w:rsidR="00CD65C2" w:rsidRDefault="00CD65C2">
      <w:pPr>
        <w:pStyle w:val="Corpo"/>
        <w:spacing w:line="276" w:lineRule="auto"/>
        <w:rPr>
          <w:rFonts w:hint="eastAsia"/>
          <w:color w:val="404040" w:themeColor="text1" w:themeTint="BF"/>
          <w:szCs w:val="23"/>
        </w:rPr>
      </w:pPr>
    </w:p>
    <w:p w14:paraId="5F2EDA11" w14:textId="77777777" w:rsidR="00CD65C2" w:rsidRDefault="00FA41FC">
      <w:pPr>
        <w:pStyle w:val="Corpo"/>
        <w:spacing w:line="276" w:lineRule="auto"/>
        <w:rPr>
          <w:rFonts w:hint="eastAsia"/>
          <w:color w:val="404040" w:themeColor="text1" w:themeTint="BF"/>
          <w:szCs w:val="23"/>
        </w:rPr>
      </w:pPr>
      <w:r>
        <w:rPr>
          <w:color w:val="404040" w:themeColor="text1" w:themeTint="BF"/>
          <w:szCs w:val="23"/>
        </w:rPr>
        <w:t xml:space="preserve">Este estudo clínico, randomizado, controlado, paralelo e triplo-cego teve como objetivo avaliar os efeitos da suplementação de curcumina e vitamina E nos biomarcadores de estresse inflamatório oxidativo e sintomas primários da menopausa em mulheres saudáveis na pós-menopausa </w:t>
      </w:r>
      <w:r>
        <w:rPr>
          <w:color w:val="404040" w:themeColor="text1" w:themeTint="BF"/>
          <w:szCs w:val="23"/>
        </w:rPr>
        <w:fldChar w:fldCharType="begin"/>
      </w:r>
      <w:r>
        <w:rPr>
          <w:color w:val="404040" w:themeColor="text1" w:themeTint="BF"/>
          <w:szCs w:val="23"/>
        </w:rPr>
        <w:instrText xml:space="preserve"> ADDIN EN.CITE &lt;EndNote&gt;&lt;Cite&gt;&lt;Author&gt;Farshbaf-Khalili&lt;/Author&gt;&lt;Year&gt;2022&lt;/Year&gt;&lt;IDText&gt;Clinical Efficacy of Curcumin and Vitamin E on Inflammatory-Oxidative Stress Biomarkers and Primary Symptoms of Menopause in Healthy Postmenopausal Women: A Triple-Blind Randomized Controlled Trial&lt;/IDText&gt;&lt;DisplayText&gt;(FARSHBAF-KHALILI; OSTADRAHIMI; MIRGHAFOURVAND; ATAEI-ALMANGHADIM&lt;style face="italic"&gt; et al.&lt;/style&gt;, 2022)&lt;/DisplayText&gt;&lt;record&gt;&lt;dates&gt;&lt;pub-dates&gt;&lt;date&gt;2022/06/09&lt;/date&gt;&lt;/pub-dates&gt;&lt;year&gt;2022&lt;/year&gt;&lt;/dates&gt;&lt;urls&gt;&lt;related-urls&gt;&lt;url&gt;https://doi.org/10.1155/2022/6339715&lt;/url&gt;&lt;/related-urls&gt;&lt;/urls&gt;&lt;isbn&gt;2090-0724&lt;/isbn&gt;&lt;titles&gt;&lt;title&gt;Clinical Efficacy of Curcumin and Vitamin E on Inflammatory-Oxidative Stress Biomarkers and Primary Symptoms of Menopause in Healthy Postmenopausal Women: A Triple-Blind Randomized Controlled Trial&lt;/title&gt;&lt;secondary-title&gt;Journal of Nutrition and Metabolism&lt;/secondary-title&gt;&lt;/titles&gt;&lt;pages&gt;6339715&lt;/pages&gt;&lt;contributors&gt;&lt;authors&gt;&lt;author&gt;Farshbaf-Khalili, Azizeh&lt;/author&gt;&lt;author&gt;Ostadrahimi, Alireza&lt;/author&gt;&lt;author&gt;Mirghafourvand, Mojgan&lt;/author&gt;&lt;author&gt;Ataei-Almanghadim, Khatereh&lt;/author&gt;&lt;author&gt;Dousti, Sara&lt;/author&gt;&lt;author&gt;Iranshahi, Amir Mehdi&lt;/author&gt;&lt;/authors&gt;&lt;/contributors&gt;&lt;added-date format="utc"&gt;1659467120&lt;/added-date&gt;&lt;ref-type name="Journal Article"&gt;17&lt;/ref-type&gt;&lt;rec-number&gt;2357&lt;/rec-number&gt;&lt;publisher&gt;Hindawi&lt;/publisher&gt;&lt;last-updated-date format="utc"&gt;1659467120&lt;/last-updated-date&gt;&lt;contributors&gt;&lt;secondary-authors&gt;&lt;author&gt;Huerta, José María&lt;/author&gt;&lt;/secondary-authors&gt;&lt;/contributors&gt;&lt;electronic-resource-num&gt;10.1155/2022/6339715&lt;/electronic-resource-num&gt;&lt;volume&gt;2022&lt;/volume&gt;&lt;/record&gt;&lt;/Cite&gt;&lt;/EndNote&gt;</w:instrText>
      </w:r>
      <w:r>
        <w:rPr>
          <w:color w:val="404040" w:themeColor="text1" w:themeTint="BF"/>
          <w:szCs w:val="23"/>
        </w:rPr>
        <w:fldChar w:fldCharType="separate"/>
      </w:r>
      <w:r>
        <w:rPr>
          <w:color w:val="404040" w:themeColor="text1" w:themeTint="BF"/>
          <w:szCs w:val="23"/>
        </w:rPr>
        <w:t>(FARSHBAF-KHALILI; OSTADRAHIMI; MIRGHAFOURVAND; ATAEI-ALMANGHADIM</w:t>
      </w:r>
      <w:r>
        <w:rPr>
          <w:i/>
          <w:color w:val="404040" w:themeColor="text1" w:themeTint="BF"/>
          <w:szCs w:val="23"/>
        </w:rPr>
        <w:t xml:space="preserve"> et al.</w:t>
      </w:r>
      <w:r>
        <w:rPr>
          <w:color w:val="404040" w:themeColor="text1" w:themeTint="BF"/>
          <w:szCs w:val="23"/>
        </w:rPr>
        <w:t>, 2022)</w:t>
      </w:r>
      <w:r>
        <w:rPr>
          <w:color w:val="404040" w:themeColor="text1" w:themeTint="BF"/>
          <w:szCs w:val="23"/>
        </w:rPr>
        <w:fldChar w:fldCharType="end"/>
      </w:r>
      <w:r>
        <w:rPr>
          <w:color w:val="404040" w:themeColor="text1" w:themeTint="BF"/>
          <w:szCs w:val="23"/>
        </w:rPr>
        <w:t>.</w:t>
      </w:r>
    </w:p>
    <w:p w14:paraId="2370B517"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798528" behindDoc="0" locked="0" layoutInCell="1" allowOverlap="1">
                <wp:simplePos x="0" y="0"/>
                <wp:positionH relativeFrom="margin">
                  <wp:posOffset>5715</wp:posOffset>
                </wp:positionH>
                <wp:positionV relativeFrom="paragraph">
                  <wp:posOffset>97155</wp:posOffset>
                </wp:positionV>
                <wp:extent cx="5724525" cy="485775"/>
                <wp:effectExtent l="0" t="0" r="28575" b="28575"/>
                <wp:wrapNone/>
                <wp:docPr id="739657677" name="Caixa de texto 739657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485775"/>
                        </a:xfrm>
                        <a:prstGeom prst="rect">
                          <a:avLst/>
                        </a:prstGeom>
                        <a:solidFill>
                          <a:schemeClr val="bg1">
                            <a:lumMod val="100000"/>
                            <a:lumOff val="0"/>
                          </a:schemeClr>
                        </a:solidFill>
                        <a:ln w="9525">
                          <a:solidFill>
                            <a:srgbClr val="0070C0"/>
                          </a:solidFill>
                          <a:miter lim="800000"/>
                        </a:ln>
                      </wps:spPr>
                      <wps:txbx>
                        <w:txbxContent>
                          <w:p w14:paraId="7918E259" w14:textId="12F68C45" w:rsidR="00FA41FC" w:rsidRDefault="00FA41FC">
                            <w:pPr>
                              <w:jc w:val="center"/>
                              <w:rPr>
                                <w:rFonts w:ascii="Swis721 Th BT" w:hAnsi="Swis721 Th BT"/>
                                <w:sz w:val="23"/>
                                <w:szCs w:val="23"/>
                              </w:rPr>
                            </w:pPr>
                            <w:r>
                              <w:rPr>
                                <w:rFonts w:ascii="Swis721 Th BT" w:hAnsi="Swis721 Th BT"/>
                                <w:sz w:val="23"/>
                                <w:szCs w:val="23"/>
                              </w:rPr>
                              <w:t>Para isso, 84 mulheres nessa condição, com idades entre 40 e 60 anos, foram selecionadas para receberem durante oito semanas:</w:t>
                            </w:r>
                          </w:p>
                          <w:p w14:paraId="4AB07122"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677" o:spid="_x0000_s1114" type="#_x0000_t202" style="position:absolute;left:0;text-align:left;margin-left:.45pt;margin-top:7.65pt;width:450.75pt;height:38.25pt;z-index:2517985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" fillcolor="white [3212]" strokecolor="#0070c0">
                <v:textbox>
                  <w:txbxContent>
                    <w:p w14:paraId="7918E259" w14:textId="12F68C45" w:rsidR="00FA41FC" w:rsidRDefault="00FA41FC">
                      <w:pPr>
                        <w:jc w:val="center"/>
                        <w:rPr>
                          <w:rFonts w:ascii="Swis721 Th BT" w:hAnsi="Swis721 Th BT"/>
                          <w:sz w:val="23"/>
                          <w:szCs w:val="23"/>
                        </w:rPr>
                      </w:pPr>
                      <w:r>
                        <w:rPr>
                          <w:rFonts w:ascii="Swis721 Th BT" w:hAnsi="Swis721 Th BT"/>
                          <w:sz w:val="23"/>
                          <w:szCs w:val="23"/>
                        </w:rPr>
                        <w:t>Para isso, 84 mulheres nessa condição, com idades entre 40 e 60 anos, foram selecionadas para receberem durante oito semanas:</w:t>
                      </w:r>
                    </w:p>
                    <w:p w14:paraId="4AB07122"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6DF1087B" w14:textId="77777777" w:rsidR="00CD65C2" w:rsidRDefault="00CD65C2">
      <w:pPr>
        <w:pStyle w:val="Corpo"/>
        <w:rPr>
          <w:rFonts w:hint="eastAsia"/>
          <w:color w:val="404040" w:themeColor="text1" w:themeTint="BF"/>
        </w:rPr>
      </w:pPr>
    </w:p>
    <w:p w14:paraId="52DF3C6F"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799552" behindDoc="0" locked="0" layoutInCell="1" allowOverlap="1">
                <wp:simplePos x="0" y="0"/>
                <wp:positionH relativeFrom="column">
                  <wp:posOffset>2005965</wp:posOffset>
                </wp:positionH>
                <wp:positionV relativeFrom="paragraph">
                  <wp:posOffset>78740</wp:posOffset>
                </wp:positionV>
                <wp:extent cx="1771650" cy="1000125"/>
                <wp:effectExtent l="0" t="0" r="19050" b="28575"/>
                <wp:wrapNone/>
                <wp:docPr id="739657683" name="Caixa de texto 739657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000125"/>
                        </a:xfrm>
                        <a:prstGeom prst="rect">
                          <a:avLst/>
                        </a:prstGeom>
                        <a:solidFill>
                          <a:srgbClr val="0070C0"/>
                        </a:solidFill>
                        <a:ln w="9525">
                          <a:solidFill>
                            <a:srgbClr val="0070C0"/>
                          </a:solidFill>
                          <a:miter lim="800000"/>
                        </a:ln>
                      </wps:spPr>
                      <wps:txbx>
                        <w:txbxContent>
                          <w:p w14:paraId="01D6823E"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14:paraId="1D4F3A40" w14:textId="77777777" w:rsidR="00FA41FC" w:rsidRDefault="00FA41FC">
                            <w:pPr>
                              <w:spacing w:after="0" w:line="240" w:lineRule="auto"/>
                              <w:jc w:val="center"/>
                              <w:rPr>
                                <w:rFonts w:ascii="Swis721 Th BT" w:hAnsi="Swis721 Th BT"/>
                                <w:b/>
                                <w:color w:val="FFFFFF" w:themeColor="background1"/>
                                <w:sz w:val="23"/>
                                <w:szCs w:val="23"/>
                              </w:rPr>
                            </w:pPr>
                          </w:p>
                          <w:p w14:paraId="037A65CC"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E</w:t>
                            </w:r>
                          </w:p>
                          <w:p w14:paraId="09A0049A"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500 mg 2 vezes ao dia </w:t>
                            </w:r>
                          </w:p>
                          <w:p w14:paraId="5ADD31FB" w14:textId="77777777" w:rsidR="00FA41FC" w:rsidRDefault="00FA41FC">
                            <w:pPr>
                              <w:spacing w:after="0" w:line="240" w:lineRule="auto"/>
                              <w:jc w:val="center"/>
                              <w:rPr>
                                <w:rFonts w:ascii="Swis721 Th BT" w:hAnsi="Swis721 Th BT"/>
                                <w:b/>
                                <w:color w:val="FFFFFF" w:themeColor="background1"/>
                                <w:sz w:val="23"/>
                                <w:szCs w:val="23"/>
                              </w:rPr>
                            </w:pPr>
                          </w:p>
                          <w:p w14:paraId="72D34033" w14:textId="77777777" w:rsidR="00FA41FC" w:rsidRDefault="00FA41FC">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739657683" o:spid="_x0000_s1115" type="#_x0000_t202" style="position:absolute;left:0;text-align:left;margin-left:157.95pt;margin-top:6.2pt;width:139.5pt;height:78.75pt;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" fillcolor="#0070c0" strokecolor="#0070c0">
                <v:textbox>
                  <w:txbxContent>
                    <w:p w14:paraId="01D6823E"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14:paraId="1D4F3A40" w14:textId="77777777" w:rsidR="00FA41FC" w:rsidRDefault="00FA41FC">
                      <w:pPr>
                        <w:spacing w:after="0" w:line="240" w:lineRule="auto"/>
                        <w:jc w:val="center"/>
                        <w:rPr>
                          <w:rFonts w:ascii="Swis721 Th BT" w:hAnsi="Swis721 Th BT"/>
                          <w:b/>
                          <w:color w:val="FFFFFF" w:themeColor="background1"/>
                          <w:sz w:val="23"/>
                          <w:szCs w:val="23"/>
                        </w:rPr>
                      </w:pPr>
                    </w:p>
                    <w:p w14:paraId="037A65CC"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E</w:t>
                      </w:r>
                    </w:p>
                    <w:p w14:paraId="09A0049A"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500 mg 2 vezes ao dia </w:t>
                      </w:r>
                    </w:p>
                    <w:p w14:paraId="5ADD31FB" w14:textId="77777777" w:rsidR="00FA41FC" w:rsidRDefault="00FA41FC">
                      <w:pPr>
                        <w:spacing w:after="0" w:line="240" w:lineRule="auto"/>
                        <w:jc w:val="center"/>
                        <w:rPr>
                          <w:rFonts w:ascii="Swis721 Th BT" w:hAnsi="Swis721 Th BT"/>
                          <w:b/>
                          <w:color w:val="FFFFFF" w:themeColor="background1"/>
                          <w:sz w:val="23"/>
                          <w:szCs w:val="23"/>
                        </w:rPr>
                      </w:pPr>
                    </w:p>
                    <w:p w14:paraId="72D34033" w14:textId="77777777" w:rsidR="00FA41FC" w:rsidRDefault="00FA41FC">
                      <w:pPr>
                        <w:spacing w:after="0" w:line="240" w:lineRule="auto"/>
                        <w:jc w:val="cente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796480" behindDoc="0" locked="0" layoutInCell="1" allowOverlap="1">
                <wp:simplePos x="0" y="0"/>
                <wp:positionH relativeFrom="column">
                  <wp:posOffset>5715</wp:posOffset>
                </wp:positionH>
                <wp:positionV relativeFrom="paragraph">
                  <wp:posOffset>88265</wp:posOffset>
                </wp:positionV>
                <wp:extent cx="1779905" cy="1000125"/>
                <wp:effectExtent l="0" t="0" r="10795" b="28575"/>
                <wp:wrapNone/>
                <wp:docPr id="739657680" name="Caixa de texto 739657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9918" cy="1000125"/>
                        </a:xfrm>
                        <a:prstGeom prst="rect">
                          <a:avLst/>
                        </a:prstGeom>
                        <a:solidFill>
                          <a:srgbClr val="0070C0"/>
                        </a:solidFill>
                        <a:ln w="9525">
                          <a:solidFill>
                            <a:srgbClr val="0070C0"/>
                          </a:solidFill>
                          <a:miter lim="800000"/>
                        </a:ln>
                      </wps:spPr>
                      <wps:txbx>
                        <w:txbxContent>
                          <w:p w14:paraId="5233253F"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0F28C3AC"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Curcumina</w:t>
                            </w:r>
                          </w:p>
                          <w:p w14:paraId="29E75289"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500 mg 2 vezes ao dia </w:t>
                            </w:r>
                          </w:p>
                          <w:p w14:paraId="2A561C53"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739657680" o:spid="_x0000_s1116" type="#_x0000_t202" style="position:absolute;left:0;text-align:left;margin-left:.45pt;margin-top:6.95pt;width:140.15pt;height:78.75pt;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" fillcolor="#0070c0" strokecolor="#0070c0">
                <v:textbox>
                  <w:txbxContent>
                    <w:p w14:paraId="5233253F"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0F28C3AC"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Curcumina</w:t>
                      </w:r>
                    </w:p>
                    <w:p w14:paraId="29E75289"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500 mg 2 vezes ao dia </w:t>
                      </w:r>
                    </w:p>
                    <w:p w14:paraId="2A561C53"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797504" behindDoc="0" locked="0" layoutInCell="1" allowOverlap="1">
                <wp:simplePos x="0" y="0"/>
                <wp:positionH relativeFrom="column">
                  <wp:posOffset>3968115</wp:posOffset>
                </wp:positionH>
                <wp:positionV relativeFrom="paragraph">
                  <wp:posOffset>88265</wp:posOffset>
                </wp:positionV>
                <wp:extent cx="1771650" cy="1000125"/>
                <wp:effectExtent l="0" t="0" r="19050" b="28575"/>
                <wp:wrapNone/>
                <wp:docPr id="739657681" name="Caixa de texto 739657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000125"/>
                        </a:xfrm>
                        <a:prstGeom prst="rect">
                          <a:avLst/>
                        </a:prstGeom>
                        <a:solidFill>
                          <a:srgbClr val="0070C0"/>
                        </a:solidFill>
                        <a:ln w="9525">
                          <a:solidFill>
                            <a:srgbClr val="0070C0"/>
                          </a:solidFill>
                          <a:miter lim="800000"/>
                        </a:ln>
                      </wps:spPr>
                      <wps:txbx>
                        <w:txbxContent>
                          <w:p w14:paraId="1CB20C49"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14:paraId="758E0DC7" w14:textId="77777777" w:rsidR="00FA41FC" w:rsidRDefault="00FA41FC">
                            <w:pPr>
                              <w:spacing w:after="0" w:line="240" w:lineRule="auto"/>
                              <w:jc w:val="center"/>
                              <w:rPr>
                                <w:rFonts w:ascii="Swis721 Th BT" w:hAnsi="Swis721 Th BT"/>
                                <w:b/>
                                <w:color w:val="FFFFFF" w:themeColor="background1"/>
                                <w:sz w:val="23"/>
                                <w:szCs w:val="23"/>
                              </w:rPr>
                            </w:pPr>
                          </w:p>
                          <w:p w14:paraId="65B39383"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352EEB1F" w14:textId="77777777" w:rsidR="00FA41FC" w:rsidRDefault="00FA41FC">
                            <w:pPr>
                              <w:spacing w:after="0" w:line="240" w:lineRule="auto"/>
                              <w:jc w:val="center"/>
                              <w:rPr>
                                <w:rFonts w:ascii="Swis721 Th BT" w:hAnsi="Swis721 Th BT"/>
                                <w:b/>
                                <w:color w:val="FFFFFF" w:themeColor="background1"/>
                                <w:sz w:val="23"/>
                                <w:szCs w:val="23"/>
                              </w:rPr>
                            </w:pPr>
                          </w:p>
                          <w:p w14:paraId="63FED8A1" w14:textId="77777777" w:rsidR="00FA41FC" w:rsidRDefault="00FA41FC">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739657681" o:spid="_x0000_s1117" type="#_x0000_t202" style="position:absolute;left:0;text-align:left;margin-left:312.45pt;margin-top:6.95pt;width:139.5pt;height:78.75pt;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" fillcolor="#0070c0" strokecolor="#0070c0">
                <v:textbox>
                  <w:txbxContent>
                    <w:p w14:paraId="1CB20C49"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14:paraId="758E0DC7" w14:textId="77777777" w:rsidR="00FA41FC" w:rsidRDefault="00FA41FC">
                      <w:pPr>
                        <w:spacing w:after="0" w:line="240" w:lineRule="auto"/>
                        <w:jc w:val="center"/>
                        <w:rPr>
                          <w:rFonts w:ascii="Swis721 Th BT" w:hAnsi="Swis721 Th BT"/>
                          <w:b/>
                          <w:color w:val="FFFFFF" w:themeColor="background1"/>
                          <w:sz w:val="23"/>
                          <w:szCs w:val="23"/>
                        </w:rPr>
                      </w:pPr>
                    </w:p>
                    <w:p w14:paraId="65B39383"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352EEB1F" w14:textId="77777777" w:rsidR="00FA41FC" w:rsidRDefault="00FA41FC">
                      <w:pPr>
                        <w:spacing w:after="0" w:line="240" w:lineRule="auto"/>
                        <w:jc w:val="center"/>
                        <w:rPr>
                          <w:rFonts w:ascii="Swis721 Th BT" w:hAnsi="Swis721 Th BT"/>
                          <w:b/>
                          <w:color w:val="FFFFFF" w:themeColor="background1"/>
                          <w:sz w:val="23"/>
                          <w:szCs w:val="23"/>
                        </w:rPr>
                      </w:pPr>
                    </w:p>
                    <w:p w14:paraId="63FED8A1" w14:textId="77777777" w:rsidR="00FA41FC" w:rsidRDefault="00FA41FC">
                      <w:pPr>
                        <w:spacing w:after="0" w:line="240" w:lineRule="auto"/>
                        <w:jc w:val="center"/>
                      </w:pPr>
                    </w:p>
                  </w:txbxContent>
                </v:textbox>
              </v:shape>
            </w:pict>
          </mc:Fallback>
        </mc:AlternateContent>
      </w:r>
    </w:p>
    <w:p w14:paraId="42C9868F" w14:textId="77777777" w:rsidR="00CD65C2" w:rsidRDefault="00CD65C2">
      <w:pPr>
        <w:pStyle w:val="Corpo"/>
        <w:rPr>
          <w:rFonts w:hint="eastAsia"/>
          <w:color w:val="404040" w:themeColor="text1" w:themeTint="BF"/>
        </w:rPr>
      </w:pPr>
    </w:p>
    <w:p w14:paraId="483BEF45" w14:textId="77777777" w:rsidR="00CD65C2" w:rsidRDefault="00CD65C2">
      <w:pPr>
        <w:pStyle w:val="Corpo"/>
        <w:rPr>
          <w:rFonts w:hint="eastAsia"/>
          <w:color w:val="404040" w:themeColor="text1" w:themeTint="BF"/>
        </w:rPr>
      </w:pPr>
    </w:p>
    <w:p w14:paraId="3E57034E" w14:textId="77777777" w:rsidR="00CD65C2" w:rsidRDefault="00CD65C2">
      <w:pPr>
        <w:pStyle w:val="Corpo"/>
        <w:rPr>
          <w:rFonts w:hint="eastAsia"/>
          <w:color w:val="404040" w:themeColor="text1" w:themeTint="BF"/>
        </w:rPr>
      </w:pPr>
    </w:p>
    <w:p w14:paraId="2B26ADFD" w14:textId="77777777" w:rsidR="00CD65C2" w:rsidRDefault="00CD65C2">
      <w:pPr>
        <w:pStyle w:val="Corpo"/>
        <w:spacing w:before="120"/>
        <w:rPr>
          <w:rFonts w:hint="eastAsia"/>
          <w:color w:val="404040" w:themeColor="text1" w:themeTint="BF"/>
          <w:sz w:val="20"/>
        </w:rPr>
      </w:pPr>
    </w:p>
    <w:p w14:paraId="05ED96E9" w14:textId="77777777" w:rsidR="00CD65C2" w:rsidRDefault="00CD65C2">
      <w:pPr>
        <w:pStyle w:val="Corpo"/>
        <w:spacing w:before="120"/>
        <w:rPr>
          <w:rFonts w:hint="eastAsia"/>
          <w:color w:val="404040" w:themeColor="text1" w:themeTint="BF"/>
          <w:sz w:val="20"/>
        </w:rPr>
      </w:pPr>
    </w:p>
    <w:p w14:paraId="06C30D83" w14:textId="77777777" w:rsidR="00CD65C2" w:rsidRDefault="00FA41FC">
      <w:pPr>
        <w:pStyle w:val="Corpo"/>
        <w:numPr>
          <w:ilvl w:val="1"/>
          <w:numId w:val="4"/>
        </w:numPr>
        <w:rPr>
          <w:rFonts w:hint="eastAsia"/>
          <w:color w:val="404040" w:themeColor="text1" w:themeTint="BF"/>
          <w:sz w:val="20"/>
        </w:rPr>
      </w:pPr>
      <w:r>
        <w:rPr>
          <w:color w:val="404040" w:themeColor="text1" w:themeTint="BF"/>
          <w:sz w:val="20"/>
        </w:rPr>
        <w:t xml:space="preserve">Características demográficas e antropométricas, ingestão alimentar e sintomas precoces da menopausa foram coletados no início do estudo. Os níveis séricos de capacidade antioxidante total (TAC), malondialdeído (MDA) e proteína C reativa de alta sensibilidade (PCR-as) foram medidos no início e após a intervenção. </w:t>
      </w:r>
    </w:p>
    <w:p w14:paraId="03EA1C28"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4746DB89"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0460E8AC" w14:textId="77777777" w:rsidR="00CD65C2" w:rsidRDefault="00FA41FC">
      <w:pPr>
        <w:pStyle w:val="Corpo"/>
        <w:numPr>
          <w:ilvl w:val="0"/>
          <w:numId w:val="32"/>
        </w:numPr>
        <w:rPr>
          <w:rFonts w:hint="eastAsia"/>
          <w:color w:val="404040" w:themeColor="text1" w:themeTint="BF"/>
          <w:sz w:val="24"/>
        </w:rPr>
      </w:pPr>
      <w:r>
        <w:rPr>
          <w:color w:val="404040" w:themeColor="text1" w:themeTint="BF"/>
          <w:sz w:val="24"/>
        </w:rPr>
        <w:t>A pontuação média</w:t>
      </w:r>
      <w:r>
        <w:rPr>
          <w:rFonts w:ascii="Arial" w:hAnsi="Arial" w:cs="Arial"/>
          <w:color w:val="404040" w:themeColor="text1" w:themeTint="BF"/>
          <w:sz w:val="24"/>
        </w:rPr>
        <w:t> </w:t>
      </w:r>
      <w:r>
        <w:rPr>
          <w:rFonts w:cs="Swis721 Th BT"/>
          <w:color w:val="404040" w:themeColor="text1" w:themeTint="BF"/>
          <w:sz w:val="24"/>
        </w:rPr>
        <w:t>±</w:t>
      </w:r>
      <w:r>
        <w:rPr>
          <w:rFonts w:ascii="Arial" w:hAnsi="Arial" w:cs="Arial"/>
          <w:color w:val="404040" w:themeColor="text1" w:themeTint="BF"/>
          <w:sz w:val="24"/>
        </w:rPr>
        <w:t> </w:t>
      </w:r>
      <w:r>
        <w:rPr>
          <w:color w:val="404040" w:themeColor="text1" w:themeTint="BF"/>
          <w:sz w:val="24"/>
        </w:rPr>
        <w:t>desvio padr</w:t>
      </w:r>
      <w:r>
        <w:rPr>
          <w:rFonts w:cs="Swis721 Th BT"/>
          <w:color w:val="404040" w:themeColor="text1" w:themeTint="BF"/>
          <w:sz w:val="24"/>
        </w:rPr>
        <w:t>ã</w:t>
      </w:r>
      <w:r>
        <w:rPr>
          <w:color w:val="404040" w:themeColor="text1" w:themeTint="BF"/>
          <w:sz w:val="24"/>
        </w:rPr>
        <w:t>o (DP) dos sintomas totais da menopausa, depress</w:t>
      </w:r>
      <w:r>
        <w:rPr>
          <w:rFonts w:cs="Swis721 Th BT"/>
          <w:color w:val="404040" w:themeColor="text1" w:themeTint="BF"/>
          <w:sz w:val="24"/>
        </w:rPr>
        <w:t>ã</w:t>
      </w:r>
      <w:r>
        <w:rPr>
          <w:color w:val="404040" w:themeColor="text1" w:themeTint="BF"/>
          <w:sz w:val="24"/>
        </w:rPr>
        <w:t>o, ansiedade, dom</w:t>
      </w:r>
      <w:r>
        <w:rPr>
          <w:rFonts w:cs="Swis721 Th BT"/>
          <w:color w:val="404040" w:themeColor="text1" w:themeTint="BF"/>
          <w:sz w:val="24"/>
        </w:rPr>
        <w:t>í</w:t>
      </w:r>
      <w:r>
        <w:rPr>
          <w:color w:val="404040" w:themeColor="text1" w:themeTint="BF"/>
          <w:sz w:val="24"/>
        </w:rPr>
        <w:t>nios psicol</w:t>
      </w:r>
      <w:r>
        <w:rPr>
          <w:rFonts w:cs="Swis721 Th BT"/>
          <w:color w:val="404040" w:themeColor="text1" w:themeTint="BF"/>
          <w:sz w:val="24"/>
        </w:rPr>
        <w:t>ó</w:t>
      </w:r>
      <w:r>
        <w:rPr>
          <w:color w:val="404040" w:themeColor="text1" w:themeTint="BF"/>
          <w:sz w:val="24"/>
        </w:rPr>
        <w:t>gico, vasomotor e f</w:t>
      </w:r>
      <w:r>
        <w:rPr>
          <w:rFonts w:cs="Swis721 Th BT"/>
          <w:color w:val="404040" w:themeColor="text1" w:themeTint="BF"/>
          <w:sz w:val="24"/>
        </w:rPr>
        <w:t>í</w:t>
      </w:r>
      <w:r>
        <w:rPr>
          <w:color w:val="404040" w:themeColor="text1" w:themeTint="BF"/>
          <w:sz w:val="24"/>
        </w:rPr>
        <w:t>sico diminu</w:t>
      </w:r>
      <w:r>
        <w:rPr>
          <w:rFonts w:cs="Swis721 Th BT"/>
          <w:color w:val="404040" w:themeColor="text1" w:themeTint="BF"/>
          <w:sz w:val="24"/>
        </w:rPr>
        <w:t>í</w:t>
      </w:r>
      <w:r>
        <w:rPr>
          <w:color w:val="404040" w:themeColor="text1" w:themeTint="BF"/>
          <w:sz w:val="24"/>
        </w:rPr>
        <w:t>ram significativamente em todos os grupos;</w:t>
      </w:r>
    </w:p>
    <w:p w14:paraId="14CAB00E" w14:textId="77777777" w:rsidR="00CD65C2" w:rsidRDefault="00FA41FC">
      <w:pPr>
        <w:pStyle w:val="Corpo"/>
        <w:numPr>
          <w:ilvl w:val="0"/>
          <w:numId w:val="32"/>
        </w:numPr>
        <w:rPr>
          <w:rFonts w:hint="eastAsia"/>
          <w:color w:val="404040" w:themeColor="text1" w:themeTint="BF"/>
          <w:sz w:val="24"/>
        </w:rPr>
      </w:pPr>
      <w:r>
        <w:rPr>
          <w:color w:val="404040" w:themeColor="text1" w:themeTint="BF"/>
          <w:sz w:val="24"/>
        </w:rPr>
        <w:t>As análises entre os grupos indicaram que a diminuição do escore médio de ansiedade no grupo vitamina E foi expressivamente maior do que no grupo placebo;</w:t>
      </w:r>
    </w:p>
    <w:p w14:paraId="3ED0CAF3" w14:textId="77777777" w:rsidR="00CD65C2" w:rsidRDefault="00FA41FC">
      <w:pPr>
        <w:pStyle w:val="Corpo"/>
        <w:numPr>
          <w:ilvl w:val="0"/>
          <w:numId w:val="32"/>
        </w:numPr>
        <w:rPr>
          <w:rFonts w:hint="eastAsia"/>
          <w:color w:val="404040" w:themeColor="text1" w:themeTint="BF"/>
          <w:sz w:val="24"/>
        </w:rPr>
      </w:pPr>
      <w:r>
        <w:rPr>
          <w:color w:val="404040" w:themeColor="text1" w:themeTint="BF"/>
          <w:sz w:val="24"/>
        </w:rPr>
        <w:t>Os níveis séricos médios de MDA e PCR-as diminuíram de forma acentuada apenas no grupo curcumina;</w:t>
      </w:r>
    </w:p>
    <w:p w14:paraId="6B069927" w14:textId="77777777" w:rsidR="00CD65C2" w:rsidRDefault="00FA41FC">
      <w:pPr>
        <w:pStyle w:val="Corpo"/>
        <w:numPr>
          <w:ilvl w:val="0"/>
          <w:numId w:val="32"/>
        </w:numPr>
        <w:rPr>
          <w:rFonts w:hint="eastAsia"/>
          <w:color w:val="404040" w:themeColor="text1" w:themeTint="BF"/>
          <w:sz w:val="24"/>
        </w:rPr>
      </w:pPr>
      <w:r>
        <w:rPr>
          <w:color w:val="404040" w:themeColor="text1" w:themeTint="BF"/>
          <w:sz w:val="24"/>
        </w:rPr>
        <w:t>Os níveis séricos de TAC aumentaram consideravelmente nos grupos de curcumina e vitamina E.</w:t>
      </w:r>
    </w:p>
    <w:p w14:paraId="772E54F1"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477D916B"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 xml:space="preserve">Conclusão: </w:t>
      </w:r>
    </w:p>
    <w:p w14:paraId="43EFBE1D" w14:textId="77777777" w:rsidR="00CD65C2" w:rsidRDefault="00FA41FC">
      <w:pPr>
        <w:pStyle w:val="Corpo"/>
        <w:jc w:val="center"/>
        <w:rPr>
          <w:rFonts w:hint="eastAsia"/>
          <w:b/>
          <w:i/>
          <w:color w:val="404040" w:themeColor="text1" w:themeTint="BF"/>
        </w:rPr>
      </w:pPr>
      <w:r>
        <w:rPr>
          <w:b/>
          <w:bCs/>
          <w:i/>
          <w:color w:val="404040" w:themeColor="text1" w:themeTint="BF"/>
        </w:rPr>
        <w:t>A curcumina pode melhorar os biomarcadores de estresse oxidativo (MDA e TAC) e inflamação (PCR-as). A vitamina E também pode melhorar o status antioxidante, aumentando os níveis de TAC. Além disso, o alívio da ansiedade no grupo da vitamina E foi maior do que no grupo placebo.</w:t>
      </w:r>
    </w:p>
    <w:p w14:paraId="5F5D4A0E" w14:textId="77777777" w:rsidR="00CD65C2" w:rsidRDefault="00FA41FC">
      <w:pPr>
        <w:pStyle w:val="Ttulo1"/>
        <w:jc w:val="center"/>
        <w:rPr>
          <w:rFonts w:hint="eastAsia"/>
        </w:rPr>
      </w:pPr>
      <w:bookmarkStart w:id="73" w:name="_Toc165537223"/>
      <w:r>
        <w:t>Formulário</w:t>
      </w:r>
      <w:bookmarkEnd w:id="73"/>
    </w:p>
    <w:p w14:paraId="18EEEE07" w14:textId="77777777" w:rsidR="00CD65C2" w:rsidRDefault="00CD65C2">
      <w:pPr>
        <w:pStyle w:val="Corpo"/>
        <w:rPr>
          <w:rFonts w:hint="eastAsia"/>
          <w:b/>
          <w:i/>
          <w:color w:val="404040" w:themeColor="text1" w:themeTint="BF"/>
        </w:rPr>
      </w:pPr>
    </w:p>
    <w:p w14:paraId="212E4E73" w14:textId="77777777" w:rsidR="00CD65C2" w:rsidRDefault="00CD65C2">
      <w:pPr>
        <w:pStyle w:val="Corpo"/>
        <w:rPr>
          <w:rFonts w:hint="eastAsia"/>
          <w:b/>
          <w:i/>
          <w:color w:val="404040" w:themeColor="text1" w:themeTint="BF"/>
        </w:rPr>
      </w:pPr>
    </w:p>
    <w:p w14:paraId="08844555" w14:textId="77777777" w:rsidR="00CD65C2" w:rsidRDefault="00FA41FC">
      <w:pPr>
        <w:pStyle w:val="Corpo"/>
        <w:rPr>
          <w:rFonts w:hint="eastAsia"/>
          <w:b/>
          <w:bCs/>
          <w:i/>
          <w:color w:val="404040" w:themeColor="text1" w:themeTint="BF"/>
        </w:rPr>
      </w:pPr>
      <w:r>
        <w:rPr>
          <w:b/>
          <w:bCs/>
          <w:i/>
          <w:color w:val="404040" w:themeColor="text1" w:themeTint="BF"/>
        </w:rPr>
        <w:t>Curcumina e Vitamina E são Benéficos para Mulheres na Pós-Menopausa</w:t>
      </w:r>
    </w:p>
    <w:p w14:paraId="55648028" w14:textId="77777777" w:rsidR="00CD65C2" w:rsidRDefault="00CD65C2">
      <w:pPr>
        <w:pStyle w:val="Corpo"/>
        <w:rPr>
          <w:rFonts w:hint="eastAsia"/>
          <w:color w:val="404040" w:themeColor="text1" w:themeTint="BF"/>
          <w:sz w:val="10"/>
          <w:szCs w:val="10"/>
        </w:rPr>
      </w:pPr>
    </w:p>
    <w:p w14:paraId="0B9553CE" w14:textId="77777777" w:rsidR="00CD65C2" w:rsidRDefault="00CD65C2">
      <w:pPr>
        <w:pStyle w:val="Corpo"/>
        <w:rPr>
          <w:rFonts w:hint="eastAsia"/>
          <w:color w:val="404040" w:themeColor="text1" w:themeTint="BF"/>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336ED722"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7ABCAE12" w14:textId="77777777" w:rsidR="00CD65C2" w:rsidRDefault="00FA41FC">
            <w:pPr>
              <w:pStyle w:val="Corpo"/>
              <w:jc w:val="center"/>
              <w:rPr>
                <w:rFonts w:hint="eastAsia"/>
                <w:b/>
                <w:color w:val="FFFFFF" w:themeColor="background1"/>
              </w:rPr>
            </w:pPr>
            <w:r>
              <w:rPr>
                <w:b/>
                <w:color w:val="FFFFFF" w:themeColor="background1"/>
                <w:sz w:val="22"/>
              </w:rPr>
              <w:t>Cápsulas de Curcumina</w:t>
            </w:r>
          </w:p>
        </w:tc>
      </w:tr>
      <w:tr w:rsidR="00CD65C2" w14:paraId="3ADC5BC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E401116" w14:textId="77777777" w:rsidR="00CD65C2" w:rsidRDefault="00FA41FC">
            <w:pPr>
              <w:pStyle w:val="Corpo"/>
              <w:jc w:val="center"/>
              <w:rPr>
                <w:rFonts w:hint="eastAsia"/>
                <w:color w:val="404040" w:themeColor="text1" w:themeTint="BF"/>
              </w:rPr>
            </w:pPr>
            <w:r>
              <w:rPr>
                <w:color w:val="404040" w:themeColor="text1" w:themeTint="BF"/>
              </w:rPr>
              <w:t>Curcumina......................................500 mg</w:t>
            </w:r>
          </w:p>
        </w:tc>
      </w:tr>
      <w:tr w:rsidR="00CD65C2" w14:paraId="6E9F1019"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2B897A9" w14:textId="0F18B620" w:rsidR="00CD65C2" w:rsidRDefault="00FA41FC">
            <w:pPr>
              <w:pStyle w:val="Corpo"/>
              <w:jc w:val="center"/>
              <w:rPr>
                <w:rFonts w:hint="eastAsia"/>
                <w:color w:val="404040" w:themeColor="text1" w:themeTint="BF"/>
              </w:rPr>
            </w:pPr>
            <w:r>
              <w:rPr>
                <w:color w:val="404040" w:themeColor="text1" w:themeTint="BF"/>
              </w:rPr>
              <w:t>Excipiente q.s.p. ........................1 Cápsula</w:t>
            </w:r>
          </w:p>
        </w:tc>
      </w:tr>
    </w:tbl>
    <w:p w14:paraId="673989E3" w14:textId="420FAF62" w:rsidR="00CD65C2" w:rsidRDefault="00FA41FC">
      <w:pPr>
        <w:pStyle w:val="SemEspaamento"/>
        <w:ind w:right="4818"/>
        <w:jc w:val="center"/>
        <w:rPr>
          <w:rFonts w:ascii="Swis721 Th BT" w:eastAsia="MS Mincho" w:hAnsi="Swis721 Th BT" w:hint="eastAsia"/>
          <w:color w:val="404040" w:themeColor="text1" w:themeTint="BF"/>
        </w:rPr>
      </w:pPr>
      <w:r>
        <w:rPr>
          <w:rFonts w:ascii="Swis721 Th BT" w:eastAsia="MS Mincho" w:hAnsi="Swis721 Th BT"/>
          <w:color w:val="404040" w:themeColor="text1" w:themeTint="BF"/>
        </w:rPr>
        <w:t>Administrar 1 cápsula duas vezes ao dia ou conforme orientação médica.</w:t>
      </w:r>
    </w:p>
    <w:p w14:paraId="256BBE94" w14:textId="77777777" w:rsidR="00CD65C2" w:rsidRDefault="00CD65C2">
      <w:pPr>
        <w:pStyle w:val="SemEspaamento"/>
      </w:pPr>
    </w:p>
    <w:p w14:paraId="317B09EF" w14:textId="77777777" w:rsidR="00CD65C2" w:rsidRDefault="00CD65C2">
      <w:pPr>
        <w:pStyle w:val="SemEspaamento"/>
      </w:pPr>
    </w:p>
    <w:p w14:paraId="5838EB51" w14:textId="77777777" w:rsidR="00CD65C2" w:rsidRDefault="00CD65C2">
      <w:pPr>
        <w:pStyle w:val="SemEspaament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495B3DB1"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1AA865EF" w14:textId="77777777" w:rsidR="00CD65C2" w:rsidRDefault="00FA41FC">
            <w:pPr>
              <w:pStyle w:val="Corpo"/>
              <w:jc w:val="center"/>
              <w:rPr>
                <w:rFonts w:hint="eastAsia"/>
                <w:b/>
                <w:color w:val="FFFFFF" w:themeColor="background1"/>
              </w:rPr>
            </w:pPr>
            <w:r>
              <w:rPr>
                <w:b/>
                <w:color w:val="FFFFFF" w:themeColor="background1"/>
                <w:sz w:val="22"/>
              </w:rPr>
              <w:t>Cápsulas de Vitamina E</w:t>
            </w:r>
          </w:p>
        </w:tc>
      </w:tr>
      <w:tr w:rsidR="00CD65C2" w14:paraId="490C9316"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C5A8E29" w14:textId="77777777" w:rsidR="00CD65C2" w:rsidRDefault="00FA41FC">
            <w:pPr>
              <w:pStyle w:val="Corpo"/>
              <w:jc w:val="center"/>
              <w:rPr>
                <w:rFonts w:hint="eastAsia"/>
                <w:color w:val="404040" w:themeColor="text1" w:themeTint="BF"/>
              </w:rPr>
            </w:pPr>
            <w:r>
              <w:rPr>
                <w:color w:val="404040" w:themeColor="text1" w:themeTint="BF"/>
              </w:rPr>
              <w:t>Vitamina E.......................................500 mg</w:t>
            </w:r>
          </w:p>
        </w:tc>
      </w:tr>
      <w:tr w:rsidR="00CD65C2" w14:paraId="24BB06E4"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27384D1" w14:textId="6EC8208F" w:rsidR="00CD65C2" w:rsidRDefault="00FA41FC">
            <w:pPr>
              <w:pStyle w:val="Corpo"/>
              <w:jc w:val="center"/>
              <w:rPr>
                <w:rFonts w:hint="eastAsia"/>
                <w:color w:val="404040" w:themeColor="text1" w:themeTint="BF"/>
              </w:rPr>
            </w:pPr>
            <w:r>
              <w:rPr>
                <w:color w:val="404040" w:themeColor="text1" w:themeTint="BF"/>
              </w:rPr>
              <w:t>Excipiente q.s.p. ........................1 Cápsula</w:t>
            </w:r>
          </w:p>
        </w:tc>
      </w:tr>
    </w:tbl>
    <w:p w14:paraId="36041ED0" w14:textId="0E96059D" w:rsidR="00CD65C2" w:rsidRDefault="00FA41FC">
      <w:pPr>
        <w:pStyle w:val="SemEspaamento"/>
        <w:ind w:right="4818"/>
        <w:jc w:val="center"/>
        <w:rPr>
          <w:rFonts w:ascii="Swis721 Th BT" w:eastAsia="MS Mincho" w:hAnsi="Swis721 Th BT" w:hint="eastAsia"/>
          <w:color w:val="404040" w:themeColor="text1" w:themeTint="BF"/>
        </w:rPr>
      </w:pPr>
      <w:r>
        <w:rPr>
          <w:rFonts w:ascii="Swis721 Th BT" w:eastAsia="MS Mincho" w:hAnsi="Swis721 Th BT"/>
          <w:color w:val="404040" w:themeColor="text1" w:themeTint="BF"/>
        </w:rPr>
        <w:t>Administrar 1 cápsula duas vezes ao dia ou conforme orientação médica.</w:t>
      </w:r>
    </w:p>
    <w:p w14:paraId="571EF511" w14:textId="77777777" w:rsidR="00CD65C2" w:rsidRDefault="00CD65C2">
      <w:pPr>
        <w:pStyle w:val="SemEspaamento"/>
      </w:pPr>
    </w:p>
    <w:p w14:paraId="59AC6F68" w14:textId="77777777" w:rsidR="00CD65C2" w:rsidRDefault="00CD65C2">
      <w:pPr>
        <w:pStyle w:val="SemEspaamento"/>
      </w:pPr>
    </w:p>
    <w:p w14:paraId="473AC7A4" w14:textId="77777777" w:rsidR="00CD65C2" w:rsidRDefault="00CD65C2">
      <w:pPr>
        <w:pStyle w:val="SemEspaamento"/>
      </w:pPr>
    </w:p>
    <w:p w14:paraId="3509B6C5" w14:textId="77777777" w:rsidR="00CD65C2" w:rsidRDefault="00CD65C2">
      <w:pPr>
        <w:pStyle w:val="SemEspaamento"/>
      </w:pPr>
    </w:p>
    <w:p w14:paraId="50B57563" w14:textId="77777777" w:rsidR="00CD65C2" w:rsidRDefault="00CD65C2">
      <w:pPr>
        <w:pStyle w:val="SemEspaamento"/>
      </w:pPr>
    </w:p>
    <w:p w14:paraId="5C653E4A" w14:textId="77777777" w:rsidR="00CD65C2" w:rsidRDefault="00CD65C2">
      <w:pPr>
        <w:pStyle w:val="SemEspaamento"/>
      </w:pPr>
    </w:p>
    <w:p w14:paraId="3313893B" w14:textId="77777777" w:rsidR="00CD65C2" w:rsidRDefault="00CD65C2">
      <w:pPr>
        <w:pStyle w:val="SemEspaamento"/>
      </w:pPr>
    </w:p>
    <w:p w14:paraId="0F8468F0" w14:textId="77777777" w:rsidR="00CD65C2" w:rsidRDefault="00CD65C2">
      <w:pPr>
        <w:pStyle w:val="SemEspaamento"/>
      </w:pPr>
    </w:p>
    <w:p w14:paraId="65BA841F" w14:textId="77777777" w:rsidR="00CD65C2" w:rsidRDefault="00CD65C2">
      <w:pPr>
        <w:pStyle w:val="SemEspaamento"/>
      </w:pPr>
    </w:p>
    <w:p w14:paraId="3F6B774C" w14:textId="77777777" w:rsidR="00CD65C2" w:rsidRDefault="00CD65C2">
      <w:pPr>
        <w:pStyle w:val="SemEspaamento"/>
      </w:pPr>
    </w:p>
    <w:p w14:paraId="18CC76E1" w14:textId="77777777" w:rsidR="00CD65C2" w:rsidRDefault="00CD65C2">
      <w:pPr>
        <w:pStyle w:val="SemEspaamento"/>
      </w:pPr>
    </w:p>
    <w:p w14:paraId="76F94829" w14:textId="77777777" w:rsidR="00CD65C2" w:rsidRDefault="00CD65C2">
      <w:pPr>
        <w:pStyle w:val="SemEspaamento"/>
      </w:pPr>
    </w:p>
    <w:p w14:paraId="54525676" w14:textId="77777777" w:rsidR="00CD65C2" w:rsidRDefault="00CD65C2">
      <w:pPr>
        <w:pStyle w:val="SemEspaamento"/>
      </w:pPr>
    </w:p>
    <w:p w14:paraId="75CBD996" w14:textId="77777777" w:rsidR="00CD65C2" w:rsidRDefault="00CD65C2">
      <w:pPr>
        <w:pStyle w:val="SemEspaamento"/>
      </w:pPr>
    </w:p>
    <w:p w14:paraId="28673ED6" w14:textId="77777777" w:rsidR="00CD65C2" w:rsidRDefault="00CD65C2">
      <w:pPr>
        <w:pStyle w:val="SemEspaamento"/>
      </w:pPr>
    </w:p>
    <w:p w14:paraId="1BE26E96" w14:textId="77777777" w:rsidR="00CD65C2" w:rsidRDefault="00CD65C2">
      <w:pPr>
        <w:pStyle w:val="SemEspaamento"/>
      </w:pPr>
    </w:p>
    <w:p w14:paraId="58B937F9" w14:textId="77777777" w:rsidR="00CD65C2" w:rsidRDefault="00CD65C2">
      <w:pPr>
        <w:pStyle w:val="SemEspaamento"/>
      </w:pPr>
    </w:p>
    <w:p w14:paraId="54A5303C" w14:textId="77777777" w:rsidR="00CD65C2" w:rsidRDefault="00CD65C2">
      <w:pPr>
        <w:pStyle w:val="SemEspaamento"/>
      </w:pPr>
    </w:p>
    <w:p w14:paraId="60385366" w14:textId="77777777" w:rsidR="00CD65C2" w:rsidRDefault="00CD65C2">
      <w:pPr>
        <w:pStyle w:val="SemEspaamento"/>
      </w:pPr>
    </w:p>
    <w:p w14:paraId="6BE45595" w14:textId="77777777" w:rsidR="00CD65C2" w:rsidRDefault="00CD65C2">
      <w:pPr>
        <w:pStyle w:val="SemEspaamento"/>
      </w:pPr>
    </w:p>
    <w:p w14:paraId="31B413B1" w14:textId="77777777" w:rsidR="00CD65C2" w:rsidRDefault="00CD65C2">
      <w:pPr>
        <w:pStyle w:val="SemEspaamento"/>
      </w:pPr>
    </w:p>
    <w:p w14:paraId="646429C4" w14:textId="77777777" w:rsidR="00CD65C2" w:rsidRDefault="00FA41FC">
      <w:pPr>
        <w:pStyle w:val="Ttulo1"/>
        <w:jc w:val="center"/>
        <w:rPr>
          <w:rFonts w:hint="eastAsia"/>
        </w:rPr>
      </w:pPr>
      <w:bookmarkStart w:id="74" w:name="_Toc165537224"/>
      <w:r>
        <w:rPr>
          <w:bCs/>
          <w:iCs/>
        </w:rPr>
        <w:t>Zinco</w:t>
      </w:r>
      <w:bookmarkEnd w:id="74"/>
    </w:p>
    <w:p w14:paraId="71A33471" w14:textId="77777777" w:rsidR="00CD65C2" w:rsidRDefault="00FA41FC">
      <w:pPr>
        <w:pStyle w:val="Subtitulocorpo"/>
        <w:rPr>
          <w:rFonts w:hint="eastAsia"/>
        </w:rPr>
      </w:pPr>
      <w:r>
        <w:t>Melhora as Concentrações Circulantes de Homocisteína, Vitamina B12 e Níveis de Folato</w:t>
      </w:r>
    </w:p>
    <w:p w14:paraId="1D1FD701" w14:textId="77777777" w:rsidR="00CD65C2" w:rsidRDefault="00CD65C2">
      <w:pPr>
        <w:pStyle w:val="Corpo"/>
        <w:spacing w:after="120"/>
        <w:rPr>
          <w:rFonts w:hint="eastAsia"/>
          <w:color w:val="404040" w:themeColor="text1" w:themeTint="BF"/>
          <w:sz w:val="24"/>
        </w:rPr>
      </w:pPr>
    </w:p>
    <w:p w14:paraId="6987EFE4" w14:textId="77777777" w:rsidR="00CD65C2" w:rsidRDefault="00CD65C2">
      <w:pPr>
        <w:pStyle w:val="Corpo"/>
        <w:spacing w:line="276" w:lineRule="auto"/>
        <w:rPr>
          <w:rFonts w:hint="eastAsia"/>
          <w:color w:val="404040" w:themeColor="text1" w:themeTint="BF"/>
          <w:szCs w:val="23"/>
        </w:rPr>
      </w:pPr>
    </w:p>
    <w:p w14:paraId="1F0AF651" w14:textId="77777777" w:rsidR="00CD65C2" w:rsidRDefault="00FA41FC">
      <w:pPr>
        <w:pStyle w:val="Corpo"/>
        <w:spacing w:after="120"/>
        <w:rPr>
          <w:rFonts w:hint="eastAsia"/>
          <w:color w:val="404040" w:themeColor="text1" w:themeTint="BF"/>
          <w:sz w:val="24"/>
        </w:rPr>
      </w:pPr>
      <w:r>
        <w:rPr>
          <w:color w:val="404040" w:themeColor="text1" w:themeTint="BF"/>
          <w:sz w:val="24"/>
        </w:rPr>
        <w:t>Um estudo conduzido por Vázquez-Lorente</w:t>
      </w:r>
      <w:r>
        <w:rPr>
          <w:i/>
          <w:color w:val="404040" w:themeColor="text1" w:themeTint="BF"/>
          <w:sz w:val="24"/>
        </w:rPr>
        <w:t xml:space="preserve"> et al. </w:t>
      </w:r>
      <w:r>
        <w:rPr>
          <w:color w:val="404040" w:themeColor="text1" w:themeTint="BF"/>
          <w:sz w:val="24"/>
        </w:rPr>
        <w:t>(2022) teve como objetivo avaliar o efeito da suplementação de zinco sobre as concentrações circulantes de homocisteína, vitamina B12 e níveis de folato em uma população de mulheres na pós-menopausa.</w:t>
      </w:r>
    </w:p>
    <w:p w14:paraId="029837E7"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04672" behindDoc="0" locked="0" layoutInCell="1" allowOverlap="1">
                <wp:simplePos x="0" y="0"/>
                <wp:positionH relativeFrom="margin">
                  <wp:posOffset>0</wp:posOffset>
                </wp:positionH>
                <wp:positionV relativeFrom="paragraph">
                  <wp:posOffset>151130</wp:posOffset>
                </wp:positionV>
                <wp:extent cx="5735955" cy="621030"/>
                <wp:effectExtent l="4445" t="5080" r="12700" b="8890"/>
                <wp:wrapNone/>
                <wp:docPr id="739657689" name="Caixa de texto 739657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781" cy="621030"/>
                        </a:xfrm>
                        <a:prstGeom prst="rect">
                          <a:avLst/>
                        </a:prstGeom>
                        <a:solidFill>
                          <a:schemeClr val="bg1">
                            <a:lumMod val="100000"/>
                            <a:lumOff val="0"/>
                          </a:schemeClr>
                        </a:solidFill>
                        <a:ln w="9525">
                          <a:solidFill>
                            <a:srgbClr val="0070C0"/>
                          </a:solidFill>
                          <a:miter lim="800000"/>
                        </a:ln>
                      </wps:spPr>
                      <wps:txbx>
                        <w:txbxContent>
                          <w:p w14:paraId="3ECC5B3A" w14:textId="176FF142" w:rsidR="00FA41FC" w:rsidRDefault="00FA41FC">
                            <w:pPr>
                              <w:jc w:val="center"/>
                              <w:rPr>
                                <w:rFonts w:ascii="Swis721 Th BT" w:hAnsi="Swis721 Th BT"/>
                                <w:sz w:val="23"/>
                                <w:szCs w:val="23"/>
                              </w:rPr>
                            </w:pPr>
                            <w:r>
                              <w:rPr>
                                <w:rFonts w:ascii="Swis721 Th BT" w:hAnsi="Swis721 Th BT"/>
                                <w:sz w:val="23"/>
                                <w:szCs w:val="23"/>
                              </w:rPr>
                              <w:t xml:space="preserve">Para isso, 51 mulheres na pós-menopausa, com idades entre 44 e 76 anos, foram randomizadas em dois grupos, nos quais receberam durante oito semanas: </w:t>
                            </w:r>
                          </w:p>
                        </w:txbxContent>
                      </wps:txbx>
                      <wps:bodyPr rot="0" vert="horz" wrap="square" lIns="91440" tIns="45720" rIns="91440" bIns="45720" anchor="t" anchorCtr="0" upright="1">
                        <a:noAutofit/>
                      </wps:bodyPr>
                    </wps:wsp>
                  </a:graphicData>
                </a:graphic>
              </wp:anchor>
            </w:drawing>
          </mc:Choice>
          <mc:Fallback>
            <w:pict>
              <v:shape id="Caixa de texto 739657689" o:spid="_x0000_s1118" type="#_x0000_t202" style="position:absolute;left:0;text-align:left;margin-left:0;margin-top:11.9pt;width:451.65pt;height:48.9pt;z-index:2518046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" fillcolor="white [3212]" strokecolor="#0070c0">
                <v:textbox>
                  <w:txbxContent>
                    <w:p w14:paraId="3ECC5B3A" w14:textId="176FF142" w:rsidR="00FA41FC" w:rsidRDefault="00FA41FC">
                      <w:pPr>
                        <w:jc w:val="center"/>
                        <w:rPr>
                          <w:rFonts w:ascii="Swis721 Th BT" w:hAnsi="Swis721 Th BT"/>
                          <w:sz w:val="23"/>
                          <w:szCs w:val="23"/>
                        </w:rPr>
                      </w:pPr>
                      <w:r>
                        <w:rPr>
                          <w:rFonts w:ascii="Swis721 Th BT" w:hAnsi="Swis721 Th BT"/>
                          <w:sz w:val="23"/>
                          <w:szCs w:val="23"/>
                        </w:rPr>
                        <w:t xml:space="preserve">Para isso, 51 mulheres na pós-menopausa, com idades entre 44 e 76 anos, foram randomizadas em dois grupos, nos quais receberam durante oito semanas: </w:t>
                      </w:r>
                    </w:p>
                  </w:txbxContent>
                </v:textbox>
                <w10:wrap anchorx="margin"/>
              </v:shape>
            </w:pict>
          </mc:Fallback>
        </mc:AlternateContent>
      </w:r>
      <w:r>
        <w:rPr>
          <w:color w:val="404040" w:themeColor="text1" w:themeTint="BF"/>
          <w:sz w:val="24"/>
        </w:rPr>
        <w:br/>
      </w:r>
    </w:p>
    <w:p w14:paraId="40D48F6B" w14:textId="77777777" w:rsidR="00CD65C2" w:rsidRDefault="00CD65C2">
      <w:pPr>
        <w:pStyle w:val="Corpo"/>
        <w:rPr>
          <w:rFonts w:hint="eastAsia"/>
          <w:color w:val="404040" w:themeColor="text1" w:themeTint="BF"/>
        </w:rPr>
      </w:pPr>
    </w:p>
    <w:p w14:paraId="358EE36C" w14:textId="77777777" w:rsidR="00CD65C2" w:rsidRDefault="00CD65C2">
      <w:pPr>
        <w:pStyle w:val="Corpo"/>
        <w:rPr>
          <w:rFonts w:hint="eastAsia"/>
          <w:color w:val="404040" w:themeColor="text1" w:themeTint="BF"/>
        </w:rPr>
      </w:pPr>
    </w:p>
    <w:p w14:paraId="45B7811F"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801600" behindDoc="0" locked="0" layoutInCell="1" allowOverlap="1">
                <wp:simplePos x="0" y="0"/>
                <wp:positionH relativeFrom="column">
                  <wp:posOffset>4653280</wp:posOffset>
                </wp:positionH>
                <wp:positionV relativeFrom="paragraph">
                  <wp:posOffset>12700</wp:posOffset>
                </wp:positionV>
                <wp:extent cx="226695" cy="138430"/>
                <wp:effectExtent l="0" t="0" r="1905" b="0"/>
                <wp:wrapNone/>
                <wp:docPr id="739657690" name="Triângulo isósceles 739657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690" o:spid="_x0000_s1026" o:spt="5" type="#_x0000_t5" style="position:absolute;left:0pt;flip:y;margin-left:366.4pt;margin-top:1pt;height:10.9pt;width:17.85pt;z-index:251801600;mso-width-relative:page;mso-height-relative:page;" fillcolor="#D9D9D9 [3212]" filled="t" stroked="f" coordsize="21600,21600" o:gfxdata="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GzRIVdYAAAAIAQAADwAAAAAAAAABACAAAAAiAAAAZHJzL2Rvd25yZXYueG1sUEsBAhQAFAAAAAgA&#10;h07iQMCB4xdgAgAAswQAAA4AAAAAAAAAAQAgAAAAJQEAAGRycy9lMm9Eb2MueG1sUEsFBgAAAAAG&#10;AAYAWQEAAPcFA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802624" behindDoc="0" locked="0" layoutInCell="1" allowOverlap="1">
                <wp:simplePos x="0" y="0"/>
                <wp:positionH relativeFrom="column">
                  <wp:posOffset>834390</wp:posOffset>
                </wp:positionH>
                <wp:positionV relativeFrom="paragraph">
                  <wp:posOffset>1270</wp:posOffset>
                </wp:positionV>
                <wp:extent cx="226695" cy="138430"/>
                <wp:effectExtent l="0" t="0" r="1905" b="0"/>
                <wp:wrapNone/>
                <wp:docPr id="739657691" name="Triângulo isósceles 739657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691" o:spid="_x0000_s1026" o:spt="5" type="#_x0000_t5" style="position:absolute;left:0pt;flip:y;margin-left:65.7pt;margin-top:0.1pt;height:10.9pt;width:17.85pt;z-index:251802624;mso-width-relative:page;mso-height-relative:page;" fillcolor="#D9D9D9 [3212]" filled="t" stroked="f" coordsize="21600,21600" o:gfxdata="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RMV9&#10;VNMAAAAHAQAADwAAAAAAAAABACAAAAAiAAAAZHJzL2Rvd25yZXYueG1sUEsBAhQAFAAAAAgAh07i&#10;QGjQG1FgAgAAswQAAA4AAAAAAAAAAQAgAAAAIgEAAGRycy9lMm9Eb2MueG1sUEsFBgAAAAAGAAYA&#10;WQEAAPQFAAAAAA==&#10;" adj="10800">
                <v:fill on="t" focussize="0,0"/>
                <v:stroke on="f"/>
                <v:imagedata o:title=""/>
                <o:lock v:ext="edit" aspectratio="f"/>
              </v:shape>
            </w:pict>
          </mc:Fallback>
        </mc:AlternateContent>
      </w:r>
    </w:p>
    <w:p w14:paraId="2BE168C4"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803648" behindDoc="0" locked="0" layoutInCell="1" allowOverlap="1">
                <wp:simplePos x="0" y="0"/>
                <wp:positionH relativeFrom="column">
                  <wp:posOffset>3827780</wp:posOffset>
                </wp:positionH>
                <wp:positionV relativeFrom="paragraph">
                  <wp:posOffset>90805</wp:posOffset>
                </wp:positionV>
                <wp:extent cx="1905000" cy="835025"/>
                <wp:effectExtent l="4445" t="4445" r="8255" b="11430"/>
                <wp:wrapNone/>
                <wp:docPr id="739657692" name="Caixa de texto 739657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835025"/>
                        </a:xfrm>
                        <a:prstGeom prst="rect">
                          <a:avLst/>
                        </a:prstGeom>
                        <a:solidFill>
                          <a:srgbClr val="0070C0"/>
                        </a:solidFill>
                        <a:ln w="9525">
                          <a:solidFill>
                            <a:srgbClr val="0070C0"/>
                          </a:solidFill>
                          <a:miter lim="800000"/>
                        </a:ln>
                      </wps:spPr>
                      <wps:txbx>
                        <w:txbxContent>
                          <w:p w14:paraId="10574A61"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7FCD2EC8" w14:textId="77777777" w:rsidR="00FA41FC" w:rsidRDefault="00FA41FC">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7D88B869" w14:textId="77777777" w:rsidR="00FA41FC" w:rsidRDefault="00FA41FC">
                            <w:pPr>
                              <w:spacing w:after="0" w:line="240" w:lineRule="auto"/>
                              <w:jc w:val="center"/>
                              <w:rPr>
                                <w:rFonts w:ascii="Swis721 Th BT" w:hAnsi="Swis721 Th BT"/>
                                <w:b/>
                                <w:color w:val="FFFFFF" w:themeColor="background1"/>
                                <w:sz w:val="12"/>
                                <w:szCs w:val="12"/>
                              </w:rPr>
                            </w:pPr>
                          </w:p>
                          <w:p w14:paraId="01177F39" w14:textId="77777777" w:rsidR="00FA41FC" w:rsidRDefault="00FA41FC">
                            <w:pPr>
                              <w:spacing w:after="0" w:line="240" w:lineRule="auto"/>
                              <w:jc w:val="center"/>
                              <w:rPr>
                                <w:rFonts w:ascii="Swis721 Th BT" w:hAnsi="Swis721 Th BT"/>
                                <w:b/>
                                <w:color w:val="FFFFFF" w:themeColor="background1"/>
                                <w:sz w:val="23"/>
                                <w:szCs w:val="23"/>
                              </w:rPr>
                            </w:pPr>
                          </w:p>
                          <w:p w14:paraId="7D78508C" w14:textId="77777777" w:rsidR="00FA41FC" w:rsidRDefault="00FA41FC">
                            <w:pPr>
                              <w:spacing w:after="0" w:line="240" w:lineRule="auto"/>
                              <w:jc w:val="center"/>
                              <w:rPr>
                                <w:rFonts w:ascii="Swis721 Th BT" w:hAnsi="Swis721 Th BT"/>
                                <w:b/>
                                <w:color w:val="FFFFFF" w:themeColor="background1"/>
                                <w:sz w:val="12"/>
                                <w:szCs w:val="12"/>
                              </w:rPr>
                            </w:pPr>
                          </w:p>
                          <w:p w14:paraId="0BB6F676" w14:textId="77777777" w:rsidR="00FA41FC" w:rsidRDefault="00FA41FC"/>
                        </w:txbxContent>
                      </wps:txbx>
                      <wps:bodyPr rot="0" vert="horz" wrap="square" lIns="91440" tIns="45720" rIns="91440" bIns="45720" anchor="t" anchorCtr="0" upright="1">
                        <a:noAutofit/>
                      </wps:bodyPr>
                    </wps:wsp>
                  </a:graphicData>
                </a:graphic>
              </wp:anchor>
            </w:drawing>
          </mc:Choice>
          <mc:Fallback>
            <w:pict>
              <v:shape id="Caixa de texto 739657692" o:spid="_x0000_s1119" type="#_x0000_t202" style="position:absolute;left:0;text-align:left;margin-left:301.4pt;margin-top:7.15pt;width:150pt;height:65.75pt;z-index:251803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" fillcolor="#0070c0" strokecolor="#0070c0">
                <v:textbox>
                  <w:txbxContent>
                    <w:p w14:paraId="10574A61"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7FCD2EC8" w14:textId="77777777" w:rsidR="00FA41FC" w:rsidRDefault="00FA41FC">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7D88B869" w14:textId="77777777" w:rsidR="00FA41FC" w:rsidRDefault="00FA41FC">
                      <w:pPr>
                        <w:spacing w:after="0" w:line="240" w:lineRule="auto"/>
                        <w:jc w:val="center"/>
                        <w:rPr>
                          <w:rFonts w:ascii="Swis721 Th BT" w:hAnsi="Swis721 Th BT"/>
                          <w:b/>
                          <w:color w:val="FFFFFF" w:themeColor="background1"/>
                          <w:sz w:val="12"/>
                          <w:szCs w:val="12"/>
                        </w:rPr>
                      </w:pPr>
                    </w:p>
                    <w:p w14:paraId="01177F39" w14:textId="77777777" w:rsidR="00FA41FC" w:rsidRDefault="00FA41FC">
                      <w:pPr>
                        <w:spacing w:after="0" w:line="240" w:lineRule="auto"/>
                        <w:jc w:val="center"/>
                        <w:rPr>
                          <w:rFonts w:ascii="Swis721 Th BT" w:hAnsi="Swis721 Th BT"/>
                          <w:b/>
                          <w:color w:val="FFFFFF" w:themeColor="background1"/>
                          <w:sz w:val="23"/>
                          <w:szCs w:val="23"/>
                        </w:rPr>
                      </w:pPr>
                    </w:p>
                    <w:p w14:paraId="7D78508C" w14:textId="77777777" w:rsidR="00FA41FC" w:rsidRDefault="00FA41FC">
                      <w:pPr>
                        <w:spacing w:after="0" w:line="240" w:lineRule="auto"/>
                        <w:jc w:val="center"/>
                        <w:rPr>
                          <w:rFonts w:ascii="Swis721 Th BT" w:hAnsi="Swis721 Th BT"/>
                          <w:b/>
                          <w:color w:val="FFFFFF" w:themeColor="background1"/>
                          <w:sz w:val="12"/>
                          <w:szCs w:val="12"/>
                        </w:rPr>
                      </w:pPr>
                    </w:p>
                    <w:p w14:paraId="0BB6F676" w14:textId="77777777" w:rsidR="00FA41FC" w:rsidRDefault="00FA41FC"/>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800576" behindDoc="0" locked="0" layoutInCell="1" allowOverlap="1">
                <wp:simplePos x="0" y="0"/>
                <wp:positionH relativeFrom="column">
                  <wp:posOffset>0</wp:posOffset>
                </wp:positionH>
                <wp:positionV relativeFrom="paragraph">
                  <wp:posOffset>79375</wp:posOffset>
                </wp:positionV>
                <wp:extent cx="1913890" cy="844550"/>
                <wp:effectExtent l="4445" t="5080" r="12065" b="13970"/>
                <wp:wrapNone/>
                <wp:docPr id="739657693" name="Caixa de texto 739657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844550"/>
                        </a:xfrm>
                        <a:prstGeom prst="rect">
                          <a:avLst/>
                        </a:prstGeom>
                        <a:solidFill>
                          <a:srgbClr val="0070C0"/>
                        </a:solidFill>
                        <a:ln w="9525">
                          <a:solidFill>
                            <a:srgbClr val="0070C0"/>
                          </a:solidFill>
                          <a:miter lim="800000"/>
                        </a:ln>
                      </wps:spPr>
                      <wps:txbx>
                        <w:txbxContent>
                          <w:p w14:paraId="3AF67E51"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Zinco 50 mg</w:t>
                            </w:r>
                          </w:p>
                          <w:p w14:paraId="1D58AB84"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739657693" o:spid="_x0000_s1120" type="#_x0000_t202" style="position:absolute;left:0;text-align:left;margin-left:0;margin-top:6.25pt;width:150.7pt;height:66.5pt;z-index:251800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" fillcolor="#0070c0" strokecolor="#0070c0">
                <v:textbox>
                  <w:txbxContent>
                    <w:p w14:paraId="3AF67E51"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Zinco 50 mg</w:t>
                      </w:r>
                    </w:p>
                    <w:p w14:paraId="1D58AB84"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v:textbox>
              </v:shape>
            </w:pict>
          </mc:Fallback>
        </mc:AlternateContent>
      </w:r>
    </w:p>
    <w:p w14:paraId="6DB8A25E" w14:textId="77777777" w:rsidR="00CD65C2" w:rsidRDefault="00CD65C2">
      <w:pPr>
        <w:pStyle w:val="Corpo"/>
        <w:rPr>
          <w:rFonts w:hint="eastAsia"/>
          <w:color w:val="404040" w:themeColor="text1" w:themeTint="BF"/>
        </w:rPr>
      </w:pPr>
    </w:p>
    <w:p w14:paraId="5F39F1EC" w14:textId="77777777" w:rsidR="00CD65C2" w:rsidRDefault="00CD65C2">
      <w:pPr>
        <w:pStyle w:val="Corpo"/>
        <w:rPr>
          <w:rFonts w:hint="eastAsia"/>
          <w:color w:val="404040" w:themeColor="text1" w:themeTint="BF"/>
        </w:rPr>
      </w:pPr>
    </w:p>
    <w:p w14:paraId="4D02DBA7" w14:textId="77777777" w:rsidR="00CD65C2" w:rsidRDefault="00CD65C2">
      <w:pPr>
        <w:pStyle w:val="Corpo"/>
        <w:rPr>
          <w:rFonts w:hint="eastAsia"/>
          <w:color w:val="404040" w:themeColor="text1" w:themeTint="BF"/>
        </w:rPr>
      </w:pPr>
    </w:p>
    <w:p w14:paraId="01B1653F" w14:textId="77777777" w:rsidR="00CD65C2" w:rsidRDefault="00CD65C2">
      <w:pPr>
        <w:pStyle w:val="Corpo"/>
        <w:spacing w:before="120"/>
        <w:rPr>
          <w:rFonts w:hint="eastAsia"/>
          <w:color w:val="404040" w:themeColor="text1" w:themeTint="BF"/>
          <w:sz w:val="20"/>
        </w:rPr>
      </w:pPr>
    </w:p>
    <w:p w14:paraId="0D85D19F" w14:textId="77777777" w:rsidR="00CD65C2" w:rsidRDefault="00FA41FC">
      <w:pPr>
        <w:pStyle w:val="Corpo"/>
        <w:numPr>
          <w:ilvl w:val="0"/>
          <w:numId w:val="4"/>
        </w:numPr>
        <w:spacing w:before="120" w:after="0"/>
        <w:ind w:left="360"/>
        <w:rPr>
          <w:rFonts w:hint="eastAsia"/>
          <w:color w:val="404040" w:themeColor="text1" w:themeTint="BF"/>
          <w:sz w:val="20"/>
          <w:szCs w:val="23"/>
        </w:rPr>
      </w:pPr>
      <w:r>
        <w:rPr>
          <w:color w:val="404040" w:themeColor="text1" w:themeTint="BF"/>
          <w:sz w:val="20"/>
          <w:szCs w:val="23"/>
        </w:rPr>
        <w:t>A ingestão de nutrientes foi avaliada com base no método recordatório de 72 horas. O zinco foi analisado por espectrofotometria de absorção atômica com chama.</w:t>
      </w:r>
    </w:p>
    <w:p w14:paraId="61C768ED" w14:textId="77777777" w:rsidR="00CD65C2" w:rsidRDefault="00CD65C2">
      <w:pPr>
        <w:pStyle w:val="Corpo"/>
        <w:rPr>
          <w:rFonts w:hint="eastAsia"/>
          <w:b/>
          <w:color w:val="339966"/>
          <w:sz w:val="25"/>
          <w:szCs w:val="25"/>
          <w14:textFill>
            <w14:solidFill>
              <w14:srgbClr w14:val="339966">
                <w14:lumMod w14:val="75000"/>
                <w14:lumOff w14:val="25000"/>
              </w14:srgbClr>
            </w14:solidFill>
          </w14:textFill>
        </w:rPr>
      </w:pPr>
    </w:p>
    <w:p w14:paraId="3A11245D"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3EACDC93" w14:textId="77777777" w:rsidR="00CD65C2" w:rsidRDefault="00CD65C2">
      <w:pPr>
        <w:pStyle w:val="Corpo"/>
        <w:rPr>
          <w:rFonts w:hint="eastAsia"/>
          <w:color w:val="404040" w:themeColor="text1" w:themeTint="BF"/>
          <w:sz w:val="16"/>
          <w:szCs w:val="16"/>
        </w:rPr>
      </w:pPr>
    </w:p>
    <w:p w14:paraId="0896D69C" w14:textId="77777777"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Quando comparado os valores basais com os de acompanhamento, os</w:t>
      </w:r>
      <w:r>
        <w:rPr>
          <w:b/>
          <w:bCs/>
          <w:color w:val="404040" w:themeColor="text1" w:themeTint="BF"/>
          <w:sz w:val="24"/>
        </w:rPr>
        <w:t> </w:t>
      </w:r>
      <w:r>
        <w:rPr>
          <w:color w:val="404040" w:themeColor="text1" w:themeTint="BF"/>
          <w:sz w:val="24"/>
        </w:rPr>
        <w:t>níveis de folato aumentaram significativamente (p &lt; 0,05) no grupo 1;</w:t>
      </w:r>
    </w:p>
    <w:p w14:paraId="1DB3E508" w14:textId="77777777"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Após a intervenção, a homocisteína diminuiu na análise intergrupos (p &lt; 0,05) e níveis mais elevados de folato (r = -0,632; p = 0,005) e vitamina B12 (r = -0,512; p = 0,030) foram correlacionados com baixos níveis de homocisteína no grupo 1, embora a intervenção com zinco tenha tido o mesmo efeito sobre os níveis de B12 em ambos os grupos.</w:t>
      </w:r>
    </w:p>
    <w:p w14:paraId="19662CE4" w14:textId="77777777" w:rsidR="00CD65C2" w:rsidRDefault="00CD65C2">
      <w:pPr>
        <w:pStyle w:val="Corpo"/>
        <w:spacing w:after="120"/>
        <w:ind w:left="786"/>
        <w:rPr>
          <w:rFonts w:hint="eastAsia"/>
          <w:color w:val="404040" w:themeColor="text1" w:themeTint="BF"/>
          <w:sz w:val="24"/>
        </w:rPr>
      </w:pPr>
    </w:p>
    <w:p w14:paraId="7FD4D727"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234EF971" w14:textId="77777777" w:rsidR="00CD65C2" w:rsidRDefault="00CD65C2">
      <w:pPr>
        <w:pStyle w:val="Corpo"/>
        <w:rPr>
          <w:rFonts w:hint="eastAsia"/>
          <w:b/>
          <w:color w:val="339966"/>
          <w:sz w:val="16"/>
          <w:szCs w:val="16"/>
          <w14:textFill>
            <w14:solidFill>
              <w14:srgbClr w14:val="339966">
                <w14:lumMod w14:val="75000"/>
                <w14:lumOff w14:val="25000"/>
              </w14:srgbClr>
            </w14:solidFill>
          </w14:textFill>
        </w:rPr>
      </w:pPr>
    </w:p>
    <w:p w14:paraId="27C42AB6" w14:textId="77777777" w:rsidR="00CD65C2" w:rsidRDefault="00FA41FC">
      <w:pPr>
        <w:pStyle w:val="Corpo"/>
        <w:jc w:val="center"/>
        <w:rPr>
          <w:rFonts w:hint="eastAsia"/>
          <w:b/>
          <w:i/>
          <w:color w:val="404040" w:themeColor="text1" w:themeTint="BF"/>
        </w:rPr>
      </w:pPr>
      <w:r>
        <w:rPr>
          <w:b/>
          <w:i/>
          <w:color w:val="404040" w:themeColor="text1" w:themeTint="BF"/>
        </w:rPr>
        <w:t>Os resultados do presente estudo apontam que a suplementação de zinco aumenta as concentrações circulantes de folato e a homocisteína em mulheres pós-menopausadas.</w:t>
      </w:r>
    </w:p>
    <w:p w14:paraId="2BA7469C" w14:textId="77777777" w:rsidR="00CD65C2" w:rsidRDefault="00CD65C2">
      <w:pPr>
        <w:pStyle w:val="Corpo"/>
        <w:jc w:val="center"/>
        <w:rPr>
          <w:rFonts w:hint="eastAsia"/>
          <w:b/>
          <w:bCs/>
          <w:i/>
          <w:color w:val="404040" w:themeColor="text1" w:themeTint="BF"/>
        </w:rPr>
      </w:pPr>
    </w:p>
    <w:p w14:paraId="4B4C94E1" w14:textId="77777777" w:rsidR="00CD65C2" w:rsidRDefault="00CD65C2">
      <w:pPr>
        <w:pStyle w:val="Corpo"/>
        <w:jc w:val="center"/>
        <w:rPr>
          <w:rFonts w:hint="eastAsia"/>
          <w:b/>
          <w:bCs/>
          <w:i/>
          <w:color w:val="404040" w:themeColor="text1" w:themeTint="BF"/>
        </w:rPr>
      </w:pPr>
    </w:p>
    <w:p w14:paraId="53F85D25" w14:textId="77777777" w:rsidR="00CD65C2" w:rsidRDefault="00FA41FC">
      <w:pPr>
        <w:pStyle w:val="Ttulo1"/>
        <w:jc w:val="center"/>
        <w:rPr>
          <w:rFonts w:hint="eastAsia"/>
        </w:rPr>
      </w:pPr>
      <w:bookmarkStart w:id="75" w:name="_Toc165537225"/>
      <w:r>
        <w:t>Formulário</w:t>
      </w:r>
      <w:bookmarkEnd w:id="75"/>
    </w:p>
    <w:p w14:paraId="7A1A335F" w14:textId="77777777" w:rsidR="00CD65C2" w:rsidRDefault="00CD65C2">
      <w:pPr>
        <w:pStyle w:val="Corpo"/>
        <w:rPr>
          <w:rFonts w:hint="eastAsia"/>
          <w:b/>
          <w:i/>
          <w:color w:val="404040" w:themeColor="text1" w:themeTint="BF"/>
        </w:rPr>
      </w:pPr>
    </w:p>
    <w:p w14:paraId="5A31C908" w14:textId="77777777" w:rsidR="00CD65C2" w:rsidRDefault="00CD65C2">
      <w:pPr>
        <w:pStyle w:val="Corpo"/>
        <w:rPr>
          <w:rFonts w:hint="eastAsia"/>
          <w:b/>
          <w:i/>
          <w:color w:val="404040" w:themeColor="text1" w:themeTint="BF"/>
        </w:rPr>
      </w:pPr>
    </w:p>
    <w:p w14:paraId="42FA2C1F" w14:textId="77777777" w:rsidR="00CD65C2" w:rsidRDefault="00FA41FC">
      <w:pPr>
        <w:pStyle w:val="Corpo"/>
        <w:rPr>
          <w:rFonts w:hint="eastAsia"/>
          <w:b/>
          <w:i/>
          <w:color w:val="404040" w:themeColor="text1" w:themeTint="BF"/>
          <w:sz w:val="24"/>
        </w:rPr>
      </w:pPr>
      <w:r>
        <w:rPr>
          <w:b/>
          <w:i/>
          <w:color w:val="404040" w:themeColor="text1" w:themeTint="BF"/>
          <w:sz w:val="24"/>
        </w:rPr>
        <w:t>Suplementação de Zinco Sobre as Concentrações Circulantes de Homocisteína, Vitamina B12 e Níveis de Folato</w:t>
      </w:r>
    </w:p>
    <w:p w14:paraId="127B708A"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204813B5"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2499185B" w14:textId="77777777" w:rsidR="00CD65C2" w:rsidRDefault="00FA41FC">
            <w:pPr>
              <w:pStyle w:val="Corpo"/>
              <w:jc w:val="center"/>
              <w:rPr>
                <w:rFonts w:hint="eastAsia"/>
                <w:b/>
                <w:color w:val="FFFFFF" w:themeColor="background1"/>
              </w:rPr>
            </w:pPr>
            <w:r>
              <w:rPr>
                <w:b/>
                <w:color w:val="FFFFFF" w:themeColor="background1"/>
                <w:sz w:val="22"/>
              </w:rPr>
              <w:t>Cápsulas de Zinco</w:t>
            </w:r>
          </w:p>
        </w:tc>
      </w:tr>
      <w:tr w:rsidR="00CD65C2" w14:paraId="1F54A5E6"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828C686" w14:textId="77777777" w:rsidR="00CD65C2" w:rsidRDefault="00FA41FC">
            <w:pPr>
              <w:pStyle w:val="Corpo"/>
              <w:rPr>
                <w:rFonts w:hint="eastAsia"/>
                <w:color w:val="404040" w:themeColor="text1" w:themeTint="BF"/>
              </w:rPr>
            </w:pPr>
            <w:r>
              <w:rPr>
                <w:color w:val="404040" w:themeColor="text1" w:themeTint="BF"/>
              </w:rPr>
              <w:t>Zinco.................................................50 mg</w:t>
            </w:r>
          </w:p>
        </w:tc>
      </w:tr>
      <w:tr w:rsidR="00CD65C2" w14:paraId="2FFB5802"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D6D2A45" w14:textId="2C620EA9" w:rsidR="00CD65C2" w:rsidRDefault="00FA41FC">
            <w:pPr>
              <w:pStyle w:val="Corpo"/>
              <w:rPr>
                <w:rFonts w:hint="eastAsia"/>
                <w:color w:val="404040" w:themeColor="text1" w:themeTint="BF"/>
              </w:rPr>
            </w:pPr>
            <w:r>
              <w:rPr>
                <w:color w:val="404040" w:themeColor="text1" w:themeTint="BF"/>
              </w:rPr>
              <w:t>Excipiente q.s.p. ........................1 Cápsula</w:t>
            </w:r>
          </w:p>
        </w:tc>
      </w:tr>
    </w:tbl>
    <w:p w14:paraId="586C0E61" w14:textId="77777777" w:rsidR="00CD65C2" w:rsidRDefault="00FA41FC">
      <w:pPr>
        <w:pStyle w:val="Corpo"/>
        <w:ind w:right="4676"/>
        <w:jc w:val="center"/>
        <w:rPr>
          <w:rFonts w:hint="eastAsia"/>
          <w:color w:val="404040" w:themeColor="text1" w:themeTint="BF"/>
          <w:sz w:val="22"/>
          <w:szCs w:val="22"/>
        </w:rPr>
      </w:pPr>
      <w:r>
        <w:rPr>
          <w:color w:val="404040" w:themeColor="text1" w:themeTint="BF"/>
          <w:sz w:val="22"/>
          <w:szCs w:val="22"/>
        </w:rPr>
        <w:t>Administrar 1 cápsula ao dia ou conforme orientação médica.</w:t>
      </w:r>
    </w:p>
    <w:p w14:paraId="44708E48" w14:textId="77777777" w:rsidR="00CD65C2" w:rsidRDefault="00CD65C2">
      <w:pPr>
        <w:pStyle w:val="SemEspaamento"/>
      </w:pPr>
    </w:p>
    <w:p w14:paraId="2D0F4157" w14:textId="77777777" w:rsidR="00CD65C2" w:rsidRDefault="00CD65C2">
      <w:pPr>
        <w:pStyle w:val="SemEspaamento"/>
      </w:pPr>
    </w:p>
    <w:p w14:paraId="3D4A70A3" w14:textId="77777777" w:rsidR="00CD65C2" w:rsidRDefault="00CD65C2">
      <w:pPr>
        <w:pStyle w:val="SemEspaamento"/>
      </w:pPr>
    </w:p>
    <w:p w14:paraId="6BCFE25F" w14:textId="77777777" w:rsidR="00CD65C2" w:rsidRDefault="00CD65C2">
      <w:pPr>
        <w:pStyle w:val="SemEspaamento"/>
      </w:pPr>
    </w:p>
    <w:p w14:paraId="212C4974" w14:textId="77777777" w:rsidR="00CD65C2" w:rsidRDefault="00CD65C2">
      <w:pPr>
        <w:pStyle w:val="SemEspaamento"/>
      </w:pPr>
    </w:p>
    <w:p w14:paraId="3B0AB332" w14:textId="77777777" w:rsidR="00CD65C2" w:rsidRDefault="00CD65C2">
      <w:pPr>
        <w:pStyle w:val="SemEspaamento"/>
      </w:pPr>
    </w:p>
    <w:p w14:paraId="248946A7" w14:textId="77777777" w:rsidR="00CD65C2" w:rsidRDefault="00CD65C2">
      <w:pPr>
        <w:pStyle w:val="SemEspaamento"/>
      </w:pPr>
    </w:p>
    <w:p w14:paraId="41684511" w14:textId="77777777" w:rsidR="00CD65C2" w:rsidRDefault="00CD65C2">
      <w:pPr>
        <w:pStyle w:val="SemEspaamento"/>
      </w:pPr>
    </w:p>
    <w:p w14:paraId="582E7331" w14:textId="77777777" w:rsidR="00CD65C2" w:rsidRDefault="00CD65C2">
      <w:pPr>
        <w:pStyle w:val="SemEspaamento"/>
      </w:pPr>
    </w:p>
    <w:p w14:paraId="09060CB9" w14:textId="77777777" w:rsidR="00CD65C2" w:rsidRDefault="00CD65C2">
      <w:pPr>
        <w:pStyle w:val="SemEspaamento"/>
      </w:pPr>
    </w:p>
    <w:p w14:paraId="4822DA97" w14:textId="77777777" w:rsidR="00CD65C2" w:rsidRDefault="00CD65C2">
      <w:pPr>
        <w:pStyle w:val="SemEspaamento"/>
      </w:pPr>
    </w:p>
    <w:p w14:paraId="7C28B455" w14:textId="77777777" w:rsidR="00CD65C2" w:rsidRDefault="00CD65C2">
      <w:pPr>
        <w:pStyle w:val="SemEspaamento"/>
      </w:pPr>
    </w:p>
    <w:p w14:paraId="409B2D25" w14:textId="77777777" w:rsidR="00CD65C2" w:rsidRDefault="00CD65C2">
      <w:pPr>
        <w:pStyle w:val="SemEspaamento"/>
      </w:pPr>
    </w:p>
    <w:p w14:paraId="1C1FBF7B" w14:textId="77777777" w:rsidR="00CD65C2" w:rsidRDefault="00CD65C2">
      <w:pPr>
        <w:pStyle w:val="SemEspaamento"/>
      </w:pPr>
    </w:p>
    <w:p w14:paraId="09019FC3" w14:textId="77777777" w:rsidR="00CD65C2" w:rsidRDefault="00CD65C2">
      <w:pPr>
        <w:pStyle w:val="SemEspaamento"/>
      </w:pPr>
    </w:p>
    <w:p w14:paraId="1E5AB9A8" w14:textId="77777777" w:rsidR="00CD65C2" w:rsidRDefault="00CD65C2">
      <w:pPr>
        <w:pStyle w:val="SemEspaamento"/>
      </w:pPr>
    </w:p>
    <w:p w14:paraId="19913641" w14:textId="77777777" w:rsidR="00CD65C2" w:rsidRDefault="00CD65C2">
      <w:pPr>
        <w:pStyle w:val="SemEspaamento"/>
      </w:pPr>
    </w:p>
    <w:p w14:paraId="72DB1561" w14:textId="77777777" w:rsidR="00CD65C2" w:rsidRDefault="00CD65C2">
      <w:pPr>
        <w:pStyle w:val="SemEspaamento"/>
      </w:pPr>
    </w:p>
    <w:p w14:paraId="59D02C2A" w14:textId="77777777" w:rsidR="00CD65C2" w:rsidRDefault="00CD65C2">
      <w:pPr>
        <w:pStyle w:val="SemEspaamento"/>
      </w:pPr>
    </w:p>
    <w:p w14:paraId="223B1FE6" w14:textId="77777777" w:rsidR="00CD65C2" w:rsidRDefault="00CD65C2">
      <w:pPr>
        <w:pStyle w:val="SemEspaamento"/>
      </w:pPr>
    </w:p>
    <w:p w14:paraId="51438FD3" w14:textId="77777777" w:rsidR="00CD65C2" w:rsidRDefault="00CD65C2">
      <w:pPr>
        <w:pStyle w:val="SemEspaamento"/>
      </w:pPr>
    </w:p>
    <w:p w14:paraId="27F16041" w14:textId="77777777" w:rsidR="00CD65C2" w:rsidRDefault="00CD65C2">
      <w:pPr>
        <w:pStyle w:val="SemEspaamento"/>
      </w:pPr>
    </w:p>
    <w:p w14:paraId="720665D7" w14:textId="77777777" w:rsidR="00CD65C2" w:rsidRDefault="00CD65C2">
      <w:pPr>
        <w:pStyle w:val="SemEspaamento"/>
      </w:pPr>
    </w:p>
    <w:p w14:paraId="7A7DED33" w14:textId="77777777" w:rsidR="00CD65C2" w:rsidRDefault="00CD65C2">
      <w:pPr>
        <w:pStyle w:val="SemEspaamento"/>
      </w:pPr>
    </w:p>
    <w:p w14:paraId="4C01C6B8" w14:textId="77777777" w:rsidR="00CD65C2" w:rsidRDefault="00CD65C2">
      <w:pPr>
        <w:pStyle w:val="SemEspaamento"/>
      </w:pPr>
    </w:p>
    <w:p w14:paraId="7B317128" w14:textId="77777777" w:rsidR="00CD65C2" w:rsidRDefault="00CD65C2">
      <w:pPr>
        <w:pStyle w:val="SemEspaamento"/>
      </w:pPr>
    </w:p>
    <w:p w14:paraId="32CF1673" w14:textId="77777777" w:rsidR="00CD65C2" w:rsidRDefault="00CD65C2">
      <w:pPr>
        <w:pStyle w:val="SemEspaamento"/>
      </w:pPr>
    </w:p>
    <w:p w14:paraId="4D9D0AA0" w14:textId="77777777" w:rsidR="00CD65C2" w:rsidRDefault="00CD65C2">
      <w:pPr>
        <w:pStyle w:val="SemEspaamento"/>
      </w:pPr>
    </w:p>
    <w:p w14:paraId="1CAD7598" w14:textId="77777777" w:rsidR="00CD65C2" w:rsidRDefault="00CD65C2">
      <w:pPr>
        <w:pStyle w:val="SemEspaamento"/>
      </w:pPr>
    </w:p>
    <w:p w14:paraId="4584F70D" w14:textId="77777777" w:rsidR="00CD65C2" w:rsidRDefault="00CD65C2">
      <w:pPr>
        <w:pStyle w:val="SemEspaamento"/>
      </w:pPr>
    </w:p>
    <w:p w14:paraId="1906755B" w14:textId="77777777" w:rsidR="00CD65C2" w:rsidRDefault="00CD65C2">
      <w:pPr>
        <w:pStyle w:val="SemEspaamento"/>
      </w:pPr>
    </w:p>
    <w:p w14:paraId="27D0F06A" w14:textId="77777777" w:rsidR="00CD65C2" w:rsidRDefault="00FA41FC">
      <w:pPr>
        <w:pStyle w:val="Ttulo1"/>
        <w:jc w:val="center"/>
        <w:rPr>
          <w:rFonts w:hint="eastAsia"/>
        </w:rPr>
      </w:pPr>
      <w:bookmarkStart w:id="76" w:name="_Toc165537226"/>
      <w:r>
        <w:rPr>
          <w:bCs/>
          <w:iCs/>
        </w:rPr>
        <w:t>Cálcio e Vitamina D3</w:t>
      </w:r>
      <w:bookmarkEnd w:id="76"/>
    </w:p>
    <w:p w14:paraId="15A3C982" w14:textId="77777777" w:rsidR="00CD65C2" w:rsidRPr="00D1428E" w:rsidRDefault="00FA41FC">
      <w:pPr>
        <w:pStyle w:val="Corpo"/>
        <w:spacing w:after="120"/>
        <w:jc w:val="center"/>
        <w:rPr>
          <w:rFonts w:hint="eastAsia"/>
          <w:b/>
          <w:color w:val="0070C0"/>
          <w:sz w:val="40"/>
        </w:rPr>
      </w:pPr>
      <w:r w:rsidRPr="00D1428E">
        <w:rPr>
          <w:b/>
          <w:color w:val="0070C0"/>
          <w:sz w:val="40"/>
        </w:rPr>
        <w:t>Melhora o Perfil Lipídico em Mulheres na Pós-menopausa</w:t>
      </w:r>
    </w:p>
    <w:p w14:paraId="47764024" w14:textId="77777777" w:rsidR="00CD65C2" w:rsidRDefault="00CD65C2">
      <w:pPr>
        <w:pStyle w:val="Corpo"/>
        <w:spacing w:after="120"/>
        <w:rPr>
          <w:rFonts w:hint="eastAsia"/>
          <w:color w:val="404040" w:themeColor="text1" w:themeTint="BF"/>
          <w:sz w:val="24"/>
        </w:rPr>
      </w:pPr>
    </w:p>
    <w:p w14:paraId="1E877C99" w14:textId="77777777" w:rsidR="00CD65C2" w:rsidRDefault="00CD65C2">
      <w:pPr>
        <w:pStyle w:val="Corpo"/>
        <w:spacing w:line="276" w:lineRule="auto"/>
        <w:rPr>
          <w:rFonts w:hint="eastAsia"/>
          <w:color w:val="404040" w:themeColor="text1" w:themeTint="BF"/>
          <w:szCs w:val="23"/>
        </w:rPr>
      </w:pPr>
    </w:p>
    <w:p w14:paraId="4EC3B30D" w14:textId="7893F5AC" w:rsidR="00CD65C2" w:rsidRDefault="00FA41FC">
      <w:pPr>
        <w:pStyle w:val="Corpo"/>
        <w:rPr>
          <w:rFonts w:hint="eastAsia"/>
          <w:color w:val="404040" w:themeColor="text1" w:themeTint="BF"/>
          <w:sz w:val="24"/>
        </w:rPr>
      </w:pPr>
      <w:r>
        <w:rPr>
          <w:color w:val="404040" w:themeColor="text1" w:themeTint="BF"/>
          <w:sz w:val="24"/>
        </w:rPr>
        <w:t xml:space="preserve">Este estudo duplo-cego, randomizado e controlado por placebo conduzido por Schnatz </w:t>
      </w:r>
      <w:r>
        <w:rPr>
          <w:i/>
          <w:color w:val="404040" w:themeColor="text1" w:themeTint="BF"/>
          <w:sz w:val="24"/>
        </w:rPr>
        <w:t>et al.,</w:t>
      </w:r>
      <w:r>
        <w:rPr>
          <w:color w:val="404040" w:themeColor="text1" w:themeTint="BF"/>
          <w:sz w:val="24"/>
        </w:rPr>
        <w:t xml:space="preserve"> (2017) teve como objetivo avaliar se o aumento das concentrações séricas de 25OHD</w:t>
      </w:r>
      <w:r w:rsidRPr="00D1428E">
        <w:rPr>
          <w:rFonts w:hint="eastAsia"/>
          <w:color w:val="404040" w:themeColor="text1" w:themeTint="BF"/>
          <w:sz w:val="24"/>
          <w:vertAlign w:val="subscript"/>
        </w:rPr>
        <w:t>3</w:t>
      </w:r>
      <w:r>
        <w:rPr>
          <w:color w:val="404040" w:themeColor="text1" w:themeTint="BF"/>
          <w:sz w:val="24"/>
        </w:rPr>
        <w:t>, em resposta à suplementação de cálcio e vitamina D, estaria associado à melhora dos lipídios em mulheres na pós-menopausa.</w:t>
      </w:r>
    </w:p>
    <w:p w14:paraId="44B8DFC6"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09792" behindDoc="0" locked="0" layoutInCell="1" allowOverlap="1">
                <wp:simplePos x="0" y="0"/>
                <wp:positionH relativeFrom="margin">
                  <wp:posOffset>0</wp:posOffset>
                </wp:positionH>
                <wp:positionV relativeFrom="paragraph">
                  <wp:posOffset>151130</wp:posOffset>
                </wp:positionV>
                <wp:extent cx="5735955" cy="621030"/>
                <wp:effectExtent l="4445" t="5080" r="12700" b="8890"/>
                <wp:wrapNone/>
                <wp:docPr id="739657694" name="Caixa de texto 739657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781" cy="621030"/>
                        </a:xfrm>
                        <a:prstGeom prst="rect">
                          <a:avLst/>
                        </a:prstGeom>
                        <a:solidFill>
                          <a:schemeClr val="bg1">
                            <a:lumMod val="100000"/>
                            <a:lumOff val="0"/>
                          </a:schemeClr>
                        </a:solidFill>
                        <a:ln w="9525">
                          <a:solidFill>
                            <a:srgbClr val="0070C0"/>
                          </a:solidFill>
                          <a:miter lim="800000"/>
                        </a:ln>
                      </wps:spPr>
                      <wps:txbx>
                        <w:txbxContent>
                          <w:p w14:paraId="4C58EE77" w14:textId="77777777" w:rsidR="00FA41FC" w:rsidRDefault="00FA41FC">
                            <w:pPr>
                              <w:jc w:val="center"/>
                              <w:rPr>
                                <w:rFonts w:ascii="Swis721 Th BT" w:hAnsi="Swis721 Th BT"/>
                                <w:sz w:val="23"/>
                                <w:szCs w:val="23"/>
                              </w:rPr>
                            </w:pPr>
                            <w:r>
                              <w:rPr>
                                <w:rFonts w:ascii="Swis721 Th BT" w:hAnsi="Swis721 Th BT"/>
                                <w:sz w:val="23"/>
                                <w:szCs w:val="23"/>
                              </w:rPr>
                              <w:t xml:space="preserve">Para isso, 600 mulheres na pós-menopausa foram randomizadas em dois grupos, nos quais receberam: </w:t>
                            </w:r>
                          </w:p>
                          <w:p w14:paraId="0AC11869"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694" o:spid="_x0000_s1121" type="#_x0000_t202" style="position:absolute;left:0;text-align:left;margin-left:0;margin-top:11.9pt;width:451.65pt;height:48.9pt;z-index:251809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" fillcolor="white [3212]" strokecolor="#0070c0">
                <v:textbox>
                  <w:txbxContent>
                    <w:p w14:paraId="4C58EE77" w14:textId="77777777" w:rsidR="00FA41FC" w:rsidRDefault="00FA41FC">
                      <w:pPr>
                        <w:jc w:val="center"/>
                        <w:rPr>
                          <w:rFonts w:ascii="Swis721 Th BT" w:hAnsi="Swis721 Th BT"/>
                          <w:sz w:val="23"/>
                          <w:szCs w:val="23"/>
                        </w:rPr>
                      </w:pPr>
                      <w:r>
                        <w:rPr>
                          <w:rFonts w:ascii="Swis721 Th BT" w:hAnsi="Swis721 Th BT"/>
                          <w:sz w:val="23"/>
                          <w:szCs w:val="23"/>
                        </w:rPr>
                        <w:t xml:space="preserve">Para isso, 600 mulheres na pós-menopausa foram randomizadas em dois grupos, nos quais receberam: </w:t>
                      </w:r>
                    </w:p>
                    <w:p w14:paraId="0AC11869"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2CD22B12" w14:textId="77777777" w:rsidR="00CD65C2" w:rsidRDefault="00CD65C2">
      <w:pPr>
        <w:pStyle w:val="Corpo"/>
        <w:rPr>
          <w:rFonts w:hint="eastAsia"/>
          <w:color w:val="404040" w:themeColor="text1" w:themeTint="BF"/>
        </w:rPr>
      </w:pPr>
    </w:p>
    <w:p w14:paraId="15CB0A7D" w14:textId="77777777" w:rsidR="00CD65C2" w:rsidRDefault="00CD65C2">
      <w:pPr>
        <w:pStyle w:val="Corpo"/>
        <w:rPr>
          <w:rFonts w:hint="eastAsia"/>
          <w:color w:val="404040" w:themeColor="text1" w:themeTint="BF"/>
        </w:rPr>
      </w:pPr>
    </w:p>
    <w:p w14:paraId="295E12B0"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806720" behindDoc="0" locked="0" layoutInCell="1" allowOverlap="1">
                <wp:simplePos x="0" y="0"/>
                <wp:positionH relativeFrom="column">
                  <wp:posOffset>4653280</wp:posOffset>
                </wp:positionH>
                <wp:positionV relativeFrom="paragraph">
                  <wp:posOffset>12700</wp:posOffset>
                </wp:positionV>
                <wp:extent cx="226695" cy="138430"/>
                <wp:effectExtent l="0" t="0" r="1905" b="0"/>
                <wp:wrapNone/>
                <wp:docPr id="739657695" name="Triângulo isósceles 739657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695" o:spid="_x0000_s1026" o:spt="5" type="#_x0000_t5" style="position:absolute;left:0pt;flip:y;margin-left:366.4pt;margin-top:1pt;height:10.9pt;width:17.85pt;z-index:251806720;mso-width-relative:page;mso-height-relative:page;" fillcolor="#D9D9D9 [3212]" filled="t" stroked="f" coordsize="21600,21600" o:gfxdata="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Bs0&#10;SFXWAAAACAEAAA8AAAAAAAAAAQAgAAAAIgAAAGRycy9kb3ducmV2LnhtbFBLAQIUABQAAAAIAIdO&#10;4kCJkIuRXgIAALMEAAAOAAAAAAAAAAEAIAAAACUBAABkcnMvZTJvRG9jLnhtbFBLBQYAAAAABgAG&#10;AFkBAAD1BQ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807744" behindDoc="0" locked="0" layoutInCell="1" allowOverlap="1">
                <wp:simplePos x="0" y="0"/>
                <wp:positionH relativeFrom="column">
                  <wp:posOffset>834390</wp:posOffset>
                </wp:positionH>
                <wp:positionV relativeFrom="paragraph">
                  <wp:posOffset>1270</wp:posOffset>
                </wp:positionV>
                <wp:extent cx="226695" cy="138430"/>
                <wp:effectExtent l="0" t="0" r="1905" b="0"/>
                <wp:wrapNone/>
                <wp:docPr id="739657696" name="Triângulo isósceles 739657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696" o:spid="_x0000_s1026" o:spt="5" type="#_x0000_t5" style="position:absolute;left:0pt;flip:y;margin-left:65.7pt;margin-top:0.1pt;height:10.9pt;width:17.85pt;z-index:251807744;mso-width-relative:page;mso-height-relative:page;" fillcolor="#D9D9D9 [3212]" filled="t" stroked="f" coordsize="21600,21600" o:gfxdata="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RMV9&#10;VNMAAAAHAQAADwAAAAAAAAABACAAAAAiAAAAZHJzL2Rvd25yZXYueG1sUEsBAhQAFAAAAAgAh07i&#10;QHFig1pgAgAAswQAAA4AAAAAAAAAAQAgAAAAIgEAAGRycy9lMm9Eb2MueG1sUEsFBgAAAAAGAAYA&#10;WQEAAPQFAAAAAA==&#10;" adj="10800">
                <v:fill on="t" focussize="0,0"/>
                <v:stroke on="f"/>
                <v:imagedata o:title=""/>
                <o:lock v:ext="edit" aspectratio="f"/>
              </v:shape>
            </w:pict>
          </mc:Fallback>
        </mc:AlternateContent>
      </w:r>
    </w:p>
    <w:p w14:paraId="18FFA309"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808768" behindDoc="0" locked="0" layoutInCell="1" allowOverlap="1">
                <wp:simplePos x="0" y="0"/>
                <wp:positionH relativeFrom="column">
                  <wp:posOffset>3827780</wp:posOffset>
                </wp:positionH>
                <wp:positionV relativeFrom="paragraph">
                  <wp:posOffset>90805</wp:posOffset>
                </wp:positionV>
                <wp:extent cx="1905000" cy="835025"/>
                <wp:effectExtent l="4445" t="4445" r="8255" b="11430"/>
                <wp:wrapNone/>
                <wp:docPr id="739657697" name="Caixa de texto 739657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835025"/>
                        </a:xfrm>
                        <a:prstGeom prst="rect">
                          <a:avLst/>
                        </a:prstGeom>
                        <a:solidFill>
                          <a:srgbClr val="0070C0"/>
                        </a:solidFill>
                        <a:ln w="9525">
                          <a:solidFill>
                            <a:srgbClr val="0070C0"/>
                          </a:solidFill>
                          <a:miter lim="800000"/>
                        </a:ln>
                      </wps:spPr>
                      <wps:txbx>
                        <w:txbxContent>
                          <w:p w14:paraId="33DF9DE1"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24B890EA" w14:textId="77777777" w:rsidR="00FA41FC" w:rsidRDefault="00FA41FC">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579C2D9F" w14:textId="77777777" w:rsidR="00FA41FC" w:rsidRDefault="00FA41FC">
                            <w:pPr>
                              <w:spacing w:after="0" w:line="240" w:lineRule="auto"/>
                              <w:jc w:val="center"/>
                              <w:rPr>
                                <w:rFonts w:ascii="Swis721 Th BT" w:hAnsi="Swis721 Th BT"/>
                                <w:b/>
                                <w:color w:val="FFFFFF" w:themeColor="background1"/>
                                <w:sz w:val="12"/>
                                <w:szCs w:val="12"/>
                              </w:rPr>
                            </w:pPr>
                          </w:p>
                          <w:p w14:paraId="1D8F0F55" w14:textId="77777777" w:rsidR="00FA41FC" w:rsidRDefault="00FA41FC">
                            <w:pPr>
                              <w:spacing w:after="0" w:line="240" w:lineRule="auto"/>
                              <w:jc w:val="center"/>
                              <w:rPr>
                                <w:rFonts w:ascii="Swis721 Th BT" w:hAnsi="Swis721 Th BT"/>
                                <w:b/>
                                <w:color w:val="FFFFFF" w:themeColor="background1"/>
                                <w:sz w:val="23"/>
                                <w:szCs w:val="23"/>
                              </w:rPr>
                            </w:pPr>
                          </w:p>
                          <w:p w14:paraId="144BF484" w14:textId="77777777" w:rsidR="00FA41FC" w:rsidRDefault="00FA41FC">
                            <w:pPr>
                              <w:spacing w:after="0" w:line="240" w:lineRule="auto"/>
                              <w:jc w:val="center"/>
                              <w:rPr>
                                <w:rFonts w:ascii="Swis721 Th BT" w:hAnsi="Swis721 Th BT"/>
                                <w:b/>
                                <w:color w:val="FFFFFF" w:themeColor="background1"/>
                                <w:sz w:val="12"/>
                                <w:szCs w:val="12"/>
                              </w:rPr>
                            </w:pPr>
                          </w:p>
                          <w:p w14:paraId="40F02E1D" w14:textId="77777777" w:rsidR="00FA41FC" w:rsidRDefault="00FA41FC"/>
                        </w:txbxContent>
                      </wps:txbx>
                      <wps:bodyPr rot="0" vert="horz" wrap="square" lIns="91440" tIns="45720" rIns="91440" bIns="45720" anchor="t" anchorCtr="0" upright="1">
                        <a:noAutofit/>
                      </wps:bodyPr>
                    </wps:wsp>
                  </a:graphicData>
                </a:graphic>
              </wp:anchor>
            </w:drawing>
          </mc:Choice>
          <mc:Fallback>
            <w:pict>
              <v:shape id="Caixa de texto 739657697" o:spid="_x0000_s1122" type="#_x0000_t202" style="position:absolute;left:0;text-align:left;margin-left:301.4pt;margin-top:7.15pt;width:150pt;height:65.75pt;z-index:251808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" fillcolor="#0070c0" strokecolor="#0070c0">
                <v:textbox>
                  <w:txbxContent>
                    <w:p w14:paraId="33DF9DE1"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24B890EA" w14:textId="77777777" w:rsidR="00FA41FC" w:rsidRDefault="00FA41FC">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579C2D9F" w14:textId="77777777" w:rsidR="00FA41FC" w:rsidRDefault="00FA41FC">
                      <w:pPr>
                        <w:spacing w:after="0" w:line="240" w:lineRule="auto"/>
                        <w:jc w:val="center"/>
                        <w:rPr>
                          <w:rFonts w:ascii="Swis721 Th BT" w:hAnsi="Swis721 Th BT"/>
                          <w:b/>
                          <w:color w:val="FFFFFF" w:themeColor="background1"/>
                          <w:sz w:val="12"/>
                          <w:szCs w:val="12"/>
                        </w:rPr>
                      </w:pPr>
                    </w:p>
                    <w:p w14:paraId="1D8F0F55" w14:textId="77777777" w:rsidR="00FA41FC" w:rsidRDefault="00FA41FC">
                      <w:pPr>
                        <w:spacing w:after="0" w:line="240" w:lineRule="auto"/>
                        <w:jc w:val="center"/>
                        <w:rPr>
                          <w:rFonts w:ascii="Swis721 Th BT" w:hAnsi="Swis721 Th BT"/>
                          <w:b/>
                          <w:color w:val="FFFFFF" w:themeColor="background1"/>
                          <w:sz w:val="23"/>
                          <w:szCs w:val="23"/>
                        </w:rPr>
                      </w:pPr>
                    </w:p>
                    <w:p w14:paraId="144BF484" w14:textId="77777777" w:rsidR="00FA41FC" w:rsidRDefault="00FA41FC">
                      <w:pPr>
                        <w:spacing w:after="0" w:line="240" w:lineRule="auto"/>
                        <w:jc w:val="center"/>
                        <w:rPr>
                          <w:rFonts w:ascii="Swis721 Th BT" w:hAnsi="Swis721 Th BT"/>
                          <w:b/>
                          <w:color w:val="FFFFFF" w:themeColor="background1"/>
                          <w:sz w:val="12"/>
                          <w:szCs w:val="12"/>
                        </w:rPr>
                      </w:pPr>
                    </w:p>
                    <w:p w14:paraId="40F02E1D" w14:textId="77777777" w:rsidR="00FA41FC" w:rsidRDefault="00FA41FC"/>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805696" behindDoc="0" locked="0" layoutInCell="1" allowOverlap="1">
                <wp:simplePos x="0" y="0"/>
                <wp:positionH relativeFrom="column">
                  <wp:posOffset>0</wp:posOffset>
                </wp:positionH>
                <wp:positionV relativeFrom="paragraph">
                  <wp:posOffset>79375</wp:posOffset>
                </wp:positionV>
                <wp:extent cx="1913890" cy="844550"/>
                <wp:effectExtent l="4445" t="5080" r="12065" b="13970"/>
                <wp:wrapNone/>
                <wp:docPr id="739657698" name="Caixa de texto 739657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844550"/>
                        </a:xfrm>
                        <a:prstGeom prst="rect">
                          <a:avLst/>
                        </a:prstGeom>
                        <a:solidFill>
                          <a:srgbClr val="0070C0"/>
                        </a:solidFill>
                        <a:ln w="9525">
                          <a:solidFill>
                            <a:srgbClr val="0070C0"/>
                          </a:solidFill>
                          <a:miter lim="800000"/>
                        </a:ln>
                      </wps:spPr>
                      <wps:txbx>
                        <w:txbxContent>
                          <w:p w14:paraId="4983307E"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Cálcio 1000 mg</w:t>
                            </w:r>
                          </w:p>
                          <w:p w14:paraId="48E81DD3"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D3 400 UI</w:t>
                            </w:r>
                          </w:p>
                          <w:p w14:paraId="0BCD0F82"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p w14:paraId="54D89843"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739657698" o:spid="_x0000_s1123" type="#_x0000_t202" style="position:absolute;left:0;text-align:left;margin-left:0;margin-top:6.25pt;width:150.7pt;height:66.5pt;z-index:25180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" fillcolor="#0070c0" strokecolor="#0070c0">
                <v:textbox>
                  <w:txbxContent>
                    <w:p w14:paraId="4983307E"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Cálcio 1000 mg</w:t>
                      </w:r>
                    </w:p>
                    <w:p w14:paraId="48E81DD3"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D3 400 UI</w:t>
                      </w:r>
                    </w:p>
                    <w:p w14:paraId="0BCD0F82"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p w14:paraId="54D89843"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p>
    <w:p w14:paraId="1456185C" w14:textId="77777777" w:rsidR="00CD65C2" w:rsidRDefault="00CD65C2">
      <w:pPr>
        <w:pStyle w:val="Corpo"/>
        <w:rPr>
          <w:rFonts w:hint="eastAsia"/>
          <w:color w:val="404040" w:themeColor="text1" w:themeTint="BF"/>
        </w:rPr>
      </w:pPr>
    </w:p>
    <w:p w14:paraId="45F148FA" w14:textId="77777777" w:rsidR="00CD65C2" w:rsidRDefault="00CD65C2">
      <w:pPr>
        <w:pStyle w:val="Corpo"/>
        <w:rPr>
          <w:rFonts w:hint="eastAsia"/>
          <w:color w:val="404040" w:themeColor="text1" w:themeTint="BF"/>
        </w:rPr>
      </w:pPr>
    </w:p>
    <w:p w14:paraId="54898A91" w14:textId="77777777" w:rsidR="00CD65C2" w:rsidRDefault="00CD65C2">
      <w:pPr>
        <w:pStyle w:val="Corpo"/>
        <w:rPr>
          <w:rFonts w:hint="eastAsia"/>
          <w:color w:val="404040" w:themeColor="text1" w:themeTint="BF"/>
        </w:rPr>
      </w:pPr>
    </w:p>
    <w:p w14:paraId="3B95BE28" w14:textId="77777777" w:rsidR="00CD65C2" w:rsidRDefault="00CD65C2">
      <w:pPr>
        <w:pStyle w:val="Corpo"/>
        <w:spacing w:before="120"/>
        <w:rPr>
          <w:rFonts w:hint="eastAsia"/>
          <w:color w:val="404040" w:themeColor="text1" w:themeTint="BF"/>
          <w:sz w:val="20"/>
        </w:rPr>
      </w:pPr>
    </w:p>
    <w:p w14:paraId="7AACEA6E" w14:textId="77777777" w:rsidR="00CD65C2" w:rsidRDefault="00CD65C2">
      <w:pPr>
        <w:pStyle w:val="Corpo"/>
        <w:rPr>
          <w:rFonts w:hint="eastAsia"/>
          <w:b/>
          <w:color w:val="339966"/>
          <w:sz w:val="25"/>
          <w:szCs w:val="25"/>
          <w14:textFill>
            <w14:solidFill>
              <w14:srgbClr w14:val="339966">
                <w14:lumMod w14:val="75000"/>
                <w14:lumOff w14:val="25000"/>
              </w14:srgbClr>
            </w14:solidFill>
          </w14:textFill>
        </w:rPr>
      </w:pPr>
    </w:p>
    <w:p w14:paraId="56AA7F5C"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65E4E0EF" w14:textId="77777777" w:rsidR="00CD65C2" w:rsidRDefault="00CD65C2">
      <w:pPr>
        <w:pStyle w:val="Corpo"/>
        <w:rPr>
          <w:rFonts w:hint="eastAsia"/>
          <w:color w:val="404040" w:themeColor="text1" w:themeTint="BF"/>
          <w:sz w:val="16"/>
          <w:szCs w:val="16"/>
        </w:rPr>
      </w:pPr>
    </w:p>
    <w:p w14:paraId="18961BF9" w14:textId="45651EFA"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Houve um aumento de 38% nas concentrações séricas médias de 25OHD3 após dois anos (IC 95% 1,29-1,47, p &lt; 0,001) nas mulheres que receberam cálcio e vitamina D3 (24,3 ng/mL pós-randomização média) em comparação com placebo (18,2 ng/mL);</w:t>
      </w:r>
    </w:p>
    <w:p w14:paraId="51BBEF8E" w14:textId="519AEF54"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As mulheres do grupo 1 tiveram uma redução média de 4,46 mg/dL no LDL-c (p = 0,03). Concentrações mais altas de 25OHD</w:t>
      </w:r>
      <w:r>
        <w:rPr>
          <w:color w:val="404040" w:themeColor="text1" w:themeTint="BF"/>
          <w:sz w:val="24"/>
          <w:vertAlign w:val="subscript"/>
        </w:rPr>
        <w:t>3</w:t>
      </w:r>
      <w:r>
        <w:rPr>
          <w:color w:val="404040" w:themeColor="text1" w:themeTint="BF"/>
          <w:sz w:val="24"/>
        </w:rPr>
        <w:t> foram associadas a níveis de HDL-c mais altos (p = 0,003), juntamente com níveis mais baixos de LDL-c e TG (p = 0,02 e p &lt; 0,001, respectivamente).</w:t>
      </w:r>
    </w:p>
    <w:p w14:paraId="31E1FB18" w14:textId="77777777" w:rsidR="00CD65C2" w:rsidRDefault="00CD65C2">
      <w:pPr>
        <w:pStyle w:val="Corpo"/>
        <w:spacing w:after="120"/>
        <w:ind w:left="786"/>
        <w:rPr>
          <w:rFonts w:hint="eastAsia"/>
          <w:color w:val="404040" w:themeColor="text1" w:themeTint="BF"/>
          <w:sz w:val="24"/>
        </w:rPr>
      </w:pPr>
    </w:p>
    <w:p w14:paraId="456A9FC2"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267FBFBA" w14:textId="77777777" w:rsidR="00CD65C2" w:rsidRDefault="00CD65C2">
      <w:pPr>
        <w:pStyle w:val="Corpo"/>
        <w:rPr>
          <w:rFonts w:hint="eastAsia"/>
          <w:b/>
          <w:color w:val="339966"/>
          <w:sz w:val="16"/>
          <w:szCs w:val="16"/>
          <w14:textFill>
            <w14:solidFill>
              <w14:srgbClr w14:val="339966">
                <w14:lumMod w14:val="75000"/>
                <w14:lumOff w14:val="25000"/>
              </w14:srgbClr>
            </w14:solidFill>
          </w14:textFill>
        </w:rPr>
      </w:pPr>
    </w:p>
    <w:p w14:paraId="0DEB0BC7" w14:textId="2A9935D4" w:rsidR="00CD65C2" w:rsidRDefault="00FA41FC">
      <w:pPr>
        <w:pStyle w:val="Corpo"/>
        <w:jc w:val="center"/>
        <w:rPr>
          <w:rFonts w:hint="eastAsia"/>
          <w:color w:val="404040" w:themeColor="text1" w:themeTint="BF"/>
          <w:sz w:val="24"/>
        </w:rPr>
      </w:pPr>
      <w:r>
        <w:rPr>
          <w:b/>
          <w:i/>
          <w:color w:val="404040" w:themeColor="text1" w:themeTint="BF"/>
          <w:sz w:val="24"/>
        </w:rPr>
        <w:t>Os resultados apontam que a cossuplementação de cálcio e vitamina D3 aumentou significativamente as concentrações de 25OHD</w:t>
      </w:r>
      <w:r w:rsidRPr="00D1428E">
        <w:rPr>
          <w:rFonts w:hint="eastAsia"/>
          <w:b/>
          <w:i/>
          <w:color w:val="404040" w:themeColor="text1" w:themeTint="BF"/>
          <w:sz w:val="24"/>
          <w:vertAlign w:val="subscript"/>
        </w:rPr>
        <w:t>3</w:t>
      </w:r>
      <w:r>
        <w:rPr>
          <w:b/>
          <w:i/>
          <w:color w:val="404040" w:themeColor="text1" w:themeTint="BF"/>
          <w:sz w:val="24"/>
        </w:rPr>
        <w:t> e diminuiu o LDL-c. Mulheres com 25OHD</w:t>
      </w:r>
      <w:r w:rsidRPr="00D1428E">
        <w:rPr>
          <w:rFonts w:hint="eastAsia"/>
          <w:b/>
          <w:i/>
          <w:color w:val="404040" w:themeColor="text1" w:themeTint="BF"/>
          <w:sz w:val="24"/>
          <w:vertAlign w:val="subscript"/>
        </w:rPr>
        <w:t>3</w:t>
      </w:r>
      <w:r>
        <w:rPr>
          <w:b/>
          <w:i/>
          <w:color w:val="404040" w:themeColor="text1" w:themeTint="BF"/>
          <w:sz w:val="24"/>
        </w:rPr>
        <w:t> mais alto tiveram perfis lipídicos mais favoráveis, incluindo HDL-c aumentado, bem como LDL-c e TG mais baixos.</w:t>
      </w:r>
    </w:p>
    <w:p w14:paraId="0D2F9688" w14:textId="77777777" w:rsidR="00CD65C2" w:rsidRDefault="00CD65C2">
      <w:pPr>
        <w:pStyle w:val="Corpo"/>
        <w:jc w:val="center"/>
        <w:rPr>
          <w:rFonts w:hint="eastAsia"/>
          <w:b/>
          <w:bCs/>
          <w:i/>
          <w:color w:val="404040" w:themeColor="text1" w:themeTint="BF"/>
        </w:rPr>
      </w:pPr>
    </w:p>
    <w:p w14:paraId="75AE8C96" w14:textId="77777777" w:rsidR="00CD65C2" w:rsidRDefault="00FA41FC">
      <w:pPr>
        <w:pStyle w:val="Ttulo1"/>
        <w:jc w:val="center"/>
        <w:rPr>
          <w:rFonts w:hint="eastAsia"/>
        </w:rPr>
      </w:pPr>
      <w:bookmarkStart w:id="77" w:name="_Toc165537227"/>
      <w:r>
        <w:t>Formulário</w:t>
      </w:r>
      <w:bookmarkEnd w:id="77"/>
    </w:p>
    <w:p w14:paraId="445444A3" w14:textId="77777777" w:rsidR="00CD65C2" w:rsidRDefault="00CD65C2">
      <w:pPr>
        <w:pStyle w:val="Corpo"/>
        <w:rPr>
          <w:rFonts w:hint="eastAsia"/>
          <w:b/>
          <w:i/>
          <w:color w:val="404040" w:themeColor="text1" w:themeTint="BF"/>
        </w:rPr>
      </w:pPr>
    </w:p>
    <w:p w14:paraId="6FD9FBA7" w14:textId="77777777" w:rsidR="00CD65C2" w:rsidRDefault="00CD65C2">
      <w:pPr>
        <w:pStyle w:val="Corpo"/>
        <w:rPr>
          <w:rFonts w:hint="eastAsia"/>
          <w:b/>
          <w:i/>
          <w:color w:val="404040" w:themeColor="text1" w:themeTint="BF"/>
        </w:rPr>
      </w:pPr>
    </w:p>
    <w:p w14:paraId="189818BA" w14:textId="77777777" w:rsidR="00CD65C2" w:rsidRDefault="00FA41FC">
      <w:pPr>
        <w:pStyle w:val="Corpo"/>
        <w:rPr>
          <w:rFonts w:hint="eastAsia"/>
          <w:b/>
          <w:i/>
          <w:color w:val="404040" w:themeColor="text1" w:themeTint="BF"/>
          <w:sz w:val="24"/>
        </w:rPr>
      </w:pPr>
      <w:r>
        <w:rPr>
          <w:b/>
          <w:i/>
          <w:color w:val="404040" w:themeColor="text1" w:themeTint="BF"/>
          <w:sz w:val="24"/>
        </w:rPr>
        <w:t>Co-suplementação de Cálcio e Vitamina D3 Melhora o Perfil Lipídico em Mulheres na Pós-menopausa</w:t>
      </w:r>
    </w:p>
    <w:p w14:paraId="1DF95025"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6FA075DC"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0084543E" w14:textId="77777777" w:rsidR="00CD65C2" w:rsidRDefault="00FA41FC">
            <w:pPr>
              <w:pStyle w:val="Corpo"/>
              <w:jc w:val="center"/>
              <w:rPr>
                <w:rFonts w:hint="eastAsia"/>
                <w:b/>
                <w:color w:val="FFFFFF" w:themeColor="background1"/>
              </w:rPr>
            </w:pPr>
            <w:r>
              <w:rPr>
                <w:b/>
                <w:color w:val="FFFFFF" w:themeColor="background1"/>
                <w:sz w:val="22"/>
              </w:rPr>
              <w:t>Cápsulas de Cálcio</w:t>
            </w:r>
          </w:p>
        </w:tc>
      </w:tr>
      <w:tr w:rsidR="00CD65C2" w14:paraId="3045A82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9D6609F" w14:textId="77777777" w:rsidR="00CD65C2" w:rsidRDefault="00FA41FC">
            <w:pPr>
              <w:pStyle w:val="Corpo"/>
              <w:rPr>
                <w:rFonts w:hint="eastAsia"/>
                <w:color w:val="404040" w:themeColor="text1" w:themeTint="BF"/>
              </w:rPr>
            </w:pPr>
            <w:r>
              <w:rPr>
                <w:color w:val="404040" w:themeColor="text1" w:themeTint="BF"/>
              </w:rPr>
              <w:t>Cálcio Elementar...........................1000 mg</w:t>
            </w:r>
          </w:p>
        </w:tc>
      </w:tr>
      <w:tr w:rsidR="00CD65C2" w14:paraId="3B42B9F4"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B4FB0E8" w14:textId="52B2C781" w:rsidR="00CD65C2" w:rsidRDefault="00FA41FC">
            <w:pPr>
              <w:pStyle w:val="Corpo"/>
              <w:rPr>
                <w:rFonts w:hint="eastAsia"/>
                <w:color w:val="404040" w:themeColor="text1" w:themeTint="BF"/>
              </w:rPr>
            </w:pPr>
            <w:r>
              <w:rPr>
                <w:color w:val="404040" w:themeColor="text1" w:themeTint="BF"/>
              </w:rPr>
              <w:t>Excipiente q.s.p. ........................1 Cápsula</w:t>
            </w:r>
          </w:p>
        </w:tc>
      </w:tr>
    </w:tbl>
    <w:p w14:paraId="09E4A148" w14:textId="77777777" w:rsidR="00CD65C2" w:rsidRDefault="00FA41FC">
      <w:pPr>
        <w:pStyle w:val="Corpo"/>
        <w:ind w:right="4818"/>
        <w:jc w:val="center"/>
        <w:rPr>
          <w:rFonts w:hint="eastAsia"/>
          <w:color w:val="404040" w:themeColor="text1" w:themeTint="BF"/>
          <w:sz w:val="22"/>
          <w:szCs w:val="22"/>
        </w:rPr>
      </w:pPr>
      <w:r>
        <w:rPr>
          <w:color w:val="404040" w:themeColor="text1" w:themeTint="BF"/>
          <w:sz w:val="22"/>
          <w:szCs w:val="22"/>
        </w:rPr>
        <w:t>Administrar 1 cápsula ao dia ou conforme orientação médica.</w:t>
      </w:r>
    </w:p>
    <w:p w14:paraId="230C0041" w14:textId="77777777" w:rsidR="00CD65C2" w:rsidRDefault="00CD65C2">
      <w:pPr>
        <w:pStyle w:val="Corpo"/>
        <w:rPr>
          <w:rFonts w:hint="eastAsia"/>
          <w:b/>
          <w:i/>
          <w:color w:val="404040" w:themeColor="text1" w:themeTint="BF"/>
          <w:sz w:val="24"/>
        </w:rPr>
      </w:pPr>
    </w:p>
    <w:p w14:paraId="1E7280D4" w14:textId="77777777" w:rsidR="00CD65C2" w:rsidRDefault="00FA41FC">
      <w:pPr>
        <w:pStyle w:val="Corpo"/>
        <w:rPr>
          <w:rFonts w:hint="eastAsia"/>
          <w:b/>
          <w:i/>
          <w:color w:val="404040" w:themeColor="text1" w:themeTint="BF"/>
          <w:sz w:val="24"/>
        </w:rPr>
      </w:pPr>
      <w:r>
        <w:rPr>
          <w:b/>
          <w:i/>
          <w:color w:val="404040" w:themeColor="text1" w:themeTint="BF"/>
          <w:sz w:val="24"/>
        </w:rPr>
        <w:t xml:space="preserve">                                +</w:t>
      </w:r>
    </w:p>
    <w:p w14:paraId="29C4F5DF" w14:textId="77777777" w:rsidR="00CD65C2" w:rsidRDefault="00CD65C2">
      <w:pPr>
        <w:pStyle w:val="Corpo"/>
        <w:rPr>
          <w:rFonts w:hint="eastAsia"/>
          <w:b/>
          <w:i/>
          <w:color w:val="404040" w:themeColor="text1" w:themeTint="BF"/>
          <w:sz w:val="14"/>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555233A1"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04192FFA" w14:textId="77777777" w:rsidR="00CD65C2" w:rsidRDefault="00FA41FC">
            <w:pPr>
              <w:pStyle w:val="Corpo"/>
              <w:jc w:val="center"/>
              <w:rPr>
                <w:rFonts w:hint="eastAsia"/>
                <w:b/>
                <w:color w:val="FFFFFF" w:themeColor="background1"/>
              </w:rPr>
            </w:pPr>
            <w:r>
              <w:rPr>
                <w:b/>
                <w:color w:val="FFFFFF" w:themeColor="background1"/>
                <w:sz w:val="22"/>
              </w:rPr>
              <w:t>Cápsulas de Vitamina D3</w:t>
            </w:r>
          </w:p>
        </w:tc>
      </w:tr>
      <w:tr w:rsidR="00CD65C2" w14:paraId="30E06DA7"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D938EF7" w14:textId="77777777" w:rsidR="00CD65C2" w:rsidRDefault="00FA41FC">
            <w:pPr>
              <w:pStyle w:val="Corpo"/>
              <w:rPr>
                <w:rFonts w:hint="eastAsia"/>
                <w:color w:val="404040" w:themeColor="text1" w:themeTint="BF"/>
              </w:rPr>
            </w:pPr>
            <w:r>
              <w:rPr>
                <w:color w:val="404040" w:themeColor="text1" w:themeTint="BF"/>
              </w:rPr>
              <w:t>Vitamina D3.......................................400 UI</w:t>
            </w:r>
          </w:p>
        </w:tc>
      </w:tr>
      <w:tr w:rsidR="00CD65C2" w14:paraId="77956724"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CDB63EE" w14:textId="2F9C7043" w:rsidR="00CD65C2" w:rsidRDefault="00FA41FC">
            <w:pPr>
              <w:pStyle w:val="Corpo"/>
              <w:rPr>
                <w:rFonts w:hint="eastAsia"/>
                <w:color w:val="404040" w:themeColor="text1" w:themeTint="BF"/>
              </w:rPr>
            </w:pPr>
            <w:r>
              <w:rPr>
                <w:color w:val="404040" w:themeColor="text1" w:themeTint="BF"/>
              </w:rPr>
              <w:t>Excipiente q.s.p. ........................1 Cápsula</w:t>
            </w:r>
          </w:p>
        </w:tc>
      </w:tr>
    </w:tbl>
    <w:p w14:paraId="39A2CD6F" w14:textId="77777777" w:rsidR="00CD65C2" w:rsidRDefault="00FA41FC">
      <w:pPr>
        <w:pStyle w:val="Corpo"/>
        <w:ind w:right="4818"/>
        <w:jc w:val="center"/>
        <w:rPr>
          <w:rFonts w:hint="eastAsia"/>
          <w:color w:val="404040" w:themeColor="text1" w:themeTint="BF"/>
          <w:sz w:val="22"/>
          <w:szCs w:val="22"/>
        </w:rPr>
      </w:pPr>
      <w:r>
        <w:rPr>
          <w:color w:val="404040" w:themeColor="text1" w:themeTint="BF"/>
          <w:sz w:val="22"/>
          <w:szCs w:val="22"/>
        </w:rPr>
        <w:t>Administrar 1 cápsula ao dia ou conforme orientação médica.</w:t>
      </w:r>
    </w:p>
    <w:p w14:paraId="35AFF0D1" w14:textId="77777777" w:rsidR="00CD65C2" w:rsidRDefault="00CD65C2">
      <w:pPr>
        <w:pStyle w:val="SemEspaamento"/>
      </w:pPr>
    </w:p>
    <w:p w14:paraId="39B6656E" w14:textId="77777777" w:rsidR="00CD65C2" w:rsidRDefault="00CD65C2">
      <w:pPr>
        <w:pStyle w:val="SemEspaamento"/>
      </w:pPr>
    </w:p>
    <w:p w14:paraId="255E0F32" w14:textId="77777777" w:rsidR="00CD65C2" w:rsidRDefault="00CD65C2">
      <w:pPr>
        <w:pStyle w:val="SemEspaamento"/>
      </w:pPr>
    </w:p>
    <w:p w14:paraId="2479A9A9" w14:textId="77777777" w:rsidR="00CD65C2" w:rsidRDefault="00CD65C2">
      <w:pPr>
        <w:pStyle w:val="SemEspaamento"/>
      </w:pPr>
    </w:p>
    <w:p w14:paraId="6A6E9095" w14:textId="77777777" w:rsidR="00CD65C2" w:rsidRDefault="00CD65C2">
      <w:pPr>
        <w:pStyle w:val="SemEspaamento"/>
      </w:pPr>
    </w:p>
    <w:p w14:paraId="2EAD9C51" w14:textId="77777777" w:rsidR="00CD65C2" w:rsidRDefault="00CD65C2">
      <w:pPr>
        <w:pStyle w:val="SemEspaamento"/>
      </w:pPr>
    </w:p>
    <w:p w14:paraId="55529063" w14:textId="77777777" w:rsidR="00CD65C2" w:rsidRDefault="00CD65C2">
      <w:pPr>
        <w:pStyle w:val="SemEspaamento"/>
      </w:pPr>
    </w:p>
    <w:p w14:paraId="5B7A124F" w14:textId="77777777" w:rsidR="00CD65C2" w:rsidRDefault="00CD65C2">
      <w:pPr>
        <w:pStyle w:val="SemEspaamento"/>
      </w:pPr>
    </w:p>
    <w:p w14:paraId="751D5390" w14:textId="77777777" w:rsidR="00CD65C2" w:rsidRDefault="00CD65C2">
      <w:pPr>
        <w:pStyle w:val="SemEspaamento"/>
      </w:pPr>
    </w:p>
    <w:p w14:paraId="011BA69D" w14:textId="77777777" w:rsidR="00CD65C2" w:rsidRDefault="00CD65C2">
      <w:pPr>
        <w:pStyle w:val="SemEspaamento"/>
      </w:pPr>
    </w:p>
    <w:p w14:paraId="1CD38CB6" w14:textId="77777777" w:rsidR="00CD65C2" w:rsidRDefault="00CD65C2">
      <w:pPr>
        <w:pStyle w:val="SemEspaamento"/>
      </w:pPr>
    </w:p>
    <w:p w14:paraId="7AC9D404" w14:textId="77777777" w:rsidR="00CD65C2" w:rsidRDefault="00CD65C2">
      <w:pPr>
        <w:pStyle w:val="SemEspaamento"/>
      </w:pPr>
    </w:p>
    <w:p w14:paraId="2BD7A81C" w14:textId="77777777" w:rsidR="00CD65C2" w:rsidRDefault="00CD65C2">
      <w:pPr>
        <w:pStyle w:val="SemEspaamento"/>
      </w:pPr>
    </w:p>
    <w:p w14:paraId="0B5905C7" w14:textId="77777777" w:rsidR="00CD65C2" w:rsidRDefault="00CD65C2">
      <w:pPr>
        <w:pStyle w:val="SemEspaamento"/>
      </w:pPr>
    </w:p>
    <w:p w14:paraId="713F6155" w14:textId="77777777" w:rsidR="00CD65C2" w:rsidRDefault="00CD65C2">
      <w:pPr>
        <w:pStyle w:val="SemEspaamento"/>
      </w:pPr>
    </w:p>
    <w:p w14:paraId="2785E301" w14:textId="77777777" w:rsidR="00CD65C2" w:rsidRDefault="00CD65C2">
      <w:pPr>
        <w:pStyle w:val="SemEspaamento"/>
      </w:pPr>
    </w:p>
    <w:p w14:paraId="56627135" w14:textId="77777777" w:rsidR="00CD65C2" w:rsidRDefault="00CD65C2">
      <w:pPr>
        <w:pStyle w:val="SemEspaamento"/>
      </w:pPr>
    </w:p>
    <w:p w14:paraId="199DE1E9" w14:textId="77777777" w:rsidR="00CD65C2" w:rsidRDefault="00CD65C2">
      <w:pPr>
        <w:pStyle w:val="SemEspaamento"/>
      </w:pPr>
    </w:p>
    <w:p w14:paraId="58F07173" w14:textId="77777777" w:rsidR="00CD65C2" w:rsidRDefault="00CD65C2">
      <w:pPr>
        <w:pStyle w:val="SemEspaamento"/>
      </w:pPr>
    </w:p>
    <w:p w14:paraId="1B3D1F66" w14:textId="77777777" w:rsidR="00CD65C2" w:rsidRDefault="00FA41FC">
      <w:pPr>
        <w:pStyle w:val="Ttulo1"/>
        <w:jc w:val="center"/>
        <w:rPr>
          <w:rFonts w:hint="eastAsia"/>
        </w:rPr>
      </w:pPr>
      <w:bookmarkStart w:id="78" w:name="_Toc165537228"/>
      <w:r>
        <w:t>Óleo de Semente de Abóbora</w:t>
      </w:r>
      <w:bookmarkEnd w:id="78"/>
    </w:p>
    <w:p w14:paraId="12EA3EA2" w14:textId="77777777" w:rsidR="00CD65C2" w:rsidRPr="00D1428E" w:rsidRDefault="00FA41FC">
      <w:pPr>
        <w:pStyle w:val="Corpo"/>
        <w:spacing w:after="120"/>
        <w:jc w:val="center"/>
        <w:rPr>
          <w:rFonts w:hint="eastAsia"/>
          <w:b/>
          <w:color w:val="0070C0"/>
          <w:sz w:val="40"/>
        </w:rPr>
      </w:pPr>
      <w:r w:rsidRPr="00D1428E">
        <w:rPr>
          <w:b/>
          <w:color w:val="0070C0"/>
          <w:sz w:val="40"/>
        </w:rPr>
        <w:t>Auxilia na Prevenção e Tratamento dos Distúrbios Hemodinâmicos Associados a Pós-Menopausa</w:t>
      </w:r>
    </w:p>
    <w:p w14:paraId="3F7197A1" w14:textId="77777777" w:rsidR="00CD65C2" w:rsidRDefault="00CD65C2">
      <w:pPr>
        <w:pStyle w:val="Corpo"/>
        <w:spacing w:after="120"/>
        <w:rPr>
          <w:rFonts w:hint="eastAsia"/>
          <w:color w:val="404040" w:themeColor="text1" w:themeTint="BF"/>
          <w:sz w:val="24"/>
        </w:rPr>
      </w:pPr>
    </w:p>
    <w:p w14:paraId="03D2DFF9" w14:textId="77777777" w:rsidR="00CD65C2" w:rsidRDefault="00CD65C2">
      <w:pPr>
        <w:pStyle w:val="Corpo"/>
        <w:spacing w:line="276" w:lineRule="auto"/>
        <w:rPr>
          <w:rFonts w:hint="eastAsia"/>
          <w:color w:val="404040" w:themeColor="text1" w:themeTint="BF"/>
          <w:szCs w:val="23"/>
        </w:rPr>
      </w:pPr>
    </w:p>
    <w:p w14:paraId="4BE6F6D3" w14:textId="1F8B905C" w:rsidR="00CD65C2" w:rsidRDefault="00FA41FC">
      <w:pPr>
        <w:pStyle w:val="Corpo"/>
        <w:spacing w:after="120"/>
        <w:rPr>
          <w:rFonts w:hint="eastAsia"/>
          <w:color w:val="404040" w:themeColor="text1" w:themeTint="BF"/>
          <w:sz w:val="24"/>
        </w:rPr>
      </w:pPr>
      <w:r>
        <w:rPr>
          <w:color w:val="404040" w:themeColor="text1" w:themeTint="BF"/>
          <w:sz w:val="24"/>
        </w:rPr>
        <w:t xml:space="preserve">O objetivo deste estudo, conduzido por Wong </w:t>
      </w:r>
      <w:r>
        <w:rPr>
          <w:i/>
          <w:color w:val="404040" w:themeColor="text1" w:themeTint="BF"/>
          <w:sz w:val="24"/>
        </w:rPr>
        <w:t>et al</w:t>
      </w:r>
      <w:r>
        <w:rPr>
          <w:color w:val="404040" w:themeColor="text1" w:themeTint="BF"/>
          <w:sz w:val="24"/>
        </w:rPr>
        <w:t>. (2019), foi avaliar o efeitos do óleo de semente de abóbora na função vascular e na taxa de variabilidade cardíaca (HRV) em mulheres pós-menopausadas com pressão arterial elevada.</w:t>
      </w:r>
    </w:p>
    <w:p w14:paraId="7697CC4C"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14912" behindDoc="0" locked="0" layoutInCell="1" allowOverlap="1">
                <wp:simplePos x="0" y="0"/>
                <wp:positionH relativeFrom="margin">
                  <wp:posOffset>0</wp:posOffset>
                </wp:positionH>
                <wp:positionV relativeFrom="paragraph">
                  <wp:posOffset>151130</wp:posOffset>
                </wp:positionV>
                <wp:extent cx="5735955" cy="621030"/>
                <wp:effectExtent l="4445" t="5080" r="12700" b="8890"/>
                <wp:wrapNone/>
                <wp:docPr id="739657699" name="Caixa de texto 739657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781" cy="621030"/>
                        </a:xfrm>
                        <a:prstGeom prst="rect">
                          <a:avLst/>
                        </a:prstGeom>
                        <a:solidFill>
                          <a:schemeClr val="bg1">
                            <a:lumMod val="100000"/>
                            <a:lumOff val="0"/>
                          </a:schemeClr>
                        </a:solidFill>
                        <a:ln w="9525">
                          <a:solidFill>
                            <a:srgbClr val="0070C0"/>
                          </a:solidFill>
                          <a:miter lim="800000"/>
                        </a:ln>
                      </wps:spPr>
                      <wps:txbx>
                        <w:txbxContent>
                          <w:p w14:paraId="380C003A" w14:textId="2BEF5560" w:rsidR="00FA41FC" w:rsidRDefault="00FA41FC">
                            <w:pPr>
                              <w:jc w:val="center"/>
                              <w:rPr>
                                <w:rFonts w:ascii="Swis721 Th BT" w:hAnsi="Swis721 Th BT"/>
                                <w:sz w:val="23"/>
                                <w:szCs w:val="23"/>
                              </w:rPr>
                            </w:pPr>
                            <w:r>
                              <w:rPr>
                                <w:rFonts w:ascii="Swis721 Th BT" w:hAnsi="Swis721 Th BT"/>
                                <w:sz w:val="23"/>
                                <w:szCs w:val="23"/>
                              </w:rPr>
                              <w:t>Assim, 33 mulheres na pós-menopausa foram selecionadas para participarem deste estudo clínico, randomizado e placebo-controlado. Elas foram divididas em dois grupos para receberem a seguinte posologia durante seis semanas:</w:t>
                            </w:r>
                          </w:p>
                          <w:p w14:paraId="3F718750"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699" o:spid="_x0000_s1124" type="#_x0000_t202" style="position:absolute;left:0;text-align:left;margin-left:0;margin-top:11.9pt;width:451.65pt;height:48.9pt;z-index:2518149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" fillcolor="white [3212]" strokecolor="#0070c0">
                <v:textbox>
                  <w:txbxContent>
                    <w:p w14:paraId="380C003A" w14:textId="2BEF5560" w:rsidR="00FA41FC" w:rsidRDefault="00FA41FC">
                      <w:pPr>
                        <w:jc w:val="center"/>
                        <w:rPr>
                          <w:rFonts w:ascii="Swis721 Th BT" w:hAnsi="Swis721 Th BT"/>
                          <w:sz w:val="23"/>
                          <w:szCs w:val="23"/>
                        </w:rPr>
                      </w:pPr>
                      <w:r>
                        <w:rPr>
                          <w:rFonts w:ascii="Swis721 Th BT" w:hAnsi="Swis721 Th BT"/>
                          <w:sz w:val="23"/>
                          <w:szCs w:val="23"/>
                        </w:rPr>
                        <w:t>Assim, 33 mulheres na pós-menopausa foram selecionadas para participarem deste estudo clínico, randomizado e placebo-controlado. Elas foram divididas em dois grupos para receberem a seguinte posologia durante seis semanas:</w:t>
                      </w:r>
                    </w:p>
                    <w:p w14:paraId="3F718750"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0160E487" w14:textId="77777777" w:rsidR="00CD65C2" w:rsidRDefault="00CD65C2">
      <w:pPr>
        <w:pStyle w:val="Corpo"/>
        <w:rPr>
          <w:rFonts w:hint="eastAsia"/>
          <w:color w:val="404040" w:themeColor="text1" w:themeTint="BF"/>
        </w:rPr>
      </w:pPr>
    </w:p>
    <w:p w14:paraId="7D2BC80F" w14:textId="77777777" w:rsidR="00CD65C2" w:rsidRDefault="00CD65C2">
      <w:pPr>
        <w:pStyle w:val="Corpo"/>
        <w:rPr>
          <w:rFonts w:hint="eastAsia"/>
          <w:color w:val="404040" w:themeColor="text1" w:themeTint="BF"/>
        </w:rPr>
      </w:pPr>
    </w:p>
    <w:p w14:paraId="13A6F06C"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811840" behindDoc="0" locked="0" layoutInCell="1" allowOverlap="1">
                <wp:simplePos x="0" y="0"/>
                <wp:positionH relativeFrom="column">
                  <wp:posOffset>4653280</wp:posOffset>
                </wp:positionH>
                <wp:positionV relativeFrom="paragraph">
                  <wp:posOffset>12700</wp:posOffset>
                </wp:positionV>
                <wp:extent cx="226695" cy="138430"/>
                <wp:effectExtent l="0" t="0" r="1905" b="0"/>
                <wp:wrapNone/>
                <wp:docPr id="739657700" name="Triângulo isósceles 739657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700" o:spid="_x0000_s1026" o:spt="5" type="#_x0000_t5" style="position:absolute;left:0pt;flip:y;margin-left:366.4pt;margin-top:1pt;height:10.9pt;width:17.85pt;z-index:251811840;mso-width-relative:page;mso-height-relative:page;" fillcolor="#D9D9D9 [3212]" filled="t" stroked="f" coordsize="21600,21600" o:gfxdata="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GzRIVdYAAAAIAQAADwAAAAAAAAABACAAAAAiAAAAZHJzL2Rvd25yZXYueG1sUEsBAhQAFAAAAAgA&#10;h07iQC3A8cFgAgAAswQAAA4AAAAAAAAAAQAgAAAAJQEAAGRycy9lMm9Eb2MueG1sUEsFBgAAAAAG&#10;AAYAWQEAAPcFA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812864" behindDoc="0" locked="0" layoutInCell="1" allowOverlap="1">
                <wp:simplePos x="0" y="0"/>
                <wp:positionH relativeFrom="column">
                  <wp:posOffset>834390</wp:posOffset>
                </wp:positionH>
                <wp:positionV relativeFrom="paragraph">
                  <wp:posOffset>1270</wp:posOffset>
                </wp:positionV>
                <wp:extent cx="226695" cy="138430"/>
                <wp:effectExtent l="0" t="0" r="1905" b="0"/>
                <wp:wrapNone/>
                <wp:docPr id="739657701" name="Triângulo isósceles 739657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701" o:spid="_x0000_s1026" o:spt="5" type="#_x0000_t5" style="position:absolute;left:0pt;flip:y;margin-left:65.7pt;margin-top:0.1pt;height:10.9pt;width:17.85pt;z-index:251812864;mso-width-relative:page;mso-height-relative:page;" fillcolor="#D9D9D9 [3212]" filled="t" stroked="f" coordsize="21600,21600" o:gfxdata="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TF&#10;fVTTAAAABwEAAA8AAAAAAAAAAQAgAAAAIgAAAGRycy9kb3ducmV2LnhtbFBLAQIUABQAAAAIAIdO&#10;4kCFkQmHYQIAALMEAAAOAAAAAAAAAAEAIAAAACIBAABkcnMvZTJvRG9jLnhtbFBLBQYAAAAABgAG&#10;AFkBAAD1BQAAAAA=&#10;" adj="10800">
                <v:fill on="t" focussize="0,0"/>
                <v:stroke on="f"/>
                <v:imagedata o:title=""/>
                <o:lock v:ext="edit" aspectratio="f"/>
              </v:shape>
            </w:pict>
          </mc:Fallback>
        </mc:AlternateContent>
      </w:r>
    </w:p>
    <w:p w14:paraId="06621FC0"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813888" behindDoc="0" locked="0" layoutInCell="1" allowOverlap="1">
                <wp:simplePos x="0" y="0"/>
                <wp:positionH relativeFrom="column">
                  <wp:posOffset>3827780</wp:posOffset>
                </wp:positionH>
                <wp:positionV relativeFrom="paragraph">
                  <wp:posOffset>90805</wp:posOffset>
                </wp:positionV>
                <wp:extent cx="1905000" cy="835025"/>
                <wp:effectExtent l="4445" t="4445" r="8255" b="11430"/>
                <wp:wrapNone/>
                <wp:docPr id="739657702" name="Caixa de texto 739657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835025"/>
                        </a:xfrm>
                        <a:prstGeom prst="rect">
                          <a:avLst/>
                        </a:prstGeom>
                        <a:solidFill>
                          <a:srgbClr val="0070C0"/>
                        </a:solidFill>
                        <a:ln w="9525">
                          <a:solidFill>
                            <a:srgbClr val="0070C0"/>
                          </a:solidFill>
                          <a:miter lim="800000"/>
                        </a:ln>
                      </wps:spPr>
                      <wps:txbx>
                        <w:txbxContent>
                          <w:p w14:paraId="46964C83"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F02115D" w14:textId="77777777" w:rsidR="00FA41FC" w:rsidRDefault="00FA41FC">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5D60D31B" w14:textId="77777777" w:rsidR="00FA41FC" w:rsidRDefault="00FA41FC">
                            <w:pPr>
                              <w:spacing w:after="0" w:line="240" w:lineRule="auto"/>
                              <w:jc w:val="center"/>
                              <w:rPr>
                                <w:rFonts w:ascii="Swis721 Th BT" w:hAnsi="Swis721 Th BT"/>
                                <w:b/>
                                <w:color w:val="FFFFFF" w:themeColor="background1"/>
                                <w:sz w:val="12"/>
                                <w:szCs w:val="12"/>
                              </w:rPr>
                            </w:pPr>
                          </w:p>
                          <w:p w14:paraId="668FA718" w14:textId="77777777" w:rsidR="00FA41FC" w:rsidRDefault="00FA41FC">
                            <w:pPr>
                              <w:spacing w:after="0" w:line="240" w:lineRule="auto"/>
                              <w:jc w:val="center"/>
                              <w:rPr>
                                <w:rFonts w:ascii="Swis721 Th BT" w:hAnsi="Swis721 Th BT"/>
                                <w:b/>
                                <w:color w:val="FFFFFF" w:themeColor="background1"/>
                                <w:sz w:val="23"/>
                                <w:szCs w:val="23"/>
                              </w:rPr>
                            </w:pPr>
                          </w:p>
                          <w:p w14:paraId="300A4053" w14:textId="77777777" w:rsidR="00FA41FC" w:rsidRDefault="00FA41FC">
                            <w:pPr>
                              <w:spacing w:after="0" w:line="240" w:lineRule="auto"/>
                              <w:jc w:val="center"/>
                              <w:rPr>
                                <w:rFonts w:ascii="Swis721 Th BT" w:hAnsi="Swis721 Th BT"/>
                                <w:b/>
                                <w:color w:val="FFFFFF" w:themeColor="background1"/>
                                <w:sz w:val="12"/>
                                <w:szCs w:val="12"/>
                              </w:rPr>
                            </w:pPr>
                          </w:p>
                          <w:p w14:paraId="14528C9E" w14:textId="77777777" w:rsidR="00FA41FC" w:rsidRDefault="00FA41FC"/>
                        </w:txbxContent>
                      </wps:txbx>
                      <wps:bodyPr rot="0" vert="horz" wrap="square" lIns="91440" tIns="45720" rIns="91440" bIns="45720" anchor="t" anchorCtr="0" upright="1">
                        <a:noAutofit/>
                      </wps:bodyPr>
                    </wps:wsp>
                  </a:graphicData>
                </a:graphic>
              </wp:anchor>
            </w:drawing>
          </mc:Choice>
          <mc:Fallback>
            <w:pict>
              <v:shape id="Caixa de texto 739657702" o:spid="_x0000_s1125" type="#_x0000_t202" style="position:absolute;left:0;text-align:left;margin-left:301.4pt;margin-top:7.15pt;width:150pt;height:65.75pt;z-index:251813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" fillcolor="#0070c0" strokecolor="#0070c0">
                <v:textbox>
                  <w:txbxContent>
                    <w:p w14:paraId="46964C83"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F02115D" w14:textId="77777777" w:rsidR="00FA41FC" w:rsidRDefault="00FA41FC">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5D60D31B" w14:textId="77777777" w:rsidR="00FA41FC" w:rsidRDefault="00FA41FC">
                      <w:pPr>
                        <w:spacing w:after="0" w:line="240" w:lineRule="auto"/>
                        <w:jc w:val="center"/>
                        <w:rPr>
                          <w:rFonts w:ascii="Swis721 Th BT" w:hAnsi="Swis721 Th BT"/>
                          <w:b/>
                          <w:color w:val="FFFFFF" w:themeColor="background1"/>
                          <w:sz w:val="12"/>
                          <w:szCs w:val="12"/>
                        </w:rPr>
                      </w:pPr>
                    </w:p>
                    <w:p w14:paraId="668FA718" w14:textId="77777777" w:rsidR="00FA41FC" w:rsidRDefault="00FA41FC">
                      <w:pPr>
                        <w:spacing w:after="0" w:line="240" w:lineRule="auto"/>
                        <w:jc w:val="center"/>
                        <w:rPr>
                          <w:rFonts w:ascii="Swis721 Th BT" w:hAnsi="Swis721 Th BT"/>
                          <w:b/>
                          <w:color w:val="FFFFFF" w:themeColor="background1"/>
                          <w:sz w:val="23"/>
                          <w:szCs w:val="23"/>
                        </w:rPr>
                      </w:pPr>
                    </w:p>
                    <w:p w14:paraId="300A4053" w14:textId="77777777" w:rsidR="00FA41FC" w:rsidRDefault="00FA41FC">
                      <w:pPr>
                        <w:spacing w:after="0" w:line="240" w:lineRule="auto"/>
                        <w:jc w:val="center"/>
                        <w:rPr>
                          <w:rFonts w:ascii="Swis721 Th BT" w:hAnsi="Swis721 Th BT"/>
                          <w:b/>
                          <w:color w:val="FFFFFF" w:themeColor="background1"/>
                          <w:sz w:val="12"/>
                          <w:szCs w:val="12"/>
                        </w:rPr>
                      </w:pPr>
                    </w:p>
                    <w:p w14:paraId="14528C9E" w14:textId="77777777" w:rsidR="00FA41FC" w:rsidRDefault="00FA41FC"/>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810816" behindDoc="0" locked="0" layoutInCell="1" allowOverlap="1">
                <wp:simplePos x="0" y="0"/>
                <wp:positionH relativeFrom="column">
                  <wp:posOffset>0</wp:posOffset>
                </wp:positionH>
                <wp:positionV relativeFrom="paragraph">
                  <wp:posOffset>79375</wp:posOffset>
                </wp:positionV>
                <wp:extent cx="1913890" cy="844550"/>
                <wp:effectExtent l="4445" t="5080" r="12065" b="13970"/>
                <wp:wrapNone/>
                <wp:docPr id="739657703" name="Caixa de texto 739657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844550"/>
                        </a:xfrm>
                        <a:prstGeom prst="rect">
                          <a:avLst/>
                        </a:prstGeom>
                        <a:solidFill>
                          <a:srgbClr val="0070C0"/>
                        </a:solidFill>
                        <a:ln w="9525">
                          <a:solidFill>
                            <a:srgbClr val="0070C0"/>
                          </a:solidFill>
                          <a:miter lim="800000"/>
                        </a:ln>
                      </wps:spPr>
                      <wps:txbx>
                        <w:txbxContent>
                          <w:p w14:paraId="4F6154A8"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Óleo de semente de abóbora 3 g</w:t>
                            </w:r>
                          </w:p>
                          <w:p w14:paraId="63F99AFA"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79BB62E0"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739657703" o:spid="_x0000_s1126" type="#_x0000_t202" style="position:absolute;left:0;text-align:left;margin-left:0;margin-top:6.25pt;width:150.7pt;height:66.5pt;z-index:251810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" fillcolor="#0070c0" strokecolor="#0070c0">
                <v:textbox>
                  <w:txbxContent>
                    <w:p w14:paraId="4F6154A8"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Óleo de semente de abóbora 3 g</w:t>
                      </w:r>
                    </w:p>
                    <w:p w14:paraId="63F99AFA"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79BB62E0"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p>
    <w:p w14:paraId="24CD2775" w14:textId="77777777" w:rsidR="00CD65C2" w:rsidRDefault="00CD65C2">
      <w:pPr>
        <w:pStyle w:val="Corpo"/>
        <w:rPr>
          <w:rFonts w:hint="eastAsia"/>
          <w:color w:val="404040" w:themeColor="text1" w:themeTint="BF"/>
        </w:rPr>
      </w:pPr>
    </w:p>
    <w:p w14:paraId="6D6F858C" w14:textId="77777777" w:rsidR="00CD65C2" w:rsidRDefault="00CD65C2">
      <w:pPr>
        <w:pStyle w:val="Corpo"/>
        <w:rPr>
          <w:rFonts w:hint="eastAsia"/>
          <w:color w:val="404040" w:themeColor="text1" w:themeTint="BF"/>
        </w:rPr>
      </w:pPr>
    </w:p>
    <w:p w14:paraId="6A634817" w14:textId="77777777" w:rsidR="00CD65C2" w:rsidRDefault="00CD65C2">
      <w:pPr>
        <w:pStyle w:val="Corpo"/>
        <w:rPr>
          <w:rFonts w:hint="eastAsia"/>
          <w:color w:val="404040" w:themeColor="text1" w:themeTint="BF"/>
        </w:rPr>
      </w:pPr>
    </w:p>
    <w:p w14:paraId="7DD17A7C" w14:textId="77777777" w:rsidR="00CD65C2" w:rsidRDefault="00CD65C2">
      <w:pPr>
        <w:pStyle w:val="Corpo"/>
        <w:spacing w:before="120"/>
        <w:rPr>
          <w:rFonts w:hint="eastAsia"/>
          <w:color w:val="404040" w:themeColor="text1" w:themeTint="BF"/>
          <w:sz w:val="20"/>
        </w:rPr>
      </w:pPr>
    </w:p>
    <w:p w14:paraId="6854E8F8" w14:textId="77777777" w:rsidR="00CD65C2" w:rsidRDefault="00CD65C2">
      <w:pPr>
        <w:pStyle w:val="Corpo"/>
        <w:rPr>
          <w:rFonts w:hint="eastAsia"/>
          <w:b/>
          <w:color w:val="339966"/>
          <w:sz w:val="25"/>
          <w:szCs w:val="25"/>
          <w14:textFill>
            <w14:solidFill>
              <w14:srgbClr w14:val="339966">
                <w14:lumMod w14:val="75000"/>
                <w14:lumOff w14:val="25000"/>
              </w14:srgbClr>
            </w14:solidFill>
          </w14:textFill>
        </w:rPr>
      </w:pPr>
    </w:p>
    <w:p w14:paraId="1C7A711A"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2051A15A" w14:textId="77777777" w:rsidR="00CD65C2" w:rsidRDefault="00CD65C2">
      <w:pPr>
        <w:pStyle w:val="Corpo"/>
        <w:rPr>
          <w:rFonts w:hint="eastAsia"/>
          <w:color w:val="404040" w:themeColor="text1" w:themeTint="BF"/>
          <w:sz w:val="16"/>
          <w:szCs w:val="16"/>
        </w:rPr>
      </w:pPr>
    </w:p>
    <w:p w14:paraId="76A7C84B" w14:textId="482DE0FA" w:rsidR="00CD65C2" w:rsidRDefault="00FA41FC">
      <w:pPr>
        <w:pStyle w:val="Corpo"/>
        <w:numPr>
          <w:ilvl w:val="0"/>
          <w:numId w:val="33"/>
        </w:numPr>
        <w:rPr>
          <w:rFonts w:hint="eastAsia"/>
          <w:color w:val="404040" w:themeColor="text1" w:themeTint="BF"/>
          <w:sz w:val="24"/>
        </w:rPr>
      </w:pPr>
      <w:r>
        <w:rPr>
          <w:color w:val="404040" w:themeColor="text1" w:themeTint="BF"/>
          <w:sz w:val="24"/>
        </w:rPr>
        <w:t>Após o período de tratamento, houve uma significativa diminuição (p &lt; 0,05) na pressão arterial sistólica central e braquial no grupo 1 em comparação com o grupo 2;</w:t>
      </w:r>
    </w:p>
    <w:p w14:paraId="1DBBD3D8" w14:textId="231CC292" w:rsidR="00CD65C2" w:rsidRDefault="00FA41FC">
      <w:pPr>
        <w:pStyle w:val="Corpo"/>
        <w:numPr>
          <w:ilvl w:val="0"/>
          <w:numId w:val="33"/>
        </w:numPr>
        <w:rPr>
          <w:rFonts w:hint="eastAsia"/>
          <w:color w:val="404040" w:themeColor="text1" w:themeTint="BF"/>
          <w:sz w:val="24"/>
        </w:rPr>
      </w:pPr>
      <w:r>
        <w:rPr>
          <w:color w:val="404040" w:themeColor="text1" w:themeTint="BF"/>
          <w:sz w:val="24"/>
        </w:rPr>
        <w:t>Houve também melhora nas medidas reflexão de onda (índice de aumentação, Alx) no grupo 1 em comparação com o grupo 2. O índice de aumentação (AIx) mede em percentual o aumento de pressão que é devido ao retorno precoce da onda refletida. Quanto maiores as reflexões das ondas de pulso, como nos casos de elevado tônus arteriolares ou de obstruções arteriais, maior o Aix;</w:t>
      </w:r>
    </w:p>
    <w:p w14:paraId="49BABCD7" w14:textId="77777777" w:rsidR="00CD65C2" w:rsidRDefault="00FA41FC">
      <w:pPr>
        <w:pStyle w:val="Corpo"/>
        <w:numPr>
          <w:ilvl w:val="0"/>
          <w:numId w:val="33"/>
        </w:numPr>
        <w:rPr>
          <w:rFonts w:hint="eastAsia"/>
          <w:color w:val="404040" w:themeColor="text1" w:themeTint="BF"/>
          <w:sz w:val="24"/>
        </w:rPr>
      </w:pPr>
      <w:r>
        <w:rPr>
          <w:color w:val="auto"/>
          <w14:textFill>
            <w14:solidFill>
              <w14:srgbClr w14:val="000000">
                <w14:lumMod w14:val="75000"/>
                <w14:lumOff w14:val="25000"/>
              </w14:srgbClr>
            </w14:solidFill>
          </w14:textFill>
        </w:rPr>
        <w:t>Não foram observadas diferenças nos demais parâmetros avaliados após seis semanas.</w:t>
      </w:r>
    </w:p>
    <w:p w14:paraId="1BEB66DD" w14:textId="77777777" w:rsidR="00CD65C2" w:rsidRDefault="00CD65C2">
      <w:pPr>
        <w:pStyle w:val="Corpo"/>
        <w:spacing w:after="120"/>
        <w:ind w:left="786"/>
        <w:rPr>
          <w:rFonts w:hint="eastAsia"/>
          <w:color w:val="404040" w:themeColor="text1" w:themeTint="BF"/>
          <w:sz w:val="24"/>
        </w:rPr>
      </w:pPr>
    </w:p>
    <w:p w14:paraId="30D5EF33"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1A4632E0" w14:textId="77777777" w:rsidR="00CD65C2" w:rsidRDefault="00CD65C2">
      <w:pPr>
        <w:pStyle w:val="Corpo"/>
        <w:rPr>
          <w:rFonts w:hint="eastAsia"/>
          <w:b/>
          <w:color w:val="339966"/>
          <w:sz w:val="16"/>
          <w:szCs w:val="16"/>
          <w14:textFill>
            <w14:solidFill>
              <w14:srgbClr w14:val="339966">
                <w14:lumMod w14:val="75000"/>
                <w14:lumOff w14:val="25000"/>
              </w14:srgbClr>
            </w14:solidFill>
          </w14:textFill>
        </w:rPr>
      </w:pPr>
    </w:p>
    <w:p w14:paraId="121A6976" w14:textId="77777777" w:rsidR="00CD65C2" w:rsidRDefault="00FA41FC">
      <w:pPr>
        <w:pStyle w:val="Corpo"/>
        <w:jc w:val="center"/>
        <w:rPr>
          <w:rFonts w:hint="eastAsia"/>
          <w:b/>
          <w:bCs/>
          <w:i/>
          <w:color w:val="404040" w:themeColor="text1" w:themeTint="BF"/>
        </w:rPr>
      </w:pPr>
      <w:r>
        <w:rPr>
          <w:b/>
          <w:i/>
          <w:color w:val="404040" w:themeColor="text1" w:themeTint="BF"/>
          <w:sz w:val="24"/>
        </w:rPr>
        <w:t>O óleo de semente de abóbora melhorou os parâmetros hemodinâmicos em mulheres na pós-menopausa e foi efetivo na prevenção e tratamento da hipertensão nesse grupo de indivíduos.</w:t>
      </w:r>
    </w:p>
    <w:p w14:paraId="1A4C7C2E" w14:textId="77777777" w:rsidR="00CD65C2" w:rsidRDefault="00FA41FC">
      <w:pPr>
        <w:pStyle w:val="Ttulo1"/>
        <w:jc w:val="center"/>
        <w:rPr>
          <w:rFonts w:hint="eastAsia"/>
        </w:rPr>
      </w:pPr>
      <w:bookmarkStart w:id="79" w:name="_Toc165537229"/>
      <w:r>
        <w:t>Formulário</w:t>
      </w:r>
      <w:bookmarkEnd w:id="79"/>
    </w:p>
    <w:p w14:paraId="0344BFEA" w14:textId="77777777" w:rsidR="00CD65C2" w:rsidRDefault="00CD65C2">
      <w:pPr>
        <w:pStyle w:val="Corpo"/>
        <w:rPr>
          <w:rFonts w:hint="eastAsia"/>
          <w:b/>
          <w:i/>
          <w:color w:val="404040" w:themeColor="text1" w:themeTint="BF"/>
        </w:rPr>
      </w:pPr>
    </w:p>
    <w:p w14:paraId="7F832741" w14:textId="77777777" w:rsidR="00CD65C2" w:rsidRDefault="00CD65C2">
      <w:pPr>
        <w:pStyle w:val="Corpo"/>
        <w:rPr>
          <w:rFonts w:hint="eastAsia"/>
          <w:b/>
          <w:i/>
          <w:color w:val="404040" w:themeColor="text1" w:themeTint="BF"/>
        </w:rPr>
      </w:pPr>
    </w:p>
    <w:p w14:paraId="6585F21B" w14:textId="77777777" w:rsidR="00CD65C2" w:rsidRDefault="00FA41FC">
      <w:pPr>
        <w:pStyle w:val="Corpo"/>
        <w:rPr>
          <w:rFonts w:hint="eastAsia"/>
          <w:b/>
          <w:i/>
          <w:color w:val="404040" w:themeColor="text1" w:themeTint="BF"/>
          <w:sz w:val="24"/>
        </w:rPr>
      </w:pPr>
      <w:r>
        <w:rPr>
          <w:b/>
          <w:i/>
          <w:color w:val="404040" w:themeColor="text1" w:themeTint="BF"/>
          <w:sz w:val="24"/>
        </w:rPr>
        <w:t>Óleo de Semente de Abóbora Melhora os Valores Relacionados a Pressão Arterial em Mulheres na Pós-Menopausa</w:t>
      </w:r>
    </w:p>
    <w:p w14:paraId="5EA5F290" w14:textId="77777777" w:rsidR="00CD65C2" w:rsidRDefault="00CD65C2">
      <w:pPr>
        <w:pStyle w:val="Corpo"/>
        <w:rPr>
          <w:rFonts w:hint="eastAsia"/>
          <w:color w:val="404040" w:themeColor="text1" w:themeTint="BF"/>
        </w:rPr>
      </w:pPr>
    </w:p>
    <w:tbl>
      <w:tblPr>
        <w:tblStyle w:val="Tabelacomgrade"/>
        <w:tblW w:w="442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2"/>
      </w:tblGrid>
      <w:tr w:rsidR="00CD65C2" w14:paraId="7758E541" w14:textId="77777777">
        <w:trPr>
          <w:trHeight w:val="532"/>
        </w:trPr>
        <w:tc>
          <w:tcPr>
            <w:tcW w:w="4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1F5768B7" w14:textId="77777777" w:rsidR="00CD65C2" w:rsidRDefault="00FA41FC">
            <w:pPr>
              <w:pStyle w:val="Corpo"/>
              <w:jc w:val="center"/>
              <w:rPr>
                <w:rFonts w:hint="eastAsia"/>
                <w:b/>
                <w:color w:val="FFFFFF" w:themeColor="background1"/>
              </w:rPr>
            </w:pPr>
            <w:r>
              <w:rPr>
                <w:b/>
                <w:color w:val="FFFFFF" w:themeColor="background1"/>
                <w:sz w:val="22"/>
              </w:rPr>
              <w:t>Óleo de Semente de Abóbora</w:t>
            </w:r>
          </w:p>
        </w:tc>
      </w:tr>
      <w:tr w:rsidR="00CD65C2" w14:paraId="04C6A954" w14:textId="77777777">
        <w:trPr>
          <w:trHeight w:val="532"/>
        </w:trPr>
        <w:tc>
          <w:tcPr>
            <w:tcW w:w="4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85FF855" w14:textId="77777777" w:rsidR="00CD65C2" w:rsidRDefault="00FA41FC">
            <w:pPr>
              <w:pStyle w:val="Corpo"/>
              <w:rPr>
                <w:rFonts w:hint="eastAsia"/>
                <w:color w:val="404040" w:themeColor="text1" w:themeTint="BF"/>
              </w:rPr>
            </w:pPr>
            <w:r>
              <w:rPr>
                <w:color w:val="404040" w:themeColor="text1" w:themeTint="BF"/>
              </w:rPr>
              <w:t>Óleo de Semente de Abóbora.................3 g</w:t>
            </w:r>
          </w:p>
        </w:tc>
      </w:tr>
      <w:tr w:rsidR="00CD65C2" w14:paraId="344BCB37" w14:textId="77777777">
        <w:trPr>
          <w:trHeight w:val="606"/>
        </w:trPr>
        <w:tc>
          <w:tcPr>
            <w:tcW w:w="4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45AA3D3" w14:textId="21611629" w:rsidR="00CD65C2" w:rsidRDefault="00FA41FC">
            <w:pPr>
              <w:pStyle w:val="Corpo"/>
              <w:rPr>
                <w:rFonts w:hint="eastAsia"/>
                <w:color w:val="404040" w:themeColor="text1" w:themeTint="BF"/>
              </w:rPr>
            </w:pPr>
            <w:r>
              <w:rPr>
                <w:color w:val="404040" w:themeColor="text1" w:themeTint="BF"/>
              </w:rPr>
              <w:t>Excipiente q.s.p. ..........................1 Cápsula</w:t>
            </w:r>
          </w:p>
        </w:tc>
      </w:tr>
    </w:tbl>
    <w:p w14:paraId="5ABFD698" w14:textId="77777777" w:rsidR="00CD65C2" w:rsidRDefault="00FA41FC">
      <w:pPr>
        <w:pStyle w:val="Corpo"/>
        <w:ind w:right="4818"/>
        <w:jc w:val="center"/>
        <w:rPr>
          <w:rFonts w:hint="eastAsia"/>
          <w:color w:val="404040" w:themeColor="text1" w:themeTint="BF"/>
          <w:sz w:val="22"/>
          <w:szCs w:val="22"/>
        </w:rPr>
      </w:pPr>
      <w:r>
        <w:rPr>
          <w:color w:val="404040" w:themeColor="text1" w:themeTint="BF"/>
          <w:sz w:val="22"/>
          <w:szCs w:val="22"/>
        </w:rPr>
        <w:t>Administrar 1 cápsula ao dia ou conforme orientação médica.</w:t>
      </w:r>
    </w:p>
    <w:p w14:paraId="0C98685A" w14:textId="77777777" w:rsidR="00CD65C2" w:rsidRDefault="00CD65C2">
      <w:pPr>
        <w:pStyle w:val="SemEspaamento"/>
      </w:pPr>
    </w:p>
    <w:p w14:paraId="4DE80416" w14:textId="77777777" w:rsidR="00CD65C2" w:rsidRDefault="00CD65C2">
      <w:pPr>
        <w:pStyle w:val="SemEspaamento"/>
      </w:pPr>
    </w:p>
    <w:p w14:paraId="58F18D18" w14:textId="77777777" w:rsidR="00CD65C2" w:rsidRDefault="00CD65C2">
      <w:pPr>
        <w:pStyle w:val="SemEspaamento"/>
      </w:pPr>
    </w:p>
    <w:p w14:paraId="45BEA809" w14:textId="77777777" w:rsidR="00CD65C2" w:rsidRDefault="00CD65C2">
      <w:pPr>
        <w:pStyle w:val="SemEspaamento"/>
      </w:pPr>
    </w:p>
    <w:p w14:paraId="3E4144B3" w14:textId="77777777" w:rsidR="00CD65C2" w:rsidRDefault="00CD65C2">
      <w:pPr>
        <w:pStyle w:val="SemEspaamento"/>
      </w:pPr>
    </w:p>
    <w:p w14:paraId="68F5624A" w14:textId="77777777" w:rsidR="00CD65C2" w:rsidRDefault="00CD65C2">
      <w:pPr>
        <w:pStyle w:val="SemEspaamento"/>
      </w:pPr>
    </w:p>
    <w:p w14:paraId="28C893DD" w14:textId="77777777" w:rsidR="00CD65C2" w:rsidRDefault="00CD65C2">
      <w:pPr>
        <w:pStyle w:val="SemEspaamento"/>
      </w:pPr>
    </w:p>
    <w:p w14:paraId="31DD5D1A" w14:textId="77777777" w:rsidR="00CD65C2" w:rsidRDefault="00CD65C2">
      <w:pPr>
        <w:pStyle w:val="SemEspaamento"/>
      </w:pPr>
    </w:p>
    <w:p w14:paraId="144983CB" w14:textId="77777777" w:rsidR="00CD65C2" w:rsidRDefault="00CD65C2">
      <w:pPr>
        <w:pStyle w:val="SemEspaamento"/>
      </w:pPr>
    </w:p>
    <w:p w14:paraId="6351B1F3" w14:textId="77777777" w:rsidR="00CD65C2" w:rsidRDefault="00CD65C2">
      <w:pPr>
        <w:pStyle w:val="SemEspaamento"/>
      </w:pPr>
    </w:p>
    <w:p w14:paraId="5024A1C0" w14:textId="77777777" w:rsidR="00CD65C2" w:rsidRDefault="00CD65C2">
      <w:pPr>
        <w:pStyle w:val="SemEspaamento"/>
      </w:pPr>
    </w:p>
    <w:p w14:paraId="285E20DD" w14:textId="77777777" w:rsidR="00CD65C2" w:rsidRDefault="00CD65C2">
      <w:pPr>
        <w:pStyle w:val="SemEspaamento"/>
      </w:pPr>
    </w:p>
    <w:p w14:paraId="3E1F7728" w14:textId="77777777" w:rsidR="00CD65C2" w:rsidRDefault="00CD65C2">
      <w:pPr>
        <w:pStyle w:val="SemEspaamento"/>
      </w:pPr>
    </w:p>
    <w:p w14:paraId="582B0E33" w14:textId="77777777" w:rsidR="00CD65C2" w:rsidRDefault="00CD65C2">
      <w:pPr>
        <w:pStyle w:val="SemEspaamento"/>
      </w:pPr>
    </w:p>
    <w:p w14:paraId="06CC9E1C" w14:textId="77777777" w:rsidR="00CD65C2" w:rsidRDefault="00CD65C2">
      <w:pPr>
        <w:pStyle w:val="SemEspaamento"/>
      </w:pPr>
    </w:p>
    <w:p w14:paraId="72DA5B01" w14:textId="77777777" w:rsidR="00CD65C2" w:rsidRDefault="00CD65C2">
      <w:pPr>
        <w:pStyle w:val="SemEspaamento"/>
      </w:pPr>
    </w:p>
    <w:p w14:paraId="3DE23677" w14:textId="77777777" w:rsidR="00CD65C2" w:rsidRDefault="00CD65C2">
      <w:pPr>
        <w:pStyle w:val="SemEspaamento"/>
      </w:pPr>
    </w:p>
    <w:p w14:paraId="2A504BDF" w14:textId="77777777" w:rsidR="00CD65C2" w:rsidRDefault="00CD65C2">
      <w:pPr>
        <w:pStyle w:val="SemEspaamento"/>
      </w:pPr>
    </w:p>
    <w:p w14:paraId="657B7F47" w14:textId="77777777" w:rsidR="00CD65C2" w:rsidRDefault="00CD65C2">
      <w:pPr>
        <w:pStyle w:val="SemEspaamento"/>
      </w:pPr>
    </w:p>
    <w:p w14:paraId="4DCEBBC1" w14:textId="77777777" w:rsidR="00CD65C2" w:rsidRDefault="00CD65C2">
      <w:pPr>
        <w:pStyle w:val="SemEspaamento"/>
      </w:pPr>
    </w:p>
    <w:p w14:paraId="0F05C9B6" w14:textId="77777777" w:rsidR="00CD65C2" w:rsidRDefault="00CD65C2">
      <w:pPr>
        <w:pStyle w:val="SemEspaamento"/>
      </w:pPr>
    </w:p>
    <w:p w14:paraId="6C18027D" w14:textId="77777777" w:rsidR="00CD65C2" w:rsidRDefault="00CD65C2">
      <w:pPr>
        <w:pStyle w:val="SemEspaamento"/>
      </w:pPr>
    </w:p>
    <w:p w14:paraId="7024582A" w14:textId="77777777" w:rsidR="00CD65C2" w:rsidRDefault="00CD65C2">
      <w:pPr>
        <w:pStyle w:val="SemEspaamento"/>
      </w:pPr>
    </w:p>
    <w:p w14:paraId="3D572CAF" w14:textId="77777777" w:rsidR="00CD65C2" w:rsidRDefault="00CD65C2">
      <w:pPr>
        <w:pStyle w:val="SemEspaamento"/>
      </w:pPr>
    </w:p>
    <w:p w14:paraId="5459FEEE" w14:textId="77777777" w:rsidR="00CD65C2" w:rsidRDefault="00CD65C2">
      <w:pPr>
        <w:pStyle w:val="SemEspaamento"/>
      </w:pPr>
    </w:p>
    <w:p w14:paraId="1B95C3A2" w14:textId="77777777" w:rsidR="00CD65C2" w:rsidRDefault="00CD65C2">
      <w:pPr>
        <w:pStyle w:val="SemEspaamento"/>
      </w:pPr>
    </w:p>
    <w:p w14:paraId="5B7EE927" w14:textId="77777777" w:rsidR="00CD65C2" w:rsidRDefault="00CD65C2">
      <w:pPr>
        <w:pStyle w:val="SemEspaamento"/>
      </w:pPr>
    </w:p>
    <w:p w14:paraId="2EC36C10" w14:textId="77777777" w:rsidR="00CD65C2" w:rsidRDefault="00CD65C2">
      <w:pPr>
        <w:pStyle w:val="SemEspaamento"/>
      </w:pPr>
    </w:p>
    <w:p w14:paraId="1A15750F" w14:textId="77777777" w:rsidR="00CD65C2" w:rsidRDefault="00CD65C2">
      <w:pPr>
        <w:pStyle w:val="SemEspaamento"/>
      </w:pPr>
    </w:p>
    <w:p w14:paraId="443892B8" w14:textId="77777777" w:rsidR="00CD65C2" w:rsidRDefault="00CD65C2">
      <w:pPr>
        <w:pStyle w:val="SemEspaamento"/>
      </w:pPr>
    </w:p>
    <w:p w14:paraId="4961879E" w14:textId="77777777" w:rsidR="00CD65C2" w:rsidRDefault="00FA41FC">
      <w:pPr>
        <w:pStyle w:val="Ttulo1"/>
        <w:jc w:val="center"/>
        <w:rPr>
          <w:rFonts w:hint="eastAsia"/>
        </w:rPr>
      </w:pPr>
      <w:bookmarkStart w:id="80" w:name="_Toc165537230"/>
      <w:r>
        <w:rPr>
          <w:i/>
          <w:iCs/>
        </w:rPr>
        <w:t>Cimicifuga racemosa</w:t>
      </w:r>
      <w:bookmarkEnd w:id="80"/>
    </w:p>
    <w:p w14:paraId="3D9C8C05" w14:textId="77777777" w:rsidR="00CD65C2" w:rsidRDefault="00FA41FC">
      <w:pPr>
        <w:pStyle w:val="Subtitulocorpo"/>
        <w:rPr>
          <w:rFonts w:hint="eastAsia"/>
          <w:iCs/>
        </w:rPr>
      </w:pPr>
      <w:r>
        <w:rPr>
          <w:iCs/>
        </w:rPr>
        <w:t xml:space="preserve">Aumenta a Dilatação Fluxo-Mediada da Artéria Braquial </w:t>
      </w:r>
    </w:p>
    <w:p w14:paraId="39B46A91" w14:textId="77777777" w:rsidR="00CD65C2" w:rsidRDefault="00CD65C2">
      <w:pPr>
        <w:pStyle w:val="Corpo"/>
        <w:rPr>
          <w:rFonts w:hint="eastAsia"/>
          <w:color w:val="404040" w:themeColor="text1" w:themeTint="BF"/>
          <w:sz w:val="24"/>
        </w:rPr>
      </w:pPr>
    </w:p>
    <w:p w14:paraId="596912D8" w14:textId="77777777" w:rsidR="00CD65C2" w:rsidRDefault="00CD65C2">
      <w:pPr>
        <w:pStyle w:val="Corpo"/>
        <w:rPr>
          <w:rFonts w:hint="eastAsia"/>
          <w:color w:val="404040" w:themeColor="text1" w:themeTint="BF"/>
          <w:sz w:val="24"/>
        </w:rPr>
      </w:pPr>
    </w:p>
    <w:p w14:paraId="2F04BDF7" w14:textId="249BE270" w:rsidR="00CD65C2" w:rsidRDefault="00FA41FC">
      <w:pPr>
        <w:pStyle w:val="Corpo"/>
        <w:rPr>
          <w:rFonts w:hint="eastAsia"/>
          <w:color w:val="404040" w:themeColor="text1" w:themeTint="BF"/>
          <w:sz w:val="24"/>
        </w:rPr>
      </w:pPr>
      <w:r>
        <w:rPr>
          <w:color w:val="404040" w:themeColor="text1" w:themeTint="BF"/>
          <w:sz w:val="24"/>
        </w:rPr>
        <w:t xml:space="preserve">O objetivo deste estudo duplo-cego, randomizado e placebo-controlado foi avaliar os efeitos da suplementação diária de </w:t>
      </w:r>
      <w:r>
        <w:rPr>
          <w:i/>
          <w:iCs/>
          <w:color w:val="404040" w:themeColor="text1" w:themeTint="BF"/>
          <w:sz w:val="24"/>
        </w:rPr>
        <w:t>Cimicifuga racemosa</w:t>
      </w:r>
      <w:r>
        <w:rPr>
          <w:color w:val="404040" w:themeColor="text1" w:themeTint="BF"/>
          <w:sz w:val="24"/>
        </w:rPr>
        <w:t xml:space="preserve"> na função endotelial através da dilatação fluxo-mediada da artéria braquial em mulheres saudáveis na pós-menopausa </w:t>
      </w:r>
      <w:r>
        <w:rPr>
          <w:color w:val="404040" w:themeColor="text1" w:themeTint="BF"/>
          <w:sz w:val="24"/>
        </w:rPr>
        <w:fldChar w:fldCharType="begin"/>
      </w:r>
      <w:r>
        <w:rPr>
          <w:color w:val="404040" w:themeColor="text1" w:themeTint="BF"/>
          <w:sz w:val="24"/>
        </w:rPr>
        <w:instrText xml:space="preserve"> ADDIN EN.CITE &lt;EndNote&gt;&lt;Cite&gt;&lt;Author&gt;Fernandes&lt;/Author&gt;&lt;Year&gt;2020&lt;/Year&gt;&lt;IDText&gt;Effectiveness of the short-term use of Cimicifuga racemosa in the endothelial function of postmenopausal women: a double-blind, randomized, controlled trial&lt;/IDText&gt;&lt;DisplayText&gt;(FERNANDES; CELANI; FISTAROL; GEBER, 2020)&lt;/DisplayText&gt;&lt;record&gt;&lt;dates&gt;&lt;pub-dates&gt;&lt;date&gt;Jun&lt;/date&gt;&lt;/pub-dates&gt;&lt;year&gt;2020&lt;/year&gt;&lt;/dates&gt;&lt;keywords&gt;&lt;keyword&gt;Cimicifuga racemosa&lt;/keyword&gt;&lt;keyword&gt;black cohosh&lt;/keyword&gt;&lt;keyword&gt;brachial artery&lt;/keyword&gt;&lt;keyword&gt;endothelial function&lt;/keyword&gt;&lt;keyword&gt;flow-mediated dilation&lt;/keyword&gt;&lt;keyword&gt;postmenopausal&lt;/keyword&gt;&lt;/keywords&gt;&lt;isbn&gt;1369-7137&lt;/isbn&gt;&lt;titles&gt;&lt;title&gt;Effectiveness of the short-term use of Cimicifuga racemosa in the endothelial function of postmenopausal women: a double-blind, randomized, controlled trial&lt;/title&gt;&lt;secondary-title&gt;Climacteric&lt;/secondary-title&gt;&lt;/titles&gt;&lt;pages&gt;245-251&lt;/pages&gt;&lt;number&gt;3&lt;/number&gt;&lt;contributors&gt;&lt;authors&gt;&lt;author&gt;Fernandes, E. S.&lt;/author&gt;&lt;author&gt;Celani, M. F. S.&lt;/author&gt;&lt;author&gt;Fistarol, M.&lt;/author&gt;&lt;author&gt;Geber, S.&lt;/author&gt;&lt;/authors&gt;&lt;/contributors&gt;&lt;edition&gt;2019/11/07&lt;/edition&gt;&lt;language&gt;eng&lt;/language&gt;&lt;added-date format="utc"&gt;1593627853&lt;/added-date&gt;&lt;ref-type name="Journal Article"&gt;17&lt;/ref-type&gt;&lt;auth-address&gt;Department of Obstetrics and Gynecology, Universidade Federal de Minas Gerais, Belo Horizonte, Brazil.&lt;/auth-address&gt;&lt;remote-database-provider&gt;NLM&lt;/remote-database-provider&gt;&lt;rec-number&gt;1430&lt;/rec-number&gt;&lt;last-updated-date format="utc"&gt;1593627853&lt;/last-updated-date&gt;&lt;accession-num&gt;31691621&lt;/accession-num&gt;&lt;electronic-resource-num&gt;10.1080/13697137.2019.1682542&lt;/electronic-resource-num&gt;&lt;volume&gt;23&lt;/volume&gt;&lt;/record&gt;&lt;/Cite&gt;&lt;/EndNote&gt;</w:instrText>
      </w:r>
      <w:r>
        <w:rPr>
          <w:color w:val="404040" w:themeColor="text1" w:themeTint="BF"/>
          <w:sz w:val="24"/>
        </w:rPr>
        <w:fldChar w:fldCharType="separate"/>
      </w:r>
      <w:r>
        <w:rPr>
          <w:color w:val="404040" w:themeColor="text1" w:themeTint="BF"/>
          <w:sz w:val="24"/>
        </w:rPr>
        <w:t>(FERNANDES; CELANI; FISTAROL; GEBER, 2020)</w:t>
      </w:r>
      <w:r>
        <w:rPr>
          <w:color w:val="404040" w:themeColor="text1" w:themeTint="BF"/>
          <w:sz w:val="24"/>
        </w:rPr>
        <w:fldChar w:fldCharType="end"/>
      </w:r>
      <w:r>
        <w:rPr>
          <w:color w:val="404040" w:themeColor="text1" w:themeTint="BF"/>
          <w:sz w:val="24"/>
        </w:rPr>
        <w:t>.</w:t>
      </w:r>
    </w:p>
    <w:p w14:paraId="63F869DF"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20032" behindDoc="0" locked="0" layoutInCell="1" allowOverlap="1">
                <wp:simplePos x="0" y="0"/>
                <wp:positionH relativeFrom="margin">
                  <wp:posOffset>5715</wp:posOffset>
                </wp:positionH>
                <wp:positionV relativeFrom="paragraph">
                  <wp:posOffset>97155</wp:posOffset>
                </wp:positionV>
                <wp:extent cx="5724525" cy="657860"/>
                <wp:effectExtent l="4445" t="4445" r="11430" b="10795"/>
                <wp:wrapNone/>
                <wp:docPr id="739657709" name="Caixa de texto 7396577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657860"/>
                        </a:xfrm>
                        <a:prstGeom prst="rect">
                          <a:avLst/>
                        </a:prstGeom>
                        <a:solidFill>
                          <a:schemeClr val="bg1">
                            <a:lumMod val="100000"/>
                            <a:lumOff val="0"/>
                          </a:schemeClr>
                        </a:solidFill>
                        <a:ln w="9525">
                          <a:solidFill>
                            <a:srgbClr val="0070C0"/>
                          </a:solidFill>
                          <a:miter lim="800000"/>
                        </a:ln>
                      </wps:spPr>
                      <wps:txbx>
                        <w:txbxContent>
                          <w:p w14:paraId="4653EECB" w14:textId="77777777" w:rsidR="00FA41FC" w:rsidRDefault="00FA41FC">
                            <w:pPr>
                              <w:jc w:val="center"/>
                              <w:rPr>
                                <w:rFonts w:ascii="Swis721 Th BT" w:hAnsi="Swis721 Th BT"/>
                                <w:sz w:val="23"/>
                                <w:szCs w:val="23"/>
                              </w:rPr>
                            </w:pPr>
                            <w:r>
                              <w:rPr>
                                <w:rFonts w:ascii="Swis721 Th BT" w:hAnsi="Swis721 Th BT"/>
                                <w:sz w:val="23"/>
                                <w:szCs w:val="23"/>
                              </w:rPr>
                              <w:t>Assim, 62 mulheres que estavam na pós-menopausa e apresentavam sintomas climatéricos, mas não tinham usado hormônios ou qualquer medicamento com potencial efeito vascular nos últimos 12 meses, foram submetidas a um período de 28 dias de tratamento com a seguinte posologia:</w:t>
                            </w:r>
                          </w:p>
                          <w:p w14:paraId="1CFCB392" w14:textId="77777777" w:rsidR="00FA41FC" w:rsidRDefault="00FA41FC">
                            <w:pPr>
                              <w:jc w:val="center"/>
                              <w:rPr>
                                <w:rFonts w:ascii="Swis721 Th BT" w:hAnsi="Swis721 Th BT"/>
                                <w:sz w:val="23"/>
                                <w:szCs w:val="23"/>
                              </w:rPr>
                            </w:pPr>
                            <w:r>
                              <w:rPr>
                                <w:rFonts w:ascii="Swis721 Th BT" w:hAnsi="Swis721 Th BT"/>
                                <w:sz w:val="23"/>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739657709" o:spid="_x0000_s1127" type="#_x0000_t202" style="position:absolute;left:0;text-align:left;margin-left:.45pt;margin-top:7.65pt;width:450.75pt;height:51.8pt;z-index:2518200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" fillcolor="white [3212]" strokecolor="#0070c0">
                <v:textbox>
                  <w:txbxContent>
                    <w:p w14:paraId="4653EECB" w14:textId="77777777" w:rsidR="00FA41FC" w:rsidRDefault="00FA41FC">
                      <w:pPr>
                        <w:jc w:val="center"/>
                        <w:rPr>
                          <w:rFonts w:ascii="Swis721 Th BT" w:hAnsi="Swis721 Th BT"/>
                          <w:sz w:val="23"/>
                          <w:szCs w:val="23"/>
                        </w:rPr>
                      </w:pPr>
                      <w:r>
                        <w:rPr>
                          <w:rFonts w:ascii="Swis721 Th BT" w:hAnsi="Swis721 Th BT"/>
                          <w:sz w:val="23"/>
                          <w:szCs w:val="23"/>
                        </w:rPr>
                        <w:t>Assim, 62 mulheres que estavam na pós-menopausa e apresentavam sintomas climatéricos, mas não tinham usado hormônios ou qualquer medicamento com potencial efeito vascular nos últimos 12 meses, foram submetidas a um período de 28 dias de tratamento com a seguinte posologia:</w:t>
                      </w:r>
                    </w:p>
                    <w:p w14:paraId="1CFCB392" w14:textId="77777777" w:rsidR="00FA41FC" w:rsidRDefault="00FA41FC">
                      <w:pPr>
                        <w:jc w:val="center"/>
                        <w:rPr>
                          <w:rFonts w:ascii="Swis721 Th BT" w:hAnsi="Swis721 Th BT"/>
                          <w:sz w:val="23"/>
                          <w:szCs w:val="23"/>
                        </w:rPr>
                      </w:pPr>
                      <w:r>
                        <w:rPr>
                          <w:rFonts w:ascii="Swis721 Th BT" w:hAnsi="Swis721 Th BT"/>
                          <w:sz w:val="23"/>
                          <w:szCs w:val="23"/>
                        </w:rPr>
                        <w:t xml:space="preserve">: </w:t>
                      </w:r>
                    </w:p>
                  </w:txbxContent>
                </v:textbox>
                <w10:wrap anchorx="margin"/>
              </v:shape>
            </w:pict>
          </mc:Fallback>
        </mc:AlternateContent>
      </w:r>
      <w:r>
        <w:rPr>
          <w:color w:val="404040" w:themeColor="text1" w:themeTint="BF"/>
          <w:sz w:val="24"/>
        </w:rPr>
        <w:br/>
      </w:r>
    </w:p>
    <w:p w14:paraId="2581A901" w14:textId="77777777" w:rsidR="00CD65C2" w:rsidRDefault="00CD65C2">
      <w:pPr>
        <w:pStyle w:val="Corpo"/>
        <w:rPr>
          <w:rFonts w:hint="eastAsia"/>
          <w:color w:val="404040" w:themeColor="text1" w:themeTint="BF"/>
        </w:rPr>
      </w:pPr>
    </w:p>
    <w:p w14:paraId="7A3D5158" w14:textId="77777777" w:rsidR="00CD65C2" w:rsidRDefault="00CD65C2">
      <w:pPr>
        <w:pStyle w:val="Corpo"/>
        <w:rPr>
          <w:rFonts w:hint="eastAsia"/>
          <w:color w:val="404040" w:themeColor="text1" w:themeTint="BF"/>
        </w:rPr>
      </w:pPr>
    </w:p>
    <w:p w14:paraId="1D668FD6" w14:textId="77777777" w:rsidR="00CD65C2" w:rsidRDefault="00CD65C2">
      <w:pPr>
        <w:pStyle w:val="Corpo"/>
        <w:rPr>
          <w:rFonts w:hint="eastAsia"/>
          <w:color w:val="404040" w:themeColor="text1" w:themeTint="BF"/>
        </w:rPr>
      </w:pPr>
    </w:p>
    <w:p w14:paraId="02A8C9C1"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817984"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739657710" name="Triângulo isósceles 7396577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710" o:spid="_x0000_s1026" o:spt="5" type="#_x0000_t5" style="position:absolute;left:0pt;flip:y;margin-left:65.25pt;margin-top:0.85pt;height:10.9pt;width:17.85pt;z-index:251817984;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n+uDbdYAAAAIAQAADwAAAAAAAAABACAAAAAiAAAAZHJzL2Rvd25yZXYueG1sUEsBAhQAFAAAAAgA&#10;h07iQKYTuhlgAgAAswQAAA4AAAAAAAAAAQAgAAAAJQEAAGRycy9lMm9Eb2MueG1sUEsFBgAAAAAG&#10;AAYAWQEAAPcFA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816960" behindDoc="0" locked="0" layoutInCell="1" allowOverlap="1">
                <wp:simplePos x="0" y="0"/>
                <wp:positionH relativeFrom="column">
                  <wp:posOffset>4664710</wp:posOffset>
                </wp:positionH>
                <wp:positionV relativeFrom="paragraph">
                  <wp:posOffset>10795</wp:posOffset>
                </wp:positionV>
                <wp:extent cx="226695" cy="138430"/>
                <wp:effectExtent l="0" t="0" r="1905" b="0"/>
                <wp:wrapNone/>
                <wp:docPr id="739657711" name="Triângulo isósceles 7396577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711" o:spid="_x0000_s1026" o:spt="5" type="#_x0000_t5" style="position:absolute;left:0pt;flip:y;margin-left:367.3pt;margin-top:0.85pt;height:10.9pt;width:17.85pt;z-index:251816960;mso-width-relative:page;mso-height-relative:page;" fillcolor="#D9D9D9 [3212]" filled="t" stroked="f" coordsize="21600,21600" o:gfxdata="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CrIplbWAAAACAEAAA8AAAAAAAAAAQAgAAAAIgAAAGRycy9kb3ducmV2LnhtbFBLAQIUABQAAAAI&#10;AIdO4kAOQkJfYQIAALMEAAAOAAAAAAAAAAEAIAAAACUBAABkcnMvZTJvRG9jLnhtbFBLBQYAAAAA&#10;BgAGAFkBAAD4BQAAAAA=&#10;" adj="10800">
                <v:fill on="t" focussize="0,0"/>
                <v:stroke on="f"/>
                <v:imagedata o:title=""/>
                <o:lock v:ext="edit" aspectratio="f"/>
              </v:shape>
            </w:pict>
          </mc:Fallback>
        </mc:AlternateContent>
      </w:r>
    </w:p>
    <w:p w14:paraId="2050AFC1"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815936" behindDoc="0" locked="0" layoutInCell="1" allowOverlap="1">
                <wp:simplePos x="0" y="0"/>
                <wp:positionH relativeFrom="column">
                  <wp:posOffset>-5715</wp:posOffset>
                </wp:positionH>
                <wp:positionV relativeFrom="paragraph">
                  <wp:posOffset>88900</wp:posOffset>
                </wp:positionV>
                <wp:extent cx="1913890" cy="781685"/>
                <wp:effectExtent l="0" t="0" r="10160" b="18415"/>
                <wp:wrapNone/>
                <wp:docPr id="739657712" name="Caixa de texto 7396577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23A89110"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iCs/>
                                <w:color w:val="FFFFFF" w:themeColor="background1"/>
                                <w:sz w:val="23"/>
                                <w:szCs w:val="23"/>
                              </w:rPr>
                              <w:t>C. racemosa</w:t>
                            </w:r>
                          </w:p>
                          <w:p w14:paraId="14D1C564"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160 mg ao dia</w:t>
                            </w:r>
                          </w:p>
                          <w:p w14:paraId="4E8E581B" w14:textId="77777777" w:rsidR="00FA41FC" w:rsidRDefault="00FA41FC">
                            <w:pPr>
                              <w:spacing w:after="0" w:line="240" w:lineRule="auto"/>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739657712" o:spid="_x0000_s1128" type="#_x0000_t202" style="position:absolute;left:0;text-align:left;margin-left:-.45pt;margin-top:7pt;width:150.7pt;height:61.55pt;z-index:251815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" fillcolor="#0070c0" strokecolor="#0070c0">
                <v:textbox>
                  <w:txbxContent>
                    <w:p w14:paraId="23A89110"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iCs/>
                          <w:color w:val="FFFFFF" w:themeColor="background1"/>
                          <w:sz w:val="23"/>
                          <w:szCs w:val="23"/>
                        </w:rPr>
                        <w:t>C. racemosa</w:t>
                      </w:r>
                    </w:p>
                    <w:p w14:paraId="14D1C564"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160 mg ao dia</w:t>
                      </w:r>
                    </w:p>
                    <w:p w14:paraId="4E8E581B" w14:textId="77777777" w:rsidR="00FA41FC" w:rsidRDefault="00FA41FC">
                      <w:pPr>
                        <w:spacing w:after="0" w:line="240" w:lineRule="auto"/>
                        <w:rPr>
                          <w:rFonts w:ascii="Swis721 Th BT" w:hAnsi="Swis721 Th BT"/>
                          <w:color w:val="FFFFFF" w:themeColor="background1"/>
                          <w:szCs w:val="23"/>
                        </w:rP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819008" behindDoc="0" locked="0" layoutInCell="1" allowOverlap="1">
                <wp:simplePos x="0" y="0"/>
                <wp:positionH relativeFrom="column">
                  <wp:posOffset>3839210</wp:posOffset>
                </wp:positionH>
                <wp:positionV relativeFrom="paragraph">
                  <wp:posOffset>88900</wp:posOffset>
                </wp:positionV>
                <wp:extent cx="1905000" cy="781685"/>
                <wp:effectExtent l="0" t="0" r="19050" b="18415"/>
                <wp:wrapNone/>
                <wp:docPr id="739657713" name="Caixa de texto 7396577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1514DEB0"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5CAFBCA2"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739657713" o:spid="_x0000_s1129" type="#_x0000_t202" style="position:absolute;left:0;text-align:left;margin-left:302.3pt;margin-top:7pt;width:150pt;height:61.55pt;z-index:251819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" fillcolor="#0070c0" strokecolor="#0070c0">
                <v:textbox>
                  <w:txbxContent>
                    <w:p w14:paraId="1514DEB0"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5CAFBCA2"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txbxContent>
                </v:textbox>
              </v:shape>
            </w:pict>
          </mc:Fallback>
        </mc:AlternateContent>
      </w:r>
    </w:p>
    <w:p w14:paraId="5CE4839E" w14:textId="77777777" w:rsidR="00CD65C2" w:rsidRDefault="00CD65C2">
      <w:pPr>
        <w:pStyle w:val="Corpo"/>
        <w:rPr>
          <w:rFonts w:hint="eastAsia"/>
          <w:color w:val="404040" w:themeColor="text1" w:themeTint="BF"/>
        </w:rPr>
      </w:pPr>
    </w:p>
    <w:p w14:paraId="459A2C66" w14:textId="77777777" w:rsidR="00CD65C2" w:rsidRDefault="00CD65C2">
      <w:pPr>
        <w:pStyle w:val="Corpo"/>
        <w:rPr>
          <w:rFonts w:hint="eastAsia"/>
          <w:color w:val="404040" w:themeColor="text1" w:themeTint="BF"/>
        </w:rPr>
      </w:pPr>
    </w:p>
    <w:p w14:paraId="46A62364" w14:textId="77777777" w:rsidR="00CD65C2" w:rsidRDefault="00CD65C2">
      <w:pPr>
        <w:pStyle w:val="Corpo"/>
        <w:rPr>
          <w:rFonts w:hint="eastAsia"/>
          <w:color w:val="404040" w:themeColor="text1" w:themeTint="BF"/>
        </w:rPr>
      </w:pPr>
    </w:p>
    <w:p w14:paraId="6EA8811A" w14:textId="77777777" w:rsidR="00CD65C2" w:rsidRDefault="00CD65C2">
      <w:pPr>
        <w:pStyle w:val="Corpo"/>
        <w:rPr>
          <w:rFonts w:hint="eastAsia"/>
          <w:b/>
          <w:color w:val="339966"/>
          <w:sz w:val="25"/>
          <w:szCs w:val="25"/>
          <w14:textFill>
            <w14:solidFill>
              <w14:srgbClr w14:val="339966">
                <w14:lumMod w14:val="75000"/>
                <w14:lumOff w14:val="25000"/>
              </w14:srgbClr>
            </w14:solidFill>
          </w14:textFill>
        </w:rPr>
      </w:pPr>
    </w:p>
    <w:p w14:paraId="516DB11D"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78308A50"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793704A9" w14:textId="77777777" w:rsidR="00CD65C2" w:rsidRDefault="00CD65C2">
      <w:pPr>
        <w:pStyle w:val="Corpo"/>
        <w:rPr>
          <w:rFonts w:hint="eastAsia"/>
          <w:color w:val="404040" w:themeColor="text1" w:themeTint="BF"/>
          <w:sz w:val="16"/>
          <w:szCs w:val="16"/>
        </w:rPr>
      </w:pPr>
    </w:p>
    <w:p w14:paraId="4EBAD349" w14:textId="77777777" w:rsidR="00CD65C2" w:rsidRDefault="00FA41FC">
      <w:pPr>
        <w:pStyle w:val="PargrafodaLista"/>
        <w:numPr>
          <w:ilvl w:val="0"/>
          <w:numId w:val="34"/>
        </w:numPr>
        <w:spacing w:after="0" w:line="256" w:lineRule="auto"/>
        <w:jc w:val="both"/>
        <w:rPr>
          <w:rFonts w:ascii="Swis721 Th BT" w:eastAsia="MS Mincho" w:hAnsi="Swis721 Th BT" w:hint="eastAsia"/>
          <w:color w:val="404040" w:themeColor="text1" w:themeTint="BF"/>
          <w:sz w:val="24"/>
          <w:szCs w:val="24"/>
        </w:rPr>
      </w:pPr>
      <w:r>
        <w:rPr>
          <w:rFonts w:ascii="Swis721 Th BT" w:eastAsia="MS Mincho" w:hAnsi="Swis721 Th BT"/>
          <w:color w:val="404040" w:themeColor="text1" w:themeTint="BF"/>
          <w:sz w:val="24"/>
          <w:szCs w:val="24"/>
        </w:rPr>
        <w:t>A média de idade, tempo desde a menopausa e índice de massa corporal eram similares entre os grupos;</w:t>
      </w:r>
    </w:p>
    <w:p w14:paraId="70487627" w14:textId="479D98DC" w:rsidR="00CD65C2" w:rsidRDefault="00FA41FC">
      <w:pPr>
        <w:pStyle w:val="PargrafodaLista"/>
        <w:numPr>
          <w:ilvl w:val="0"/>
          <w:numId w:val="34"/>
        </w:numPr>
        <w:spacing w:after="0" w:line="256" w:lineRule="auto"/>
        <w:jc w:val="both"/>
        <w:rPr>
          <w:rFonts w:ascii="Swis721 Th BT" w:eastAsia="MS Mincho" w:hAnsi="Swis721 Th BT" w:hint="eastAsia"/>
          <w:color w:val="404040" w:themeColor="text1" w:themeTint="BF"/>
          <w:sz w:val="24"/>
          <w:szCs w:val="24"/>
        </w:rPr>
      </w:pPr>
      <w:r>
        <w:rPr>
          <w:rFonts w:ascii="Swis721 Th BT" w:eastAsia="MS Mincho" w:hAnsi="Swis721 Th BT"/>
          <w:color w:val="404040" w:themeColor="text1" w:themeTint="BF"/>
          <w:sz w:val="24"/>
          <w:szCs w:val="24"/>
        </w:rPr>
        <w:t xml:space="preserve">As avaliações da dilatação fluxo-mediada da artéria braquial, antes a após o tratamento, respectivamente, mostraram um aumento significativo nas pacientes que utilizaram </w:t>
      </w:r>
      <w:r w:rsidRPr="00D1428E">
        <w:rPr>
          <w:rFonts w:ascii="Swis721 Th BT" w:eastAsia="MS Mincho" w:hAnsi="Swis721 Th BT" w:hint="eastAsia"/>
          <w:i/>
          <w:iCs/>
          <w:color w:val="404040" w:themeColor="text1" w:themeTint="BF"/>
          <w:sz w:val="24"/>
          <w:szCs w:val="24"/>
        </w:rPr>
        <w:t>C. racemosa</w:t>
      </w:r>
      <w:r>
        <w:rPr>
          <w:rFonts w:ascii="Swis721 Th BT" w:eastAsia="MS Mincho" w:hAnsi="Swis721 Th BT"/>
          <w:color w:val="404040" w:themeColor="text1" w:themeTint="BF"/>
          <w:sz w:val="24"/>
          <w:szCs w:val="24"/>
        </w:rPr>
        <w:t>;</w:t>
      </w:r>
    </w:p>
    <w:p w14:paraId="26E99FD2" w14:textId="03FE141B" w:rsidR="00CD65C2" w:rsidRDefault="00FA41FC">
      <w:pPr>
        <w:pStyle w:val="PargrafodaLista"/>
        <w:numPr>
          <w:ilvl w:val="0"/>
          <w:numId w:val="34"/>
        </w:numPr>
        <w:spacing w:after="0" w:line="256" w:lineRule="auto"/>
        <w:jc w:val="both"/>
        <w:rPr>
          <w:rFonts w:ascii="Swis721 Th BT" w:eastAsia="MS Mincho" w:hAnsi="Swis721 Th BT" w:hint="eastAsia"/>
          <w:color w:val="404040" w:themeColor="text1" w:themeTint="BF"/>
          <w:sz w:val="24"/>
          <w:szCs w:val="24"/>
        </w:rPr>
      </w:pPr>
      <w:r>
        <w:rPr>
          <w:rFonts w:ascii="Swis721 Th BT" w:eastAsia="MS Mincho" w:hAnsi="Swis721 Th BT"/>
          <w:color w:val="404040" w:themeColor="text1" w:themeTint="BF"/>
          <w:sz w:val="24"/>
          <w:szCs w:val="24"/>
        </w:rPr>
        <w:t>As pacientes do grupo placebo não apresentaram alterações na dilatação fluxo-mediada da artéria braquial após 28 dias de tratamento;</w:t>
      </w:r>
    </w:p>
    <w:p w14:paraId="6BA4F342" w14:textId="77777777" w:rsidR="00CD65C2" w:rsidRDefault="00FA41FC">
      <w:pPr>
        <w:pStyle w:val="PargrafodaLista"/>
        <w:numPr>
          <w:ilvl w:val="0"/>
          <w:numId w:val="34"/>
        </w:numPr>
        <w:spacing w:after="0" w:line="256" w:lineRule="auto"/>
        <w:jc w:val="both"/>
        <w:rPr>
          <w:rFonts w:ascii="Swis721 Th BT" w:eastAsia="MS Mincho" w:hAnsi="Swis721 Th BT" w:hint="eastAsia"/>
          <w:color w:val="404040" w:themeColor="text1" w:themeTint="BF"/>
          <w:sz w:val="24"/>
          <w:szCs w:val="24"/>
        </w:rPr>
      </w:pPr>
      <w:r>
        <w:rPr>
          <w:rFonts w:ascii="Swis721 Th BT" w:eastAsia="MS Mincho" w:hAnsi="Swis721 Th BT"/>
          <w:color w:val="404040" w:themeColor="text1" w:themeTint="BF"/>
          <w:sz w:val="24"/>
          <w:szCs w:val="24"/>
        </w:rPr>
        <w:t>Quando comparado o número de mulheres em ambos os grupos que mostraram um aumento na dilatação fluxo-mediada, uma diferença significativa foi encontrada no grupo 1.</w:t>
      </w:r>
    </w:p>
    <w:p w14:paraId="32151F1E" w14:textId="77777777" w:rsidR="00CD65C2" w:rsidRDefault="00CD65C2">
      <w:pPr>
        <w:pStyle w:val="PargrafodaLista"/>
        <w:spacing w:after="0"/>
        <w:jc w:val="both"/>
        <w:rPr>
          <w:rFonts w:ascii="Swis721 Th BT" w:eastAsia="MS Mincho" w:hAnsi="Swis721 Th BT" w:hint="eastAsia"/>
          <w:color w:val="404040" w:themeColor="text1" w:themeTint="BF"/>
          <w:sz w:val="24"/>
          <w:szCs w:val="24"/>
        </w:rPr>
      </w:pPr>
    </w:p>
    <w:p w14:paraId="6F578A5A"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0C639157"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62CB66C8" w14:textId="77777777" w:rsidR="00CD65C2" w:rsidRDefault="00CD65C2">
      <w:pPr>
        <w:pStyle w:val="Corpo"/>
        <w:rPr>
          <w:rFonts w:hint="eastAsia"/>
          <w:b/>
          <w:color w:val="339966"/>
          <w:sz w:val="16"/>
          <w:szCs w:val="16"/>
          <w14:textFill>
            <w14:solidFill>
              <w14:srgbClr w14:val="339966">
                <w14:lumMod w14:val="75000"/>
                <w14:lumOff w14:val="25000"/>
              </w14:srgbClr>
            </w14:solidFill>
          </w14:textFill>
        </w:rPr>
      </w:pPr>
    </w:p>
    <w:p w14:paraId="3032FEFE" w14:textId="0EF142E5" w:rsidR="00CD65C2" w:rsidRDefault="00FA41FC">
      <w:pPr>
        <w:pStyle w:val="Corpo"/>
        <w:jc w:val="center"/>
        <w:rPr>
          <w:rFonts w:hint="eastAsia"/>
          <w:b/>
          <w:i/>
          <w:color w:val="404040" w:themeColor="text1" w:themeTint="BF"/>
        </w:rPr>
      </w:pPr>
      <w:r>
        <w:rPr>
          <w:b/>
          <w:i/>
          <w:color w:val="404040" w:themeColor="text1" w:themeTint="BF"/>
        </w:rPr>
        <w:t xml:space="preserve">O uso diário de </w:t>
      </w:r>
      <w:r w:rsidRPr="00D1428E">
        <w:rPr>
          <w:rFonts w:hint="eastAsia"/>
          <w:b/>
          <w:color w:val="404040" w:themeColor="text1" w:themeTint="BF"/>
        </w:rPr>
        <w:t>C. racemosa</w:t>
      </w:r>
      <w:r>
        <w:rPr>
          <w:b/>
          <w:i/>
          <w:color w:val="404040" w:themeColor="text1" w:themeTint="BF"/>
        </w:rPr>
        <w:t xml:space="preserve"> em mulheres na pós-menopausa durante 28 dias influenciou beneficamente a função endotelial através da promoção de elasticidade da artéria braquial.</w:t>
      </w:r>
    </w:p>
    <w:p w14:paraId="2F6D252D" w14:textId="77777777" w:rsidR="00CD65C2" w:rsidRDefault="00FA41FC">
      <w:pPr>
        <w:pStyle w:val="Ttulo1"/>
        <w:jc w:val="center"/>
        <w:rPr>
          <w:rFonts w:hint="eastAsia"/>
        </w:rPr>
      </w:pPr>
      <w:bookmarkStart w:id="81" w:name="_Toc165537231"/>
      <w:r>
        <w:t>Formulário</w:t>
      </w:r>
      <w:bookmarkEnd w:id="81"/>
    </w:p>
    <w:p w14:paraId="0937ED18" w14:textId="77777777" w:rsidR="00CD65C2" w:rsidRDefault="00CD65C2">
      <w:pPr>
        <w:pStyle w:val="Corpo"/>
        <w:rPr>
          <w:rFonts w:hint="eastAsia"/>
          <w:b/>
          <w:i/>
          <w:color w:val="404040" w:themeColor="text1" w:themeTint="BF"/>
        </w:rPr>
      </w:pPr>
    </w:p>
    <w:p w14:paraId="418F589B" w14:textId="77777777" w:rsidR="00CD65C2" w:rsidRDefault="00CD65C2">
      <w:pPr>
        <w:pStyle w:val="Corpo"/>
        <w:rPr>
          <w:rFonts w:hint="eastAsia"/>
          <w:b/>
          <w:i/>
          <w:color w:val="404040" w:themeColor="text1" w:themeTint="BF"/>
        </w:rPr>
      </w:pPr>
    </w:p>
    <w:p w14:paraId="33471690" w14:textId="77777777" w:rsidR="00CD65C2" w:rsidRDefault="00FA41FC">
      <w:pPr>
        <w:pStyle w:val="Corpo"/>
        <w:rPr>
          <w:rFonts w:hint="eastAsia"/>
          <w:b/>
          <w:i/>
          <w:color w:val="404040" w:themeColor="text1" w:themeTint="BF"/>
          <w:sz w:val="24"/>
        </w:rPr>
      </w:pPr>
      <w:r>
        <w:rPr>
          <w:b/>
          <w:i/>
          <w:color w:val="404040" w:themeColor="text1" w:themeTint="BF"/>
          <w:sz w:val="24"/>
        </w:rPr>
        <w:t>Melhora a Função Endotelial em Mulheres na Pós-Menopausa</w:t>
      </w:r>
    </w:p>
    <w:p w14:paraId="49396D80"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6DCFB486"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3B2AA383" w14:textId="77777777" w:rsidR="00CD65C2" w:rsidRDefault="00FA41FC">
            <w:pPr>
              <w:pStyle w:val="Corpo"/>
              <w:jc w:val="center"/>
              <w:rPr>
                <w:rFonts w:hint="eastAsia"/>
                <w:b/>
                <w:i/>
                <w:iCs/>
                <w:color w:val="FFFFFF" w:themeColor="background1"/>
              </w:rPr>
            </w:pPr>
            <w:r>
              <w:rPr>
                <w:b/>
                <w:color w:val="FFFFFF" w:themeColor="background1"/>
                <w:sz w:val="22"/>
              </w:rPr>
              <w:t xml:space="preserve">Cápsulas de </w:t>
            </w:r>
            <w:r>
              <w:rPr>
                <w:b/>
                <w:i/>
                <w:iCs/>
                <w:color w:val="FFFFFF" w:themeColor="background1"/>
                <w:sz w:val="22"/>
              </w:rPr>
              <w:t>C. racemosa</w:t>
            </w:r>
          </w:p>
        </w:tc>
      </w:tr>
      <w:tr w:rsidR="00CD65C2" w14:paraId="3A687055"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44D7403" w14:textId="77777777" w:rsidR="00CD65C2" w:rsidRDefault="00FA41FC">
            <w:pPr>
              <w:pStyle w:val="Corpo"/>
              <w:rPr>
                <w:rFonts w:hint="eastAsia"/>
                <w:color w:val="404040" w:themeColor="text1" w:themeTint="BF"/>
              </w:rPr>
            </w:pPr>
            <w:r>
              <w:rPr>
                <w:i/>
                <w:iCs/>
                <w:color w:val="404040" w:themeColor="text1" w:themeTint="BF"/>
              </w:rPr>
              <w:t>C. racemosa</w:t>
            </w:r>
            <w:r>
              <w:rPr>
                <w:color w:val="404040" w:themeColor="text1" w:themeTint="BF"/>
              </w:rPr>
              <w:t>..................................160 mg</w:t>
            </w:r>
          </w:p>
        </w:tc>
      </w:tr>
      <w:tr w:rsidR="00CD65C2" w14:paraId="42939E9E"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3AA2D2B" w14:textId="58A00064" w:rsidR="00CD65C2" w:rsidRDefault="00FA41FC">
            <w:pPr>
              <w:pStyle w:val="Corpo"/>
              <w:rPr>
                <w:rFonts w:hint="eastAsia"/>
                <w:color w:val="404040" w:themeColor="text1" w:themeTint="BF"/>
              </w:rPr>
            </w:pPr>
            <w:r>
              <w:rPr>
                <w:color w:val="404040" w:themeColor="text1" w:themeTint="BF"/>
              </w:rPr>
              <w:t>Excipiente q.s.p. ........................1 Cápsula</w:t>
            </w:r>
          </w:p>
        </w:tc>
      </w:tr>
    </w:tbl>
    <w:p w14:paraId="3438DEA1" w14:textId="77777777" w:rsidR="00CD65C2" w:rsidRDefault="00FA41FC">
      <w:pPr>
        <w:pStyle w:val="Corpo"/>
        <w:ind w:right="4762"/>
        <w:jc w:val="center"/>
        <w:rPr>
          <w:rFonts w:hint="eastAsia"/>
          <w:color w:val="404040" w:themeColor="text1" w:themeTint="BF"/>
          <w:sz w:val="22"/>
          <w:szCs w:val="22"/>
        </w:rPr>
      </w:pPr>
      <w:r>
        <w:rPr>
          <w:color w:val="404040" w:themeColor="text1" w:themeTint="BF"/>
          <w:sz w:val="22"/>
          <w:szCs w:val="22"/>
        </w:rPr>
        <w:t>Administrar 1 cápsula ao dia ou conforme orientação médica.</w:t>
      </w:r>
    </w:p>
    <w:p w14:paraId="04C1880E" w14:textId="77777777" w:rsidR="00CD65C2" w:rsidRDefault="00CD65C2">
      <w:pPr>
        <w:pStyle w:val="SemEspaamento"/>
      </w:pPr>
    </w:p>
    <w:p w14:paraId="0F8D3218" w14:textId="77777777" w:rsidR="00CD65C2" w:rsidRDefault="00CD65C2">
      <w:pPr>
        <w:pStyle w:val="SemEspaamento"/>
      </w:pPr>
    </w:p>
    <w:p w14:paraId="36C76E41" w14:textId="77777777" w:rsidR="00CD65C2" w:rsidRDefault="00CD65C2">
      <w:pPr>
        <w:pStyle w:val="SemEspaamento"/>
      </w:pPr>
    </w:p>
    <w:p w14:paraId="1BDD7B8C" w14:textId="77777777" w:rsidR="00CD65C2" w:rsidRDefault="00CD65C2">
      <w:pPr>
        <w:pStyle w:val="SemEspaamento"/>
      </w:pPr>
    </w:p>
    <w:p w14:paraId="1AD96BB9" w14:textId="77777777" w:rsidR="00CD65C2" w:rsidRDefault="00CD65C2">
      <w:pPr>
        <w:pStyle w:val="SemEspaamento"/>
      </w:pPr>
    </w:p>
    <w:p w14:paraId="22066516" w14:textId="77777777" w:rsidR="00CD65C2" w:rsidRDefault="00CD65C2">
      <w:pPr>
        <w:pStyle w:val="SemEspaamento"/>
      </w:pPr>
    </w:p>
    <w:p w14:paraId="6A60BE67" w14:textId="77777777" w:rsidR="00CD65C2" w:rsidRDefault="00CD65C2">
      <w:pPr>
        <w:pStyle w:val="SemEspaamento"/>
      </w:pPr>
    </w:p>
    <w:p w14:paraId="1C756537" w14:textId="77777777" w:rsidR="00CD65C2" w:rsidRDefault="00CD65C2">
      <w:pPr>
        <w:pStyle w:val="SemEspaamento"/>
      </w:pPr>
    </w:p>
    <w:p w14:paraId="5EB8A2C1" w14:textId="77777777" w:rsidR="00CD65C2" w:rsidRDefault="00CD65C2">
      <w:pPr>
        <w:pStyle w:val="SemEspaamento"/>
      </w:pPr>
    </w:p>
    <w:p w14:paraId="6C48B3A8" w14:textId="77777777" w:rsidR="00CD65C2" w:rsidRDefault="00CD65C2">
      <w:pPr>
        <w:pStyle w:val="SemEspaamento"/>
      </w:pPr>
    </w:p>
    <w:p w14:paraId="3C21234D" w14:textId="77777777" w:rsidR="00CD65C2" w:rsidRDefault="00CD65C2">
      <w:pPr>
        <w:pStyle w:val="SemEspaamento"/>
      </w:pPr>
    </w:p>
    <w:p w14:paraId="5E5410C5" w14:textId="77777777" w:rsidR="00CD65C2" w:rsidRDefault="00CD65C2">
      <w:pPr>
        <w:pStyle w:val="SemEspaamento"/>
      </w:pPr>
    </w:p>
    <w:p w14:paraId="5A144090" w14:textId="77777777" w:rsidR="00CD65C2" w:rsidRDefault="00CD65C2">
      <w:pPr>
        <w:pStyle w:val="SemEspaamento"/>
      </w:pPr>
    </w:p>
    <w:p w14:paraId="55FDBCD6" w14:textId="77777777" w:rsidR="00CD65C2" w:rsidRDefault="00CD65C2">
      <w:pPr>
        <w:pStyle w:val="SemEspaamento"/>
      </w:pPr>
    </w:p>
    <w:p w14:paraId="0242467F" w14:textId="77777777" w:rsidR="00CD65C2" w:rsidRDefault="00CD65C2">
      <w:pPr>
        <w:pStyle w:val="SemEspaamento"/>
      </w:pPr>
    </w:p>
    <w:p w14:paraId="43972711" w14:textId="77777777" w:rsidR="00CD65C2" w:rsidRDefault="00CD65C2">
      <w:pPr>
        <w:pStyle w:val="SemEspaamento"/>
      </w:pPr>
    </w:p>
    <w:p w14:paraId="18C2821C" w14:textId="77777777" w:rsidR="00CD65C2" w:rsidRDefault="00CD65C2">
      <w:pPr>
        <w:pStyle w:val="SemEspaamento"/>
      </w:pPr>
    </w:p>
    <w:p w14:paraId="790628DC" w14:textId="77777777" w:rsidR="00CD65C2" w:rsidRDefault="00CD65C2">
      <w:pPr>
        <w:pStyle w:val="SemEspaamento"/>
      </w:pPr>
    </w:p>
    <w:p w14:paraId="7C5A8511" w14:textId="77777777" w:rsidR="00CD65C2" w:rsidRDefault="00CD65C2">
      <w:pPr>
        <w:pStyle w:val="SemEspaamento"/>
      </w:pPr>
    </w:p>
    <w:p w14:paraId="37AFD4D6" w14:textId="77777777" w:rsidR="00CD65C2" w:rsidRDefault="00CD65C2">
      <w:pPr>
        <w:pStyle w:val="SemEspaamento"/>
      </w:pPr>
    </w:p>
    <w:p w14:paraId="6F84F2BA" w14:textId="77777777" w:rsidR="00CD65C2" w:rsidRDefault="00CD65C2">
      <w:pPr>
        <w:pStyle w:val="SemEspaamento"/>
      </w:pPr>
    </w:p>
    <w:p w14:paraId="5A60B35E" w14:textId="77777777" w:rsidR="00CD65C2" w:rsidRDefault="00CD65C2">
      <w:pPr>
        <w:pStyle w:val="SemEspaamento"/>
      </w:pPr>
    </w:p>
    <w:p w14:paraId="4ACE0945" w14:textId="77777777" w:rsidR="00CD65C2" w:rsidRDefault="00CD65C2">
      <w:pPr>
        <w:pStyle w:val="SemEspaamento"/>
      </w:pPr>
    </w:p>
    <w:p w14:paraId="5D467A06" w14:textId="77777777" w:rsidR="00CD65C2" w:rsidRDefault="00CD65C2">
      <w:pPr>
        <w:pStyle w:val="SemEspaamento"/>
      </w:pPr>
    </w:p>
    <w:p w14:paraId="73C42FD6" w14:textId="77777777" w:rsidR="00CD65C2" w:rsidRDefault="00CD65C2">
      <w:pPr>
        <w:pStyle w:val="SemEspaamento"/>
      </w:pPr>
    </w:p>
    <w:p w14:paraId="486C2804" w14:textId="77777777" w:rsidR="00CD65C2" w:rsidRDefault="00CD65C2">
      <w:pPr>
        <w:pStyle w:val="SemEspaamento"/>
      </w:pPr>
    </w:p>
    <w:p w14:paraId="78480448" w14:textId="77777777" w:rsidR="00CD65C2" w:rsidRDefault="00CD65C2">
      <w:pPr>
        <w:pStyle w:val="SemEspaamento"/>
      </w:pPr>
    </w:p>
    <w:p w14:paraId="7DD92E65" w14:textId="77777777" w:rsidR="00CD65C2" w:rsidRDefault="00CD65C2">
      <w:pPr>
        <w:pStyle w:val="SemEspaamento"/>
      </w:pPr>
    </w:p>
    <w:p w14:paraId="0FD5DCCB" w14:textId="77777777" w:rsidR="00CD65C2" w:rsidRDefault="00CD65C2">
      <w:pPr>
        <w:pStyle w:val="SemEspaamento"/>
      </w:pPr>
    </w:p>
    <w:p w14:paraId="1A841437" w14:textId="77777777" w:rsidR="00CD65C2" w:rsidRDefault="00CD65C2">
      <w:pPr>
        <w:pStyle w:val="SemEspaamento"/>
      </w:pPr>
    </w:p>
    <w:p w14:paraId="58084BDC" w14:textId="77777777" w:rsidR="00CD65C2" w:rsidRDefault="00CD65C2">
      <w:pPr>
        <w:pStyle w:val="SemEspaamento"/>
      </w:pPr>
    </w:p>
    <w:p w14:paraId="51531482" w14:textId="77777777" w:rsidR="00CD65C2" w:rsidRDefault="00CD65C2">
      <w:pPr>
        <w:pStyle w:val="SemEspaamento"/>
      </w:pPr>
    </w:p>
    <w:p w14:paraId="7B46940B" w14:textId="77777777" w:rsidR="00CD65C2" w:rsidRDefault="00FA41FC">
      <w:pPr>
        <w:pStyle w:val="Ttulo1"/>
        <w:jc w:val="center"/>
        <w:rPr>
          <w:rFonts w:hint="eastAsia"/>
        </w:rPr>
      </w:pPr>
      <w:bookmarkStart w:id="82" w:name="_Toc165537232"/>
      <w:r>
        <w:rPr>
          <w:i/>
          <w:iCs/>
          <w:sz w:val="52"/>
        </w:rPr>
        <w:t>Nigella sativa</w:t>
      </w:r>
      <w:bookmarkEnd w:id="82"/>
    </w:p>
    <w:p w14:paraId="5DAA5B83" w14:textId="77777777" w:rsidR="00CD65C2" w:rsidRPr="00D1428E" w:rsidRDefault="00FA41FC">
      <w:pPr>
        <w:pStyle w:val="Corpo"/>
        <w:jc w:val="center"/>
        <w:rPr>
          <w:rFonts w:hint="eastAsia"/>
          <w:b/>
          <w:iCs/>
          <w:color w:val="0070C0"/>
          <w:sz w:val="40"/>
        </w:rPr>
      </w:pPr>
      <w:r w:rsidRPr="00D1428E">
        <w:rPr>
          <w:b/>
          <w:iCs/>
          <w:color w:val="0070C0"/>
          <w:sz w:val="40"/>
        </w:rPr>
        <w:t>Melhora o Perfil Lipídico e Glicose Sanguínea</w:t>
      </w:r>
    </w:p>
    <w:p w14:paraId="6B85919F" w14:textId="77777777" w:rsidR="00CD65C2" w:rsidRDefault="00CD65C2">
      <w:pPr>
        <w:pStyle w:val="Corpo"/>
        <w:rPr>
          <w:rFonts w:hint="eastAsia"/>
          <w:color w:val="404040" w:themeColor="text1" w:themeTint="BF"/>
          <w:sz w:val="24"/>
        </w:rPr>
      </w:pPr>
    </w:p>
    <w:p w14:paraId="7E306337" w14:textId="77777777" w:rsidR="00CD65C2" w:rsidRDefault="00CD65C2">
      <w:pPr>
        <w:pStyle w:val="Corpo"/>
        <w:rPr>
          <w:rFonts w:hint="eastAsia"/>
          <w:color w:val="404040" w:themeColor="text1" w:themeTint="BF"/>
          <w:sz w:val="24"/>
        </w:rPr>
      </w:pPr>
    </w:p>
    <w:p w14:paraId="215B28E6" w14:textId="25BD5ECB" w:rsidR="00CD65C2" w:rsidRDefault="00FA41FC">
      <w:pPr>
        <w:pStyle w:val="Corpo"/>
        <w:rPr>
          <w:rFonts w:hint="eastAsia"/>
          <w:color w:val="404040" w:themeColor="text1" w:themeTint="BF"/>
          <w:sz w:val="24"/>
        </w:rPr>
      </w:pPr>
      <w:r>
        <w:rPr>
          <w:color w:val="404040" w:themeColor="text1" w:themeTint="BF"/>
          <w:sz w:val="24"/>
        </w:rPr>
        <w:t xml:space="preserve">Este estudo randomizado, duplo-cego e placebo-controlado teve como objetivo comparar os efeitos da </w:t>
      </w:r>
      <w:r>
        <w:rPr>
          <w:i/>
          <w:iCs/>
          <w:color w:val="404040" w:themeColor="text1" w:themeTint="BF"/>
          <w:sz w:val="24"/>
        </w:rPr>
        <w:t>Nigella sativa</w:t>
      </w:r>
      <w:r>
        <w:rPr>
          <w:color w:val="404040" w:themeColor="text1" w:themeTint="BF"/>
          <w:sz w:val="24"/>
        </w:rPr>
        <w:t xml:space="preserve"> com o placebo nos índices antropométricos e bioquímicos em mulheres na pós-menopausa com síndrome metabólica </w:t>
      </w:r>
      <w:r>
        <w:rPr>
          <w:color w:val="404040" w:themeColor="text1" w:themeTint="BF"/>
          <w:sz w:val="24"/>
        </w:rPr>
        <w:fldChar w:fldCharType="begin"/>
      </w:r>
      <w:r>
        <w:rPr>
          <w:color w:val="404040" w:themeColor="text1" w:themeTint="BF"/>
          <w:sz w:val="24"/>
        </w:rPr>
        <w:instrText xml:space="preserve"> ADDIN EN.CITE &lt;EndNote&gt;&lt;Cite&gt;&lt;Author&gt;Shirazi&lt;/Author&gt;&lt;Year&gt;2020&lt;/Year&gt;&lt;IDText&gt;The effects of nigella sativa on anthropometric and biochemical indices in postmenopausal women with metabolic syndrome&lt;/IDText&gt;&lt;DisplayText&gt;(SHIRAZI; KHODAKARAMI; FEIZABAD; GHAEMI, 2020)&lt;/DisplayText&gt;&lt;record&gt;&lt;dates&gt;&lt;pub-dates&gt;&lt;date&gt;Jul&lt;/date&gt;&lt;/pub-dates&gt;&lt;year&gt;2020&lt;/year&gt;&lt;/dates&gt;&lt;keywords&gt;&lt;keyword&gt;Menopause&lt;/keyword&gt;&lt;keyword&gt;Metabolic syndrome&lt;/keyword&gt;&lt;keyword&gt;Nigella sativa&lt;/keyword&gt;&lt;/keywords&gt;&lt;isbn&gt;1355-008x&lt;/isbn&gt;&lt;titles&gt;&lt;title&gt;The effects of nigella sativa on anthropometric and biochemical indices in postmenopausal women with metabolic syndrome&lt;/title&gt;&lt;secondary-title&gt;Endocrine&lt;/secondary-title&gt;&lt;/titles&gt;&lt;pages&gt;49-52&lt;/pages&gt;&lt;number&gt;1&lt;/number&gt;&lt;contributors&gt;&lt;authors&gt;&lt;author&gt;Shirazi, M.&lt;/author&gt;&lt;author&gt;Khodakarami, F.&lt;/author&gt;&lt;author&gt;Feizabad, E.&lt;/author&gt;&lt;author&gt;Ghaemi, M.&lt;/author&gt;&lt;/authors&gt;&lt;/contributors&gt;&lt;edition&gt;2020/04/03&lt;/edition&gt;&lt;language&gt;eng&lt;/language&gt;&lt;added-date format="utc"&gt;1597083193&lt;/added-date&gt;&lt;ref-type name="Journal Article"&gt;17&lt;/ref-type&gt;&lt;auth-address&gt;Maternal, Fetal &amp;amp; Neonatal Research Centre, Tehran University of Medical Sciences, Tehran, Iran.&amp;#xD;Health Reproductive Research Centre, Tehran University of Medical Sciences, Tehran, Iran.&amp;#xD;Maternal, Fetal &amp;amp; Neonatal Research Centre, Tehran University of Medical Sciences, Tehran, Iran. marjan_ghaemi@yahoo.com.&amp;#xD;Kamali Hospital, Alborz University of Medical Sciences, Karaj, Iran. marjan_ghaemi@yahoo.com.&lt;/auth-address&gt;&lt;remote-database-provider&gt;NLM&lt;/remote-database-provider&gt;&lt;rec-number&gt;1494&lt;/rec-number&gt;&lt;last-updated-date format="utc"&gt;1597083193&lt;/last-updated-date&gt;&lt;accession-num&gt;32236818&lt;/accession-num&gt;&lt;electronic-resource-num&gt;10.1007/s12020-020-02265-w&lt;/electronic-resource-num&gt;&lt;volume&gt;69&lt;/volume&gt;&lt;/record&gt;&lt;/Cite&gt;&lt;/EndNote&gt;</w:instrText>
      </w:r>
      <w:r>
        <w:rPr>
          <w:color w:val="404040" w:themeColor="text1" w:themeTint="BF"/>
          <w:sz w:val="24"/>
        </w:rPr>
        <w:fldChar w:fldCharType="separate"/>
      </w:r>
      <w:r>
        <w:rPr>
          <w:color w:val="404040" w:themeColor="text1" w:themeTint="BF"/>
          <w:sz w:val="24"/>
        </w:rPr>
        <w:t>(SHIRAZI; KHODAKARAMI; FEIZABAD; GHAEMI, 2020)</w:t>
      </w:r>
      <w:r>
        <w:rPr>
          <w:color w:val="404040" w:themeColor="text1" w:themeTint="BF"/>
          <w:sz w:val="24"/>
        </w:rPr>
        <w:fldChar w:fldCharType="end"/>
      </w:r>
      <w:r>
        <w:rPr>
          <w:color w:val="404040" w:themeColor="text1" w:themeTint="BF"/>
          <w:sz w:val="24"/>
        </w:rPr>
        <w:t>.</w:t>
      </w:r>
    </w:p>
    <w:p w14:paraId="413CB308"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25152" behindDoc="0" locked="0" layoutInCell="1" allowOverlap="1">
                <wp:simplePos x="0" y="0"/>
                <wp:positionH relativeFrom="margin">
                  <wp:posOffset>5715</wp:posOffset>
                </wp:positionH>
                <wp:positionV relativeFrom="paragraph">
                  <wp:posOffset>97790</wp:posOffset>
                </wp:positionV>
                <wp:extent cx="5724525" cy="514350"/>
                <wp:effectExtent l="0" t="0" r="28575" b="19050"/>
                <wp:wrapNone/>
                <wp:docPr id="739657714" name="Caixa de texto 7396577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4350"/>
                        </a:xfrm>
                        <a:prstGeom prst="rect">
                          <a:avLst/>
                        </a:prstGeom>
                        <a:solidFill>
                          <a:schemeClr val="bg1">
                            <a:lumMod val="100000"/>
                            <a:lumOff val="0"/>
                          </a:schemeClr>
                        </a:solidFill>
                        <a:ln w="9525">
                          <a:solidFill>
                            <a:srgbClr val="0070C0"/>
                          </a:solidFill>
                          <a:miter lim="800000"/>
                        </a:ln>
                      </wps:spPr>
                      <wps:txbx>
                        <w:txbxContent>
                          <w:p w14:paraId="77D2FAC1" w14:textId="1B29C0F2" w:rsidR="00FA41FC" w:rsidRDefault="00FA41FC">
                            <w:pPr>
                              <w:jc w:val="center"/>
                              <w:rPr>
                                <w:rFonts w:ascii="Swis721 Th BT" w:hAnsi="Swis721 Th BT"/>
                                <w:sz w:val="23"/>
                                <w:szCs w:val="23"/>
                              </w:rPr>
                            </w:pPr>
                            <w:r>
                              <w:rPr>
                                <w:rFonts w:ascii="Swis721 Th BT" w:hAnsi="Swis721 Th BT"/>
                                <w:sz w:val="23"/>
                                <w:szCs w:val="23"/>
                              </w:rPr>
                              <w:t xml:space="preserve">Para isso, 140 mulheres na menopausa, com idades entre 45 e 60 e síndrome metabólica, foram selecionadas para receberem: </w:t>
                            </w:r>
                          </w:p>
                        </w:txbxContent>
                      </wps:txbx>
                      <wps:bodyPr rot="0" vert="horz" wrap="square" lIns="91440" tIns="45720" rIns="91440" bIns="45720" anchor="t" anchorCtr="0" upright="1">
                        <a:noAutofit/>
                      </wps:bodyPr>
                    </wps:wsp>
                  </a:graphicData>
                </a:graphic>
              </wp:anchor>
            </w:drawing>
          </mc:Choice>
          <mc:Fallback>
            <w:pict>
              <v:shape id="Caixa de texto 739657714" o:spid="_x0000_s1130" type="#_x0000_t202" style="position:absolute;left:0;text-align:left;margin-left:.45pt;margin-top:7.7pt;width:450.75pt;height:40.5pt;z-index:2518251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" fillcolor="white [3212]" strokecolor="#0070c0">
                <v:textbox>
                  <w:txbxContent>
                    <w:p w14:paraId="77D2FAC1" w14:textId="1B29C0F2" w:rsidR="00FA41FC" w:rsidRDefault="00FA41FC">
                      <w:pPr>
                        <w:jc w:val="center"/>
                        <w:rPr>
                          <w:rFonts w:ascii="Swis721 Th BT" w:hAnsi="Swis721 Th BT"/>
                          <w:sz w:val="23"/>
                          <w:szCs w:val="23"/>
                        </w:rPr>
                      </w:pPr>
                      <w:r>
                        <w:rPr>
                          <w:rFonts w:ascii="Swis721 Th BT" w:hAnsi="Swis721 Th BT"/>
                          <w:sz w:val="23"/>
                          <w:szCs w:val="23"/>
                        </w:rPr>
                        <w:t xml:space="preserve">Para isso, 140 mulheres na menopausa, com idades entre 45 e 60 e síndrome metabólica, foram selecionadas para receberem: </w:t>
                      </w:r>
                    </w:p>
                  </w:txbxContent>
                </v:textbox>
                <w10:wrap anchorx="margin"/>
              </v:shape>
            </w:pict>
          </mc:Fallback>
        </mc:AlternateContent>
      </w:r>
      <w:r>
        <w:rPr>
          <w:color w:val="404040" w:themeColor="text1" w:themeTint="BF"/>
          <w:sz w:val="24"/>
        </w:rPr>
        <w:br/>
      </w:r>
    </w:p>
    <w:p w14:paraId="73EAB03A" w14:textId="77777777" w:rsidR="00CD65C2" w:rsidRDefault="00CD65C2">
      <w:pPr>
        <w:pStyle w:val="Corpo"/>
        <w:rPr>
          <w:rFonts w:hint="eastAsia"/>
          <w:color w:val="404040" w:themeColor="text1" w:themeTint="BF"/>
        </w:rPr>
      </w:pPr>
    </w:p>
    <w:p w14:paraId="0D77937D" w14:textId="77777777" w:rsidR="00CD65C2" w:rsidRDefault="00CD65C2">
      <w:pPr>
        <w:pStyle w:val="Corpo"/>
        <w:rPr>
          <w:rFonts w:hint="eastAsia"/>
          <w:color w:val="404040" w:themeColor="text1" w:themeTint="BF"/>
        </w:rPr>
      </w:pPr>
    </w:p>
    <w:p w14:paraId="3F61E3F9"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823104"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739657715" name="Triângulo isósceles 739657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715" o:spid="_x0000_s1026" o:spt="5" type="#_x0000_t5" style="position:absolute;left:0pt;flip:y;margin-left:65.25pt;margin-top:0.85pt;height:10.9pt;width:17.85pt;z-index:251823104;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n+uDbdYAAAAIAQAADwAAAAAAAAABACAAAAAiAAAAZHJzL2Rvd25yZXYueG1sUEsBAhQAFAAAAAgA&#10;h07iQO8C0p9gAgAAswQAAA4AAAAAAAAAAQAgAAAAJQEAAGRycy9lMm9Eb2MueG1sUEsFBgAAAAAG&#10;AAYAWQEAAPcFA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822080" behindDoc="0" locked="0" layoutInCell="1" allowOverlap="1">
                <wp:simplePos x="0" y="0"/>
                <wp:positionH relativeFrom="column">
                  <wp:posOffset>4664710</wp:posOffset>
                </wp:positionH>
                <wp:positionV relativeFrom="paragraph">
                  <wp:posOffset>10795</wp:posOffset>
                </wp:positionV>
                <wp:extent cx="226695" cy="138430"/>
                <wp:effectExtent l="0" t="0" r="1905" b="0"/>
                <wp:wrapNone/>
                <wp:docPr id="739657716" name="Triângulo isósceles 7396577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716" o:spid="_x0000_s1026" o:spt="5" type="#_x0000_t5" style="position:absolute;left:0pt;flip:y;margin-left:367.3pt;margin-top:0.85pt;height:10.9pt;width:17.85pt;z-index:251822080;mso-width-relative:page;mso-height-relative:page;" fillcolor="#D9D9D9 [3212]" filled="t" stroked="f" coordsize="21600,21600" o:gfxdata="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CrIplbWAAAACAEAAA8AAAAAAAAAAQAgAAAAIgAAAGRycy9kb3ducmV2LnhtbFBLAQIUABQAAAAI&#10;AIdO4kAX8NpUYQIAALMEAAAOAAAAAAAAAAEAIAAAACUBAABkcnMvZTJvRG9jLnhtbFBLBQYAAAAA&#10;BgAGAFkBAAD4BQAAAAA=&#10;" adj="10800">
                <v:fill on="t" focussize="0,0"/>
                <v:stroke on="f"/>
                <v:imagedata o:title=""/>
                <o:lock v:ext="edit" aspectratio="f"/>
              </v:shape>
            </w:pict>
          </mc:Fallback>
        </mc:AlternateContent>
      </w:r>
    </w:p>
    <w:p w14:paraId="29739ED3"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821056" behindDoc="0" locked="0" layoutInCell="1" allowOverlap="1">
                <wp:simplePos x="0" y="0"/>
                <wp:positionH relativeFrom="column">
                  <wp:posOffset>-5715</wp:posOffset>
                </wp:positionH>
                <wp:positionV relativeFrom="paragraph">
                  <wp:posOffset>88900</wp:posOffset>
                </wp:positionV>
                <wp:extent cx="1913890" cy="781685"/>
                <wp:effectExtent l="0" t="0" r="10160" b="18415"/>
                <wp:wrapNone/>
                <wp:docPr id="739657717" name="Caixa de texto 739657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10406B65"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iCs/>
                                <w:color w:val="FFFFFF" w:themeColor="background1"/>
                                <w:sz w:val="23"/>
                                <w:szCs w:val="23"/>
                              </w:rPr>
                              <w:t>Nigella sativa</w:t>
                            </w:r>
                            <w:r>
                              <w:rPr>
                                <w:rFonts w:ascii="Swis721 Th BT" w:hAnsi="Swis721 Th BT"/>
                                <w:color w:val="FFFFFF" w:themeColor="background1"/>
                                <w:sz w:val="23"/>
                                <w:szCs w:val="23"/>
                              </w:rPr>
                              <w:t xml:space="preserve"> 500 mg</w:t>
                            </w:r>
                          </w:p>
                          <w:p w14:paraId="1264CE92"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 vez ao dia</w:t>
                            </w:r>
                          </w:p>
                          <w:p w14:paraId="40557874"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739657717" o:spid="_x0000_s1131" type="#_x0000_t202" style="position:absolute;left:0;text-align:left;margin-left:-.45pt;margin-top:7pt;width:150.7pt;height:61.55pt;z-index:251821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" fillcolor="#0070c0" strokecolor="#0070c0">
                <v:textbox>
                  <w:txbxContent>
                    <w:p w14:paraId="10406B65"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iCs/>
                          <w:color w:val="FFFFFF" w:themeColor="background1"/>
                          <w:sz w:val="23"/>
                          <w:szCs w:val="23"/>
                        </w:rPr>
                        <w:t>Nigella sativa</w:t>
                      </w:r>
                      <w:r>
                        <w:rPr>
                          <w:rFonts w:ascii="Swis721 Th BT" w:hAnsi="Swis721 Th BT"/>
                          <w:color w:val="FFFFFF" w:themeColor="background1"/>
                          <w:sz w:val="23"/>
                          <w:szCs w:val="23"/>
                        </w:rPr>
                        <w:t xml:space="preserve"> 500 mg</w:t>
                      </w:r>
                    </w:p>
                    <w:p w14:paraId="1264CE92"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 vez ao dia</w:t>
                      </w:r>
                    </w:p>
                    <w:p w14:paraId="40557874"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824128" behindDoc="0" locked="0" layoutInCell="1" allowOverlap="1">
                <wp:simplePos x="0" y="0"/>
                <wp:positionH relativeFrom="column">
                  <wp:posOffset>3839210</wp:posOffset>
                </wp:positionH>
                <wp:positionV relativeFrom="paragraph">
                  <wp:posOffset>88900</wp:posOffset>
                </wp:positionV>
                <wp:extent cx="1905000" cy="781685"/>
                <wp:effectExtent l="0" t="0" r="19050" b="18415"/>
                <wp:wrapNone/>
                <wp:docPr id="739657718" name="Caixa de texto 7396577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334DB5E5"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4747DB19"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739657718" o:spid="_x0000_s1132" type="#_x0000_t202" style="position:absolute;left:0;text-align:left;margin-left:302.3pt;margin-top:7pt;width:150pt;height:61.55pt;z-index:251824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" fillcolor="#0070c0" strokecolor="#0070c0">
                <v:textbox>
                  <w:txbxContent>
                    <w:p w14:paraId="334DB5E5"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4747DB19"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txbxContent>
                </v:textbox>
              </v:shape>
            </w:pict>
          </mc:Fallback>
        </mc:AlternateContent>
      </w:r>
    </w:p>
    <w:p w14:paraId="2AAD1DCF" w14:textId="77777777" w:rsidR="00CD65C2" w:rsidRDefault="00CD65C2">
      <w:pPr>
        <w:pStyle w:val="Corpo"/>
        <w:rPr>
          <w:rFonts w:hint="eastAsia"/>
          <w:color w:val="404040" w:themeColor="text1" w:themeTint="BF"/>
        </w:rPr>
      </w:pPr>
    </w:p>
    <w:p w14:paraId="4E5D4BDD" w14:textId="77777777" w:rsidR="00CD65C2" w:rsidRDefault="00CD65C2">
      <w:pPr>
        <w:pStyle w:val="Corpo"/>
        <w:rPr>
          <w:rFonts w:hint="eastAsia"/>
          <w:color w:val="404040" w:themeColor="text1" w:themeTint="BF"/>
        </w:rPr>
      </w:pPr>
    </w:p>
    <w:p w14:paraId="6C3449EE" w14:textId="77777777" w:rsidR="00CD65C2" w:rsidRDefault="00CD65C2">
      <w:pPr>
        <w:pStyle w:val="Corpo"/>
        <w:rPr>
          <w:rFonts w:hint="eastAsia"/>
          <w:color w:val="404040" w:themeColor="text1" w:themeTint="BF"/>
        </w:rPr>
      </w:pPr>
    </w:p>
    <w:p w14:paraId="2D0517D6" w14:textId="77777777" w:rsidR="00CD65C2" w:rsidRDefault="00CD65C2">
      <w:pPr>
        <w:pStyle w:val="Corpo"/>
        <w:rPr>
          <w:rFonts w:hint="eastAsia"/>
          <w:b/>
          <w:color w:val="339966"/>
          <w:sz w:val="25"/>
          <w:szCs w:val="25"/>
          <w14:textFill>
            <w14:solidFill>
              <w14:srgbClr w14:val="339966">
                <w14:lumMod w14:val="75000"/>
                <w14:lumOff w14:val="25000"/>
              </w14:srgbClr>
            </w14:solidFill>
          </w14:textFill>
        </w:rPr>
      </w:pPr>
    </w:p>
    <w:p w14:paraId="377047A2"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6978D1FD"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5B1CC354" w14:textId="77777777" w:rsidR="00CD65C2" w:rsidRDefault="00CD65C2">
      <w:pPr>
        <w:pStyle w:val="Corpo"/>
        <w:rPr>
          <w:rFonts w:hint="eastAsia"/>
          <w:color w:val="404040" w:themeColor="text1" w:themeTint="BF"/>
          <w:sz w:val="16"/>
          <w:szCs w:val="16"/>
        </w:rPr>
      </w:pPr>
    </w:p>
    <w:p w14:paraId="797E6759" w14:textId="6CEA5029"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 xml:space="preserve">No grupo 1, houve diminuição significativa dos marcadores séricos, como lipoproteína de baixa densidade (115,1±17,6 </w:t>
      </w:r>
      <w:r>
        <w:rPr>
          <w:i/>
          <w:iCs/>
          <w:color w:val="404040" w:themeColor="text1" w:themeTint="BF"/>
          <w:sz w:val="24"/>
        </w:rPr>
        <w:t>vs</w:t>
      </w:r>
      <w:r>
        <w:rPr>
          <w:color w:val="404040" w:themeColor="text1" w:themeTint="BF"/>
          <w:sz w:val="24"/>
        </w:rPr>
        <w:t xml:space="preserve">. 127,7±12,6), triglicerídeos (158,3±14,0 </w:t>
      </w:r>
      <w:r>
        <w:rPr>
          <w:i/>
          <w:iCs/>
          <w:color w:val="404040" w:themeColor="text1" w:themeTint="BF"/>
          <w:sz w:val="24"/>
        </w:rPr>
        <w:t>vs</w:t>
      </w:r>
      <w:r>
        <w:rPr>
          <w:color w:val="404040" w:themeColor="text1" w:themeTint="BF"/>
          <w:sz w:val="24"/>
        </w:rPr>
        <w:t xml:space="preserve">. 166,7±16,0), colesterol total (115,1±17,6 </w:t>
      </w:r>
      <w:r>
        <w:rPr>
          <w:i/>
          <w:iCs/>
          <w:color w:val="404040" w:themeColor="text1" w:themeTint="BF"/>
          <w:sz w:val="24"/>
        </w:rPr>
        <w:t>vs</w:t>
      </w:r>
      <w:r>
        <w:rPr>
          <w:color w:val="404040" w:themeColor="text1" w:themeTint="BF"/>
          <w:sz w:val="24"/>
        </w:rPr>
        <w:t xml:space="preserve">. 127,7±12,6) e glicose em jejum (90,8±16,9 </w:t>
      </w:r>
      <w:r>
        <w:rPr>
          <w:i/>
          <w:iCs/>
          <w:color w:val="404040" w:themeColor="text1" w:themeTint="BF"/>
          <w:sz w:val="24"/>
        </w:rPr>
        <w:t>vs</w:t>
      </w:r>
      <w:r>
        <w:rPr>
          <w:color w:val="404040" w:themeColor="text1" w:themeTint="BF"/>
          <w:sz w:val="24"/>
        </w:rPr>
        <w:t>. 113,7±12,1) em comparação ao placebo.</w:t>
      </w:r>
    </w:p>
    <w:p w14:paraId="014FA883" w14:textId="77777777" w:rsidR="00CD65C2" w:rsidRDefault="00CD65C2">
      <w:pPr>
        <w:pStyle w:val="Corpo"/>
        <w:spacing w:after="120"/>
        <w:ind w:left="360"/>
        <w:rPr>
          <w:rFonts w:hint="eastAsia"/>
          <w:color w:val="404040" w:themeColor="text1" w:themeTint="BF"/>
          <w:sz w:val="24"/>
        </w:rPr>
      </w:pPr>
    </w:p>
    <w:tbl>
      <w:tblPr>
        <w:tblStyle w:val="TabelaSimples42"/>
        <w:tblW w:w="0" w:type="auto"/>
        <w:tblLook w:val="04A0" w:firstRow="1" w:lastRow="0" w:firstColumn="1" w:lastColumn="0" w:noHBand="0" w:noVBand="1"/>
      </w:tblPr>
      <w:tblGrid>
        <w:gridCol w:w="2999"/>
        <w:gridCol w:w="1431"/>
        <w:gridCol w:w="1431"/>
        <w:gridCol w:w="1431"/>
        <w:gridCol w:w="1431"/>
      </w:tblGrid>
      <w:tr w:rsidR="00CD65C2" w14:paraId="761A8DB7" w14:textId="77777777" w:rsidTr="00CD65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80061B6" w14:textId="77777777" w:rsidR="00CD65C2" w:rsidRDefault="00FA41FC">
            <w:pPr>
              <w:pStyle w:val="Corpo"/>
              <w:spacing w:after="120"/>
              <w:jc w:val="center"/>
              <w:rPr>
                <w:rFonts w:hint="eastAsia"/>
                <w:b w:val="0"/>
                <w:bCs w:val="0"/>
                <w:color w:val="404040" w:themeColor="text1" w:themeTint="BF"/>
                <w:sz w:val="22"/>
                <w:szCs w:val="22"/>
              </w:rPr>
            </w:pPr>
            <w:r>
              <w:rPr>
                <w:color w:val="404040" w:themeColor="text1" w:themeTint="BF"/>
                <w:sz w:val="22"/>
                <w:szCs w:val="22"/>
              </w:rPr>
              <w:t>Parâmetros</w:t>
            </w:r>
          </w:p>
        </w:tc>
        <w:tc>
          <w:tcPr>
            <w:tcW w:w="0" w:type="auto"/>
            <w:gridSpan w:val="2"/>
          </w:tcPr>
          <w:p w14:paraId="71B15ED4" w14:textId="77777777" w:rsidR="00CD65C2" w:rsidRDefault="00FA41FC">
            <w:pPr>
              <w:pStyle w:val="Corpo"/>
              <w:spacing w:after="120"/>
              <w:jc w:val="center"/>
              <w:cnfStyle w:val="100000000000" w:firstRow="1" w:lastRow="0" w:firstColumn="0" w:lastColumn="0" w:oddVBand="0" w:evenVBand="0" w:oddHBand="0" w:evenHBand="0" w:firstRowFirstColumn="0" w:firstRowLastColumn="0" w:lastRowFirstColumn="0" w:lastRowLastColumn="0"/>
              <w:rPr>
                <w:rFonts w:hint="eastAsia"/>
                <w:b w:val="0"/>
                <w:bCs w:val="0"/>
                <w:color w:val="404040" w:themeColor="text1" w:themeTint="BF"/>
                <w:sz w:val="22"/>
                <w:szCs w:val="22"/>
              </w:rPr>
            </w:pPr>
            <w:r>
              <w:rPr>
                <w:color w:val="404040" w:themeColor="text1" w:themeTint="BF"/>
                <w:sz w:val="22"/>
                <w:szCs w:val="22"/>
              </w:rPr>
              <w:t>Grupo 1</w:t>
            </w:r>
          </w:p>
        </w:tc>
        <w:tc>
          <w:tcPr>
            <w:tcW w:w="0" w:type="auto"/>
            <w:gridSpan w:val="2"/>
          </w:tcPr>
          <w:p w14:paraId="3C8FDCE8" w14:textId="77777777" w:rsidR="00CD65C2" w:rsidRDefault="00FA41FC">
            <w:pPr>
              <w:pStyle w:val="Corpo"/>
              <w:spacing w:after="120"/>
              <w:jc w:val="center"/>
              <w:cnfStyle w:val="100000000000" w:firstRow="1" w:lastRow="0" w:firstColumn="0" w:lastColumn="0" w:oddVBand="0" w:evenVBand="0" w:oddHBand="0" w:evenHBand="0" w:firstRowFirstColumn="0" w:firstRowLastColumn="0" w:lastRowFirstColumn="0" w:lastRowLastColumn="0"/>
              <w:rPr>
                <w:rFonts w:hint="eastAsia"/>
                <w:b w:val="0"/>
                <w:bCs w:val="0"/>
                <w:color w:val="404040" w:themeColor="text1" w:themeTint="BF"/>
                <w:sz w:val="22"/>
                <w:szCs w:val="22"/>
              </w:rPr>
            </w:pPr>
            <w:r>
              <w:rPr>
                <w:color w:val="404040" w:themeColor="text1" w:themeTint="BF"/>
                <w:sz w:val="22"/>
                <w:szCs w:val="22"/>
              </w:rPr>
              <w:t>Grupo 2</w:t>
            </w:r>
          </w:p>
        </w:tc>
      </w:tr>
      <w:tr w:rsidR="00CD65C2" w14:paraId="4D772585" w14:textId="77777777" w:rsidTr="00CD65C2">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tcPr>
          <w:p w14:paraId="73BB92B9" w14:textId="77777777" w:rsidR="00CD65C2" w:rsidRDefault="00CD65C2">
            <w:pPr>
              <w:pStyle w:val="Corpo"/>
              <w:spacing w:after="120"/>
              <w:jc w:val="center"/>
              <w:rPr>
                <w:rFonts w:hint="eastAsia"/>
                <w:b w:val="0"/>
                <w:bCs w:val="0"/>
                <w:color w:val="404040" w:themeColor="text1" w:themeTint="BF"/>
                <w:sz w:val="22"/>
                <w:szCs w:val="22"/>
              </w:rPr>
            </w:pPr>
          </w:p>
        </w:tc>
        <w:tc>
          <w:tcPr>
            <w:tcW w:w="0" w:type="auto"/>
            <w:shd w:val="clear" w:color="auto" w:fill="F2F2F2" w:themeFill="background1" w:themeFillShade="F2"/>
          </w:tcPr>
          <w:p w14:paraId="7DF8BD1D"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Início</w:t>
            </w:r>
          </w:p>
        </w:tc>
        <w:tc>
          <w:tcPr>
            <w:tcW w:w="0" w:type="auto"/>
            <w:shd w:val="clear" w:color="auto" w:fill="F2F2F2" w:themeFill="background1" w:themeFillShade="F2"/>
          </w:tcPr>
          <w:p w14:paraId="4A7BEFC1"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Final</w:t>
            </w:r>
          </w:p>
        </w:tc>
        <w:tc>
          <w:tcPr>
            <w:tcW w:w="0" w:type="auto"/>
            <w:shd w:val="clear" w:color="auto" w:fill="F2F2F2" w:themeFill="background1" w:themeFillShade="F2"/>
          </w:tcPr>
          <w:p w14:paraId="0FA9A073"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Início</w:t>
            </w:r>
          </w:p>
        </w:tc>
        <w:tc>
          <w:tcPr>
            <w:tcW w:w="0" w:type="auto"/>
            <w:shd w:val="clear" w:color="auto" w:fill="F2F2F2" w:themeFill="background1" w:themeFillShade="F2"/>
          </w:tcPr>
          <w:p w14:paraId="797D0D60"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Final</w:t>
            </w:r>
          </w:p>
        </w:tc>
      </w:tr>
      <w:tr w:rsidR="00CD65C2" w14:paraId="6645DCA4" w14:textId="77777777" w:rsidTr="00CD65C2">
        <w:tc>
          <w:tcPr>
            <w:cnfStyle w:val="001000000000" w:firstRow="0" w:lastRow="0" w:firstColumn="1" w:lastColumn="0" w:oddVBand="0" w:evenVBand="0" w:oddHBand="0" w:evenHBand="0" w:firstRowFirstColumn="0" w:firstRowLastColumn="0" w:lastRowFirstColumn="0" w:lastRowLastColumn="0"/>
            <w:tcW w:w="0" w:type="auto"/>
          </w:tcPr>
          <w:p w14:paraId="6EE72CB7" w14:textId="77777777" w:rsidR="00CD65C2" w:rsidRDefault="00FA41FC">
            <w:pPr>
              <w:pStyle w:val="Corpo"/>
              <w:spacing w:after="120"/>
              <w:jc w:val="center"/>
              <w:rPr>
                <w:rFonts w:hint="eastAsia"/>
                <w:b w:val="0"/>
                <w:bCs w:val="0"/>
                <w:color w:val="404040" w:themeColor="text1" w:themeTint="BF"/>
                <w:sz w:val="22"/>
                <w:szCs w:val="22"/>
              </w:rPr>
            </w:pPr>
            <w:r>
              <w:rPr>
                <w:color w:val="404040" w:themeColor="text1" w:themeTint="BF"/>
                <w:sz w:val="22"/>
                <w:szCs w:val="22"/>
              </w:rPr>
              <w:t>Circunferência da Cintura (cm)</w:t>
            </w:r>
          </w:p>
        </w:tc>
        <w:tc>
          <w:tcPr>
            <w:tcW w:w="0" w:type="auto"/>
          </w:tcPr>
          <w:p w14:paraId="35AB5AAC"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107,6 ± 9,3</w:t>
            </w:r>
          </w:p>
        </w:tc>
        <w:tc>
          <w:tcPr>
            <w:tcW w:w="0" w:type="auto"/>
          </w:tcPr>
          <w:p w14:paraId="09C24B6F"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106,6 ± 9,8</w:t>
            </w:r>
          </w:p>
        </w:tc>
        <w:tc>
          <w:tcPr>
            <w:tcW w:w="0" w:type="auto"/>
          </w:tcPr>
          <w:p w14:paraId="7DD497B8"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107,3 ± 10,0</w:t>
            </w:r>
          </w:p>
        </w:tc>
        <w:tc>
          <w:tcPr>
            <w:tcW w:w="0" w:type="auto"/>
          </w:tcPr>
          <w:p w14:paraId="5FCD6919"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107,7 ± 10,1</w:t>
            </w:r>
          </w:p>
        </w:tc>
      </w:tr>
      <w:tr w:rsidR="00CD65C2" w14:paraId="2DCA139F" w14:textId="77777777" w:rsidTr="00CD65C2">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tcPr>
          <w:p w14:paraId="212E6363" w14:textId="77777777" w:rsidR="00CD65C2" w:rsidRDefault="00FA41FC">
            <w:pPr>
              <w:pStyle w:val="Corpo"/>
              <w:spacing w:after="120"/>
              <w:jc w:val="center"/>
              <w:rPr>
                <w:rFonts w:hint="eastAsia"/>
                <w:b w:val="0"/>
                <w:bCs w:val="0"/>
                <w:color w:val="404040" w:themeColor="text1" w:themeTint="BF"/>
                <w:sz w:val="22"/>
                <w:szCs w:val="22"/>
              </w:rPr>
            </w:pPr>
            <w:r>
              <w:rPr>
                <w:color w:val="404040" w:themeColor="text1" w:themeTint="BF"/>
                <w:sz w:val="22"/>
                <w:szCs w:val="22"/>
              </w:rPr>
              <w:t>Peso (kg)</w:t>
            </w:r>
          </w:p>
        </w:tc>
        <w:tc>
          <w:tcPr>
            <w:tcW w:w="0" w:type="auto"/>
            <w:shd w:val="clear" w:color="auto" w:fill="F2F2F2" w:themeFill="background1" w:themeFillShade="F2"/>
          </w:tcPr>
          <w:p w14:paraId="0BA77E59"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5,2 ± 71,5</w:t>
            </w:r>
          </w:p>
        </w:tc>
        <w:tc>
          <w:tcPr>
            <w:tcW w:w="0" w:type="auto"/>
            <w:shd w:val="clear" w:color="auto" w:fill="F2F2F2" w:themeFill="background1" w:themeFillShade="F2"/>
          </w:tcPr>
          <w:p w14:paraId="33A6C458"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71,1 ± 5,0</w:t>
            </w:r>
          </w:p>
        </w:tc>
        <w:tc>
          <w:tcPr>
            <w:tcW w:w="0" w:type="auto"/>
            <w:shd w:val="clear" w:color="auto" w:fill="F2F2F2" w:themeFill="background1" w:themeFillShade="F2"/>
          </w:tcPr>
          <w:p w14:paraId="1FC73DA9"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5,0 ± 71,7</w:t>
            </w:r>
          </w:p>
        </w:tc>
        <w:tc>
          <w:tcPr>
            <w:tcW w:w="0" w:type="auto"/>
            <w:shd w:val="clear" w:color="auto" w:fill="F2F2F2" w:themeFill="background1" w:themeFillShade="F2"/>
          </w:tcPr>
          <w:p w14:paraId="39954021"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71,7 ± 4,9</w:t>
            </w:r>
          </w:p>
        </w:tc>
      </w:tr>
      <w:tr w:rsidR="00CD65C2" w14:paraId="63BC8003" w14:textId="77777777" w:rsidTr="00CD65C2">
        <w:tc>
          <w:tcPr>
            <w:cnfStyle w:val="001000000000" w:firstRow="0" w:lastRow="0" w:firstColumn="1" w:lastColumn="0" w:oddVBand="0" w:evenVBand="0" w:oddHBand="0" w:evenHBand="0" w:firstRowFirstColumn="0" w:firstRowLastColumn="0" w:lastRowFirstColumn="0" w:lastRowLastColumn="0"/>
            <w:tcW w:w="0" w:type="auto"/>
          </w:tcPr>
          <w:p w14:paraId="3C5F883D" w14:textId="77777777" w:rsidR="00CD65C2" w:rsidRDefault="00FA41FC">
            <w:pPr>
              <w:pStyle w:val="Corpo"/>
              <w:spacing w:after="120"/>
              <w:jc w:val="center"/>
              <w:rPr>
                <w:rFonts w:hint="eastAsia"/>
                <w:b w:val="0"/>
                <w:bCs w:val="0"/>
                <w:color w:val="404040" w:themeColor="text1" w:themeTint="BF"/>
                <w:sz w:val="22"/>
                <w:szCs w:val="22"/>
              </w:rPr>
            </w:pPr>
            <w:r>
              <w:rPr>
                <w:color w:val="404040" w:themeColor="text1" w:themeTint="BF"/>
                <w:sz w:val="22"/>
                <w:szCs w:val="22"/>
              </w:rPr>
              <w:t>HbA1c (g/dL)</w:t>
            </w:r>
          </w:p>
        </w:tc>
        <w:tc>
          <w:tcPr>
            <w:tcW w:w="0" w:type="auto"/>
          </w:tcPr>
          <w:p w14:paraId="37FA5EF5"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5,7 ± 0,6</w:t>
            </w:r>
          </w:p>
        </w:tc>
        <w:tc>
          <w:tcPr>
            <w:tcW w:w="0" w:type="auto"/>
          </w:tcPr>
          <w:p w14:paraId="1B19ABD5"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5,5 ± 0,6</w:t>
            </w:r>
          </w:p>
        </w:tc>
        <w:tc>
          <w:tcPr>
            <w:tcW w:w="0" w:type="auto"/>
          </w:tcPr>
          <w:p w14:paraId="42E1C127"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5,7 ± 0,6</w:t>
            </w:r>
          </w:p>
        </w:tc>
        <w:tc>
          <w:tcPr>
            <w:tcW w:w="0" w:type="auto"/>
          </w:tcPr>
          <w:p w14:paraId="69BBC68A"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5,7 ± 0,6</w:t>
            </w:r>
          </w:p>
        </w:tc>
      </w:tr>
      <w:tr w:rsidR="00CD65C2" w14:paraId="2C4E7243" w14:textId="77777777" w:rsidTr="00CD65C2">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tcPr>
          <w:p w14:paraId="5187D1CC" w14:textId="77777777" w:rsidR="00CD65C2" w:rsidRDefault="00FA41FC">
            <w:pPr>
              <w:pStyle w:val="Corpo"/>
              <w:spacing w:after="120"/>
              <w:jc w:val="center"/>
              <w:rPr>
                <w:rFonts w:hint="eastAsia"/>
                <w:b w:val="0"/>
                <w:bCs w:val="0"/>
                <w:color w:val="404040" w:themeColor="text1" w:themeTint="BF"/>
                <w:sz w:val="22"/>
                <w:szCs w:val="22"/>
              </w:rPr>
            </w:pPr>
            <w:r>
              <w:rPr>
                <w:color w:val="404040" w:themeColor="text1" w:themeTint="BF"/>
                <w:sz w:val="22"/>
                <w:szCs w:val="22"/>
              </w:rPr>
              <w:t>Glicemia em Jejum (mg/dL)</w:t>
            </w:r>
          </w:p>
        </w:tc>
        <w:tc>
          <w:tcPr>
            <w:tcW w:w="0" w:type="auto"/>
            <w:shd w:val="clear" w:color="auto" w:fill="F2F2F2" w:themeFill="background1" w:themeFillShade="F2"/>
          </w:tcPr>
          <w:p w14:paraId="62886FBA"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117,9 ± 3,6</w:t>
            </w:r>
          </w:p>
        </w:tc>
        <w:tc>
          <w:tcPr>
            <w:tcW w:w="0" w:type="auto"/>
            <w:shd w:val="clear" w:color="auto" w:fill="F2F2F2" w:themeFill="background1" w:themeFillShade="F2"/>
          </w:tcPr>
          <w:p w14:paraId="27330CA3"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90,8 ± 16,9</w:t>
            </w:r>
          </w:p>
        </w:tc>
        <w:tc>
          <w:tcPr>
            <w:tcW w:w="0" w:type="auto"/>
            <w:shd w:val="clear" w:color="auto" w:fill="F2F2F2" w:themeFill="background1" w:themeFillShade="F2"/>
          </w:tcPr>
          <w:p w14:paraId="6C78896D"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117,9 ± 3,8</w:t>
            </w:r>
          </w:p>
        </w:tc>
        <w:tc>
          <w:tcPr>
            <w:tcW w:w="0" w:type="auto"/>
            <w:shd w:val="clear" w:color="auto" w:fill="F2F2F2" w:themeFill="background1" w:themeFillShade="F2"/>
          </w:tcPr>
          <w:p w14:paraId="673D0DFC"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113,7 ± 12,1</w:t>
            </w:r>
          </w:p>
        </w:tc>
      </w:tr>
      <w:tr w:rsidR="00CD65C2" w14:paraId="4540215F" w14:textId="77777777" w:rsidTr="00CD65C2">
        <w:tc>
          <w:tcPr>
            <w:cnfStyle w:val="001000000000" w:firstRow="0" w:lastRow="0" w:firstColumn="1" w:lastColumn="0" w:oddVBand="0" w:evenVBand="0" w:oddHBand="0" w:evenHBand="0" w:firstRowFirstColumn="0" w:firstRowLastColumn="0" w:lastRowFirstColumn="0" w:lastRowLastColumn="0"/>
            <w:tcW w:w="0" w:type="auto"/>
          </w:tcPr>
          <w:p w14:paraId="58823587" w14:textId="77777777" w:rsidR="00CD65C2" w:rsidRDefault="00FA41FC">
            <w:pPr>
              <w:pStyle w:val="Corpo"/>
              <w:spacing w:after="120"/>
              <w:jc w:val="center"/>
              <w:rPr>
                <w:rFonts w:hint="eastAsia"/>
                <w:b w:val="0"/>
                <w:bCs w:val="0"/>
                <w:color w:val="404040" w:themeColor="text1" w:themeTint="BF"/>
                <w:sz w:val="22"/>
                <w:szCs w:val="22"/>
              </w:rPr>
            </w:pPr>
            <w:r>
              <w:rPr>
                <w:color w:val="404040" w:themeColor="text1" w:themeTint="BF"/>
                <w:sz w:val="22"/>
                <w:szCs w:val="22"/>
              </w:rPr>
              <w:t>Colesterol Total (mg/dL)</w:t>
            </w:r>
          </w:p>
        </w:tc>
        <w:tc>
          <w:tcPr>
            <w:tcW w:w="0" w:type="auto"/>
          </w:tcPr>
          <w:p w14:paraId="164C56EF"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218,7 ± 10,3</w:t>
            </w:r>
          </w:p>
        </w:tc>
        <w:tc>
          <w:tcPr>
            <w:tcW w:w="0" w:type="auto"/>
          </w:tcPr>
          <w:p w14:paraId="09AFCEF7"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196,4 ± 19,7</w:t>
            </w:r>
          </w:p>
        </w:tc>
        <w:tc>
          <w:tcPr>
            <w:tcW w:w="0" w:type="auto"/>
          </w:tcPr>
          <w:p w14:paraId="38A39FCA"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218,1 ± 13,6</w:t>
            </w:r>
          </w:p>
        </w:tc>
        <w:tc>
          <w:tcPr>
            <w:tcW w:w="0" w:type="auto"/>
          </w:tcPr>
          <w:p w14:paraId="7835DBDA"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216,4 ± 19,6</w:t>
            </w:r>
          </w:p>
        </w:tc>
      </w:tr>
      <w:tr w:rsidR="00CD65C2" w14:paraId="70DD2B99" w14:textId="77777777" w:rsidTr="00CD65C2">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tcPr>
          <w:p w14:paraId="484D17FF" w14:textId="77777777" w:rsidR="00CD65C2" w:rsidRDefault="00FA41FC">
            <w:pPr>
              <w:pStyle w:val="Corpo"/>
              <w:spacing w:after="120"/>
              <w:jc w:val="center"/>
              <w:rPr>
                <w:rFonts w:hint="eastAsia"/>
                <w:b w:val="0"/>
                <w:bCs w:val="0"/>
                <w:color w:val="404040" w:themeColor="text1" w:themeTint="BF"/>
                <w:sz w:val="22"/>
                <w:szCs w:val="22"/>
              </w:rPr>
            </w:pPr>
            <w:r>
              <w:rPr>
                <w:color w:val="404040" w:themeColor="text1" w:themeTint="BF"/>
                <w:sz w:val="22"/>
                <w:szCs w:val="22"/>
              </w:rPr>
              <w:t>LDL (mg/dL)</w:t>
            </w:r>
          </w:p>
        </w:tc>
        <w:tc>
          <w:tcPr>
            <w:tcW w:w="0" w:type="auto"/>
            <w:shd w:val="clear" w:color="auto" w:fill="F2F2F2" w:themeFill="background1" w:themeFillShade="F2"/>
          </w:tcPr>
          <w:p w14:paraId="509E6D59"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129,5 ± 13,3</w:t>
            </w:r>
          </w:p>
        </w:tc>
        <w:tc>
          <w:tcPr>
            <w:tcW w:w="0" w:type="auto"/>
            <w:shd w:val="clear" w:color="auto" w:fill="F2F2F2" w:themeFill="background1" w:themeFillShade="F2"/>
          </w:tcPr>
          <w:p w14:paraId="68D5D5C2"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115,1 ± 17,6</w:t>
            </w:r>
          </w:p>
        </w:tc>
        <w:tc>
          <w:tcPr>
            <w:tcW w:w="0" w:type="auto"/>
            <w:shd w:val="clear" w:color="auto" w:fill="F2F2F2" w:themeFill="background1" w:themeFillShade="F2"/>
          </w:tcPr>
          <w:p w14:paraId="6E7658ED"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130,1 ± 13,2</w:t>
            </w:r>
          </w:p>
        </w:tc>
        <w:tc>
          <w:tcPr>
            <w:tcW w:w="0" w:type="auto"/>
            <w:shd w:val="clear" w:color="auto" w:fill="F2F2F2" w:themeFill="background1" w:themeFillShade="F2"/>
          </w:tcPr>
          <w:p w14:paraId="4D3E7A0D"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127,7 ± 12,6</w:t>
            </w:r>
          </w:p>
        </w:tc>
      </w:tr>
      <w:tr w:rsidR="00CD65C2" w14:paraId="267CAF21" w14:textId="77777777" w:rsidTr="00CD65C2">
        <w:tc>
          <w:tcPr>
            <w:cnfStyle w:val="001000000000" w:firstRow="0" w:lastRow="0" w:firstColumn="1" w:lastColumn="0" w:oddVBand="0" w:evenVBand="0" w:oddHBand="0" w:evenHBand="0" w:firstRowFirstColumn="0" w:firstRowLastColumn="0" w:lastRowFirstColumn="0" w:lastRowLastColumn="0"/>
            <w:tcW w:w="0" w:type="auto"/>
          </w:tcPr>
          <w:p w14:paraId="6FDE757B" w14:textId="77777777" w:rsidR="00CD65C2" w:rsidRDefault="00FA41FC">
            <w:pPr>
              <w:pStyle w:val="Corpo"/>
              <w:spacing w:after="120"/>
              <w:jc w:val="center"/>
              <w:rPr>
                <w:rFonts w:hint="eastAsia"/>
                <w:b w:val="0"/>
                <w:bCs w:val="0"/>
                <w:color w:val="404040" w:themeColor="text1" w:themeTint="BF"/>
                <w:sz w:val="22"/>
                <w:szCs w:val="22"/>
              </w:rPr>
            </w:pPr>
            <w:r>
              <w:rPr>
                <w:color w:val="404040" w:themeColor="text1" w:themeTint="BF"/>
                <w:sz w:val="22"/>
                <w:szCs w:val="22"/>
              </w:rPr>
              <w:t>HDL (mg/dL)</w:t>
            </w:r>
          </w:p>
        </w:tc>
        <w:tc>
          <w:tcPr>
            <w:tcW w:w="0" w:type="auto"/>
          </w:tcPr>
          <w:p w14:paraId="444DD4E9"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37,3 ± 8,1</w:t>
            </w:r>
          </w:p>
        </w:tc>
        <w:tc>
          <w:tcPr>
            <w:tcW w:w="0" w:type="auto"/>
          </w:tcPr>
          <w:p w14:paraId="78EDD7C4"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42,0 ± 6,9</w:t>
            </w:r>
          </w:p>
        </w:tc>
        <w:tc>
          <w:tcPr>
            <w:tcW w:w="0" w:type="auto"/>
          </w:tcPr>
          <w:p w14:paraId="577B7456"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38,4 ± 6,3</w:t>
            </w:r>
          </w:p>
        </w:tc>
        <w:tc>
          <w:tcPr>
            <w:tcW w:w="0" w:type="auto"/>
          </w:tcPr>
          <w:p w14:paraId="362AE414"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40,0 ± 6,9</w:t>
            </w:r>
          </w:p>
        </w:tc>
      </w:tr>
      <w:tr w:rsidR="00CD65C2" w14:paraId="28DD240E" w14:textId="77777777" w:rsidTr="00CD65C2">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tcPr>
          <w:p w14:paraId="185752FE" w14:textId="77777777" w:rsidR="00CD65C2" w:rsidRDefault="00FA41FC">
            <w:pPr>
              <w:pStyle w:val="Corpo"/>
              <w:spacing w:after="120"/>
              <w:jc w:val="center"/>
              <w:rPr>
                <w:rFonts w:hint="eastAsia"/>
                <w:b w:val="0"/>
                <w:bCs w:val="0"/>
                <w:color w:val="404040" w:themeColor="text1" w:themeTint="BF"/>
                <w:sz w:val="22"/>
                <w:szCs w:val="22"/>
              </w:rPr>
            </w:pPr>
            <w:r>
              <w:rPr>
                <w:color w:val="404040" w:themeColor="text1" w:themeTint="BF"/>
                <w:sz w:val="22"/>
                <w:szCs w:val="22"/>
              </w:rPr>
              <w:t>Triglicerídeos (mg/dL)</w:t>
            </w:r>
          </w:p>
        </w:tc>
        <w:tc>
          <w:tcPr>
            <w:tcW w:w="0" w:type="auto"/>
            <w:shd w:val="clear" w:color="auto" w:fill="F2F2F2" w:themeFill="background1" w:themeFillShade="F2"/>
          </w:tcPr>
          <w:p w14:paraId="6917911E"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172,7 ± 14,0</w:t>
            </w:r>
          </w:p>
        </w:tc>
        <w:tc>
          <w:tcPr>
            <w:tcW w:w="0" w:type="auto"/>
            <w:shd w:val="clear" w:color="auto" w:fill="F2F2F2" w:themeFill="background1" w:themeFillShade="F2"/>
          </w:tcPr>
          <w:p w14:paraId="48272A9A"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158,3 ± 14,0</w:t>
            </w:r>
          </w:p>
        </w:tc>
        <w:tc>
          <w:tcPr>
            <w:tcW w:w="0" w:type="auto"/>
            <w:shd w:val="clear" w:color="auto" w:fill="F2F2F2" w:themeFill="background1" w:themeFillShade="F2"/>
          </w:tcPr>
          <w:p w14:paraId="219A35B5"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172,3 ± 12,7</w:t>
            </w:r>
          </w:p>
        </w:tc>
        <w:tc>
          <w:tcPr>
            <w:tcW w:w="0" w:type="auto"/>
            <w:shd w:val="clear" w:color="auto" w:fill="F2F2F2" w:themeFill="background1" w:themeFillShade="F2"/>
          </w:tcPr>
          <w:p w14:paraId="340B197A"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166,7 ± 16,0</w:t>
            </w:r>
          </w:p>
        </w:tc>
      </w:tr>
    </w:tbl>
    <w:p w14:paraId="46BCF28B"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59B1A6F2" w14:textId="77777777" w:rsidR="00CD65C2" w:rsidRDefault="00FA41FC">
      <w:pPr>
        <w:pStyle w:val="Ttulo1"/>
        <w:jc w:val="center"/>
        <w:rPr>
          <w:rFonts w:hint="eastAsia"/>
        </w:rPr>
      </w:pPr>
      <w:bookmarkStart w:id="83" w:name="_Toc165537233"/>
      <w:r>
        <w:t>Formulário</w:t>
      </w:r>
      <w:bookmarkEnd w:id="83"/>
    </w:p>
    <w:p w14:paraId="0F5E73B3" w14:textId="77777777" w:rsidR="00CD65C2" w:rsidRDefault="00CD65C2">
      <w:pPr>
        <w:pStyle w:val="Corpo"/>
        <w:rPr>
          <w:rFonts w:hint="eastAsia"/>
          <w:b/>
          <w:i/>
          <w:color w:val="404040" w:themeColor="text1" w:themeTint="BF"/>
        </w:rPr>
      </w:pPr>
    </w:p>
    <w:p w14:paraId="35894F14" w14:textId="77777777" w:rsidR="00CD65C2" w:rsidRDefault="00CD65C2">
      <w:pPr>
        <w:pStyle w:val="Corpo"/>
        <w:rPr>
          <w:rFonts w:hint="eastAsia"/>
          <w:b/>
          <w:i/>
          <w:color w:val="404040" w:themeColor="text1" w:themeTint="BF"/>
        </w:rPr>
      </w:pPr>
    </w:p>
    <w:p w14:paraId="6FAB7CD1" w14:textId="77777777" w:rsidR="00CD65C2" w:rsidRDefault="00FA41FC">
      <w:pPr>
        <w:pStyle w:val="Corpo"/>
        <w:rPr>
          <w:rFonts w:hint="eastAsia"/>
          <w:b/>
          <w:i/>
          <w:color w:val="404040" w:themeColor="text1" w:themeTint="BF"/>
          <w:sz w:val="24"/>
        </w:rPr>
      </w:pPr>
      <w:r>
        <w:rPr>
          <w:b/>
          <w:i/>
          <w:color w:val="404040" w:themeColor="text1" w:themeTint="BF"/>
          <w:sz w:val="24"/>
        </w:rPr>
        <w:t xml:space="preserve">Melhora do Perfil Lipídico e Glicose em Mulheres na Pós-Menopausa </w:t>
      </w:r>
    </w:p>
    <w:p w14:paraId="20E053DD"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2772E682"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58FE1B87" w14:textId="77777777" w:rsidR="00CD65C2" w:rsidRDefault="00FA41FC">
            <w:pPr>
              <w:pStyle w:val="Corpo"/>
              <w:jc w:val="center"/>
              <w:rPr>
                <w:rFonts w:hint="eastAsia"/>
                <w:b/>
                <w:i/>
                <w:iCs/>
                <w:color w:val="FFFFFF" w:themeColor="background1"/>
              </w:rPr>
            </w:pPr>
            <w:r>
              <w:rPr>
                <w:b/>
                <w:color w:val="FFFFFF" w:themeColor="background1"/>
                <w:sz w:val="22"/>
              </w:rPr>
              <w:t xml:space="preserve">Cápsulas de </w:t>
            </w:r>
            <w:r>
              <w:rPr>
                <w:b/>
                <w:i/>
                <w:iCs/>
                <w:color w:val="FFFFFF" w:themeColor="background1"/>
                <w:sz w:val="22"/>
              </w:rPr>
              <w:t>Nigella sativa</w:t>
            </w:r>
          </w:p>
        </w:tc>
      </w:tr>
      <w:tr w:rsidR="00CD65C2" w14:paraId="2485CD7F"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E01C23E" w14:textId="77777777" w:rsidR="00CD65C2" w:rsidRDefault="00FA41FC">
            <w:pPr>
              <w:pStyle w:val="Corpo"/>
              <w:rPr>
                <w:rFonts w:hint="eastAsia"/>
                <w:color w:val="404040" w:themeColor="text1" w:themeTint="BF"/>
              </w:rPr>
            </w:pPr>
            <w:r>
              <w:rPr>
                <w:i/>
                <w:iCs/>
                <w:color w:val="404040" w:themeColor="text1" w:themeTint="BF"/>
              </w:rPr>
              <w:t>Nigella sativa</w:t>
            </w:r>
            <w:r>
              <w:rPr>
                <w:color w:val="404040" w:themeColor="text1" w:themeTint="BF"/>
              </w:rPr>
              <w:t>...................................500 mg</w:t>
            </w:r>
          </w:p>
        </w:tc>
      </w:tr>
      <w:tr w:rsidR="00CD65C2" w14:paraId="140DBA20"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C29361D" w14:textId="74121A7F" w:rsidR="00CD65C2" w:rsidRDefault="00FA41FC">
            <w:pPr>
              <w:pStyle w:val="Corpo"/>
              <w:rPr>
                <w:rFonts w:hint="eastAsia"/>
                <w:color w:val="404040" w:themeColor="text1" w:themeTint="BF"/>
              </w:rPr>
            </w:pPr>
            <w:r>
              <w:rPr>
                <w:color w:val="404040" w:themeColor="text1" w:themeTint="BF"/>
              </w:rPr>
              <w:t>Excipiente q.s.p. ........................1 Cápsula</w:t>
            </w:r>
          </w:p>
        </w:tc>
      </w:tr>
    </w:tbl>
    <w:p w14:paraId="6DAA0AF4" w14:textId="77777777" w:rsidR="00CD65C2" w:rsidRDefault="00FA41FC">
      <w:pPr>
        <w:pStyle w:val="Corpo"/>
        <w:ind w:right="4762"/>
        <w:jc w:val="center"/>
        <w:rPr>
          <w:rFonts w:hint="eastAsia"/>
          <w:color w:val="404040" w:themeColor="text1" w:themeTint="BF"/>
          <w:sz w:val="22"/>
          <w:szCs w:val="22"/>
        </w:rPr>
      </w:pPr>
      <w:r>
        <w:rPr>
          <w:color w:val="404040" w:themeColor="text1" w:themeTint="BF"/>
          <w:sz w:val="22"/>
          <w:szCs w:val="22"/>
        </w:rPr>
        <w:t>Administrar 1 cápsula ao dia ou conforme orientação médica.</w:t>
      </w:r>
    </w:p>
    <w:p w14:paraId="2F732EB9" w14:textId="77777777" w:rsidR="00CD65C2" w:rsidRDefault="00CD65C2">
      <w:pPr>
        <w:pStyle w:val="SemEspaamento"/>
      </w:pPr>
    </w:p>
    <w:p w14:paraId="70D44140" w14:textId="77777777" w:rsidR="00CD65C2" w:rsidRDefault="00CD65C2">
      <w:pPr>
        <w:pStyle w:val="SemEspaamento"/>
      </w:pPr>
    </w:p>
    <w:p w14:paraId="19D8307C" w14:textId="77777777" w:rsidR="00CD65C2" w:rsidRDefault="00CD65C2">
      <w:pPr>
        <w:pStyle w:val="SemEspaamento"/>
      </w:pPr>
    </w:p>
    <w:p w14:paraId="15C8BED2" w14:textId="77777777" w:rsidR="00CD65C2" w:rsidRDefault="00CD65C2">
      <w:pPr>
        <w:pStyle w:val="SemEspaamento"/>
      </w:pPr>
    </w:p>
    <w:p w14:paraId="514D337D" w14:textId="77777777" w:rsidR="00CD65C2" w:rsidRDefault="00CD65C2">
      <w:pPr>
        <w:pStyle w:val="SemEspaamento"/>
      </w:pPr>
    </w:p>
    <w:p w14:paraId="19BD1AE7" w14:textId="77777777" w:rsidR="00CD65C2" w:rsidRDefault="00CD65C2">
      <w:pPr>
        <w:pStyle w:val="SemEspaamento"/>
      </w:pPr>
    </w:p>
    <w:p w14:paraId="06BDD741" w14:textId="77777777" w:rsidR="00CD65C2" w:rsidRDefault="00CD65C2">
      <w:pPr>
        <w:pStyle w:val="SemEspaamento"/>
      </w:pPr>
    </w:p>
    <w:p w14:paraId="3BF78918" w14:textId="77777777" w:rsidR="00CD65C2" w:rsidRDefault="00CD65C2">
      <w:pPr>
        <w:pStyle w:val="SemEspaamento"/>
      </w:pPr>
    </w:p>
    <w:p w14:paraId="22532534" w14:textId="77777777" w:rsidR="00CD65C2" w:rsidRDefault="00CD65C2">
      <w:pPr>
        <w:pStyle w:val="SemEspaamento"/>
      </w:pPr>
    </w:p>
    <w:p w14:paraId="6AC6FA4E" w14:textId="77777777" w:rsidR="00CD65C2" w:rsidRDefault="00CD65C2">
      <w:pPr>
        <w:pStyle w:val="SemEspaamento"/>
      </w:pPr>
    </w:p>
    <w:p w14:paraId="6E7D67F0" w14:textId="77777777" w:rsidR="00CD65C2" w:rsidRDefault="00CD65C2">
      <w:pPr>
        <w:pStyle w:val="SemEspaamento"/>
      </w:pPr>
    </w:p>
    <w:p w14:paraId="5C0947B7" w14:textId="77777777" w:rsidR="00CD65C2" w:rsidRDefault="00CD65C2">
      <w:pPr>
        <w:pStyle w:val="SemEspaamento"/>
      </w:pPr>
    </w:p>
    <w:p w14:paraId="6B11161D" w14:textId="77777777" w:rsidR="00CD65C2" w:rsidRDefault="00CD65C2">
      <w:pPr>
        <w:pStyle w:val="SemEspaamento"/>
      </w:pPr>
    </w:p>
    <w:p w14:paraId="098A4030" w14:textId="77777777" w:rsidR="00CD65C2" w:rsidRDefault="00CD65C2">
      <w:pPr>
        <w:pStyle w:val="SemEspaamento"/>
      </w:pPr>
    </w:p>
    <w:p w14:paraId="17CD2969" w14:textId="77777777" w:rsidR="00CD65C2" w:rsidRDefault="00CD65C2">
      <w:pPr>
        <w:pStyle w:val="SemEspaamento"/>
      </w:pPr>
    </w:p>
    <w:p w14:paraId="34BA6EEC" w14:textId="77777777" w:rsidR="00CD65C2" w:rsidRDefault="00CD65C2">
      <w:pPr>
        <w:pStyle w:val="SemEspaamento"/>
      </w:pPr>
    </w:p>
    <w:p w14:paraId="6F3E1C0A" w14:textId="77777777" w:rsidR="00CD65C2" w:rsidRDefault="00CD65C2">
      <w:pPr>
        <w:pStyle w:val="SemEspaamento"/>
      </w:pPr>
    </w:p>
    <w:p w14:paraId="3CC69056" w14:textId="77777777" w:rsidR="00CD65C2" w:rsidRDefault="00CD65C2">
      <w:pPr>
        <w:pStyle w:val="SemEspaamento"/>
      </w:pPr>
    </w:p>
    <w:p w14:paraId="289C11E1" w14:textId="77777777" w:rsidR="00CD65C2" w:rsidRDefault="00CD65C2">
      <w:pPr>
        <w:pStyle w:val="SemEspaamento"/>
      </w:pPr>
    </w:p>
    <w:p w14:paraId="0666A807" w14:textId="77777777" w:rsidR="00CD65C2" w:rsidRDefault="00CD65C2">
      <w:pPr>
        <w:pStyle w:val="SemEspaamento"/>
      </w:pPr>
    </w:p>
    <w:p w14:paraId="2B48CC5E" w14:textId="77777777" w:rsidR="00CD65C2" w:rsidRDefault="00CD65C2">
      <w:pPr>
        <w:pStyle w:val="SemEspaamento"/>
      </w:pPr>
    </w:p>
    <w:p w14:paraId="22D4F1FD" w14:textId="77777777" w:rsidR="00CD65C2" w:rsidRDefault="00CD65C2">
      <w:pPr>
        <w:pStyle w:val="SemEspaamento"/>
      </w:pPr>
    </w:p>
    <w:p w14:paraId="5E544775" w14:textId="77777777" w:rsidR="00CD65C2" w:rsidRDefault="00CD65C2">
      <w:pPr>
        <w:pStyle w:val="SemEspaamento"/>
      </w:pPr>
    </w:p>
    <w:p w14:paraId="62463775" w14:textId="77777777" w:rsidR="00CD65C2" w:rsidRDefault="00CD65C2">
      <w:pPr>
        <w:pStyle w:val="SemEspaamento"/>
      </w:pPr>
    </w:p>
    <w:p w14:paraId="3ACA692F" w14:textId="77777777" w:rsidR="00CD65C2" w:rsidRDefault="00CD65C2">
      <w:pPr>
        <w:pStyle w:val="SemEspaamento"/>
      </w:pPr>
    </w:p>
    <w:p w14:paraId="0231F636" w14:textId="77777777" w:rsidR="00CD65C2" w:rsidRDefault="00CD65C2">
      <w:pPr>
        <w:pStyle w:val="SemEspaamento"/>
      </w:pPr>
    </w:p>
    <w:p w14:paraId="51BF29B1" w14:textId="77777777" w:rsidR="00CD65C2" w:rsidRDefault="00CD65C2">
      <w:pPr>
        <w:pStyle w:val="SemEspaamento"/>
      </w:pPr>
    </w:p>
    <w:p w14:paraId="2DAF4E5C" w14:textId="77777777" w:rsidR="00CD65C2" w:rsidRDefault="00CD65C2">
      <w:pPr>
        <w:pStyle w:val="SemEspaamento"/>
      </w:pPr>
    </w:p>
    <w:p w14:paraId="395DEED9" w14:textId="77777777" w:rsidR="00CD65C2" w:rsidRDefault="00CD65C2">
      <w:pPr>
        <w:pStyle w:val="SemEspaamento"/>
      </w:pPr>
    </w:p>
    <w:p w14:paraId="63A0C2FC" w14:textId="77777777" w:rsidR="00CD65C2" w:rsidRDefault="00CD65C2">
      <w:pPr>
        <w:pStyle w:val="SemEspaamento"/>
      </w:pPr>
    </w:p>
    <w:p w14:paraId="29653AAE" w14:textId="77777777" w:rsidR="00CD65C2" w:rsidRDefault="00CD65C2">
      <w:pPr>
        <w:pStyle w:val="SemEspaamento"/>
      </w:pPr>
    </w:p>
    <w:p w14:paraId="2B88E5BA" w14:textId="77777777" w:rsidR="00CD65C2" w:rsidRDefault="00CD65C2">
      <w:pPr>
        <w:pStyle w:val="SemEspaamento"/>
      </w:pPr>
    </w:p>
    <w:p w14:paraId="3DE1D31B" w14:textId="77777777" w:rsidR="00CD65C2" w:rsidRDefault="00FA41FC">
      <w:pPr>
        <w:pStyle w:val="Ttulo1"/>
        <w:jc w:val="center"/>
        <w:rPr>
          <w:rFonts w:hint="eastAsia"/>
        </w:rPr>
      </w:pPr>
      <w:bookmarkStart w:id="84" w:name="_Toc165537234"/>
      <w:r>
        <w:rPr>
          <w:bCs/>
          <w:i/>
          <w:iCs/>
        </w:rPr>
        <w:t>Black Rice</w:t>
      </w:r>
      <w:bookmarkEnd w:id="84"/>
    </w:p>
    <w:p w14:paraId="1B6C980A" w14:textId="77777777" w:rsidR="00CD65C2" w:rsidRPr="00D1428E" w:rsidRDefault="00FA41FC">
      <w:pPr>
        <w:pStyle w:val="Corpo"/>
        <w:spacing w:after="120"/>
        <w:jc w:val="center"/>
        <w:rPr>
          <w:rFonts w:hint="eastAsia"/>
          <w:b/>
          <w:bCs/>
          <w:color w:val="0070C0"/>
          <w:sz w:val="40"/>
        </w:rPr>
      </w:pPr>
      <w:r w:rsidRPr="00D1428E">
        <w:rPr>
          <w:b/>
          <w:bCs/>
          <w:color w:val="0070C0"/>
          <w:sz w:val="40"/>
        </w:rPr>
        <w:t>Reduz o Acúmulo de Gordura em Mulheres na Pós-menopausa</w:t>
      </w:r>
    </w:p>
    <w:p w14:paraId="30117A52" w14:textId="77777777" w:rsidR="00CD65C2" w:rsidRDefault="00CD65C2">
      <w:pPr>
        <w:pStyle w:val="Corpo"/>
        <w:spacing w:after="120"/>
        <w:rPr>
          <w:rFonts w:hint="eastAsia"/>
          <w:color w:val="404040" w:themeColor="text1" w:themeTint="BF"/>
          <w:sz w:val="24"/>
        </w:rPr>
      </w:pPr>
    </w:p>
    <w:p w14:paraId="298E6898" w14:textId="77777777" w:rsidR="00CD65C2" w:rsidRDefault="00CD65C2">
      <w:pPr>
        <w:pStyle w:val="Corpo"/>
        <w:spacing w:line="276" w:lineRule="auto"/>
        <w:rPr>
          <w:rFonts w:hint="eastAsia"/>
          <w:color w:val="404040" w:themeColor="text1" w:themeTint="BF"/>
          <w:szCs w:val="23"/>
        </w:rPr>
      </w:pPr>
    </w:p>
    <w:p w14:paraId="574F49A9" w14:textId="77777777" w:rsidR="00CD65C2" w:rsidRDefault="00FA41FC">
      <w:pPr>
        <w:pStyle w:val="Subtitulocorpo"/>
        <w:spacing w:line="276" w:lineRule="auto"/>
        <w:jc w:val="both"/>
        <w:rPr>
          <w:rFonts w:hint="eastAsia"/>
          <w:b w:val="0"/>
          <w:color w:val="404040" w:themeColor="text1" w:themeTint="BF"/>
          <w:sz w:val="24"/>
          <w:szCs w:val="24"/>
        </w:rPr>
      </w:pPr>
      <w:r>
        <w:rPr>
          <w:b w:val="0"/>
          <w:color w:val="404040" w:themeColor="text1" w:themeTint="BF"/>
          <w:sz w:val="24"/>
          <w:szCs w:val="24"/>
        </w:rPr>
        <w:t xml:space="preserve">Este estudo randomizado, duplo-cego e placebo-controlado teve como objetivo avaliar os efeitos do </w:t>
      </w:r>
      <w:r>
        <w:rPr>
          <w:b w:val="0"/>
          <w:i/>
          <w:iCs/>
          <w:color w:val="404040" w:themeColor="text1" w:themeTint="BF"/>
          <w:sz w:val="24"/>
          <w:szCs w:val="24"/>
        </w:rPr>
        <w:t>Black rice</w:t>
      </w:r>
      <w:r>
        <w:rPr>
          <w:b w:val="0"/>
          <w:color w:val="404040" w:themeColor="text1" w:themeTint="BF"/>
          <w:sz w:val="24"/>
          <w:szCs w:val="24"/>
        </w:rPr>
        <w:t xml:space="preserve"> em mulheres obesas na pós-menopausa </w:t>
      </w:r>
      <w:r>
        <w:rPr>
          <w:b w:val="0"/>
          <w:color w:val="404040" w:themeColor="text1" w:themeTint="BF"/>
          <w:sz w:val="24"/>
          <w:szCs w:val="24"/>
        </w:rPr>
        <w:fldChar w:fldCharType="begin"/>
      </w:r>
      <w:r>
        <w:rPr>
          <w:b w:val="0"/>
          <w:color w:val="404040" w:themeColor="text1" w:themeTint="BF"/>
          <w:sz w:val="24"/>
          <w:szCs w:val="24"/>
        </w:rPr>
        <w:instrText xml:space="preserve"> ADDIN EN.CITE &lt;EndNote&gt;&lt;Cite&gt;&lt;Author&gt;Jung&lt;/Author&gt;&lt;Year&gt;2021&lt;/Year&gt;&lt;IDText&gt;Efficacy of black rice extract on obesity in obese postmenopausal women: a 12-week randomized, double-blind, placebo-controlled preliminary clinical trial&lt;/IDText&gt;&lt;DisplayText&gt;(JUNG; SHARMA; LEE; LEE&lt;style face="italic"&gt; et al.&lt;/style&gt;, 2021)&lt;/DisplayText&gt;&lt;record&gt;&lt;dates&gt;&lt;pub-dates&gt;&lt;date&gt;Sep 20&lt;/date&gt;&lt;/pub-dates&gt;&lt;year&gt;2021&lt;/year&gt;&lt;/dates&gt;&lt;isbn&gt;1072-3714&lt;/isbn&gt;&lt;custom1&gt;Financial disclosures/conflicts of interest: None reported.&lt;/custom1&gt;&lt;titles&gt;&lt;title&gt;Efficacy of black rice extract on obesity in obese postmenopausal women: a 12-week randomized, double-blind, placebo-controlled preliminary clinical trial&lt;/title&gt;&lt;secondary-title&gt;Menopause&lt;/secondary-title&gt;&lt;/titles&gt;&lt;contributors&gt;&lt;authors&gt;&lt;author&gt;Jung, A. J.&lt;/author&gt;&lt;author&gt;Sharma, A.&lt;/author&gt;&lt;author&gt;Lee, S. H.&lt;/author&gt;&lt;author&gt;Lee, S. J.&lt;/author&gt;&lt;author&gt;Kim, J. H.&lt;/author&gt;&lt;author&gt;Lee, H. J.&lt;/author&gt;&lt;/authors&gt;&lt;/contributors&gt;&lt;edition&gt;20210920&lt;/edition&gt;&lt;language&gt;eng&lt;/language&gt;&lt;added-date format="utc"&gt;1636463757&lt;/added-date&gt;&lt;ref-type name="Journal Article"&gt;17&lt;/ref-type&gt;&lt;auth-address&gt;Institute for Aging and Clinical Nutrition Research, Gachon University, Seongnam-si, Gyeonggi-do, Korea Department of Food and Nutrition, Gachon University, Seongnam-si, Gyeonggi-do, Korea National Institute of Agricultural Sciences, Rural Department Administration, Wanju, Jeonbuk, Korea Department of Biotechnology, School of Life Sciences, Korea University, Seoul, Korea Department of Family Medicine, Nowon Eulji Medical Center, Eulji University, Seoul, Korea.&lt;/auth-address&gt;&lt;remote-database-provider&gt;NLM&lt;/remote-database-provider&gt;&lt;rec-number&gt;2079&lt;/rec-number&gt;&lt;last-updated-date format="utc"&gt;1636463757&lt;/last-updated-date&gt;&lt;accession-num&gt;34547006&lt;/accession-num&gt;&lt;electronic-resource-num&gt;10.1097/gme.0000000000001862&lt;/electronic-resource-num&gt;&lt;/record&gt;&lt;/Cite&gt;&lt;/EndNote&gt;</w:instrText>
      </w:r>
      <w:r>
        <w:rPr>
          <w:b w:val="0"/>
          <w:color w:val="404040" w:themeColor="text1" w:themeTint="BF"/>
          <w:sz w:val="24"/>
          <w:szCs w:val="24"/>
        </w:rPr>
        <w:fldChar w:fldCharType="separate"/>
      </w:r>
      <w:r>
        <w:rPr>
          <w:b w:val="0"/>
          <w:color w:val="404040" w:themeColor="text1" w:themeTint="BF"/>
          <w:sz w:val="24"/>
          <w:szCs w:val="24"/>
        </w:rPr>
        <w:t>(JUNG; SHARMA; LEE; LEE</w:t>
      </w:r>
      <w:r>
        <w:rPr>
          <w:b w:val="0"/>
          <w:i/>
          <w:color w:val="404040" w:themeColor="text1" w:themeTint="BF"/>
          <w:sz w:val="24"/>
          <w:szCs w:val="24"/>
        </w:rPr>
        <w:t xml:space="preserve"> et al.</w:t>
      </w:r>
      <w:r>
        <w:rPr>
          <w:b w:val="0"/>
          <w:color w:val="404040" w:themeColor="text1" w:themeTint="BF"/>
          <w:sz w:val="24"/>
          <w:szCs w:val="24"/>
        </w:rPr>
        <w:t>, 2021)</w:t>
      </w:r>
      <w:r>
        <w:rPr>
          <w:b w:val="0"/>
          <w:color w:val="404040" w:themeColor="text1" w:themeTint="BF"/>
          <w:sz w:val="24"/>
          <w:szCs w:val="24"/>
        </w:rPr>
        <w:fldChar w:fldCharType="end"/>
      </w:r>
      <w:r>
        <w:rPr>
          <w:b w:val="0"/>
          <w:color w:val="404040" w:themeColor="text1" w:themeTint="BF"/>
          <w:sz w:val="24"/>
          <w:szCs w:val="24"/>
        </w:rPr>
        <w:t>.</w:t>
      </w:r>
    </w:p>
    <w:p w14:paraId="17C9CC50"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31296" behindDoc="0" locked="0" layoutInCell="1" allowOverlap="1">
                <wp:simplePos x="0" y="0"/>
                <wp:positionH relativeFrom="margin">
                  <wp:posOffset>0</wp:posOffset>
                </wp:positionH>
                <wp:positionV relativeFrom="paragraph">
                  <wp:posOffset>151130</wp:posOffset>
                </wp:positionV>
                <wp:extent cx="5735955" cy="621030"/>
                <wp:effectExtent l="4445" t="5080" r="12700" b="8890"/>
                <wp:wrapNone/>
                <wp:docPr id="739657720" name="Caixa de texto 739657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781" cy="621030"/>
                        </a:xfrm>
                        <a:prstGeom prst="rect">
                          <a:avLst/>
                        </a:prstGeom>
                        <a:solidFill>
                          <a:schemeClr val="bg1">
                            <a:lumMod val="100000"/>
                            <a:lumOff val="0"/>
                          </a:schemeClr>
                        </a:solidFill>
                        <a:ln w="9525">
                          <a:solidFill>
                            <a:srgbClr val="0070C0"/>
                          </a:solidFill>
                          <a:miter lim="800000"/>
                        </a:ln>
                      </wps:spPr>
                      <wps:txbx>
                        <w:txbxContent>
                          <w:p w14:paraId="138D9D56" w14:textId="77777777" w:rsidR="00FA41FC" w:rsidRDefault="00FA41FC">
                            <w:pPr>
                              <w:spacing w:line="276" w:lineRule="auto"/>
                              <w:jc w:val="center"/>
                              <w:rPr>
                                <w:rFonts w:ascii="Swis721 Th BT" w:hAnsi="Swis721 Th BT"/>
                                <w:sz w:val="23"/>
                                <w:szCs w:val="23"/>
                              </w:rPr>
                            </w:pPr>
                            <w:r>
                              <w:rPr>
                                <w:rFonts w:ascii="Swis721 Th BT" w:hAnsi="Swis721 Th BT"/>
                                <w:sz w:val="23"/>
                                <w:szCs w:val="23"/>
                              </w:rPr>
                              <w:t>Para isso, 80 mulheres na pós-menopausa, que haviam parado de menstruar por mais de um ano, foram selecionadas para receberem:</w:t>
                            </w:r>
                          </w:p>
                          <w:p w14:paraId="3AD9BA18"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720" o:spid="_x0000_s1133" type="#_x0000_t202" style="position:absolute;left:0;text-align:left;margin-left:0;margin-top:11.9pt;width:451.65pt;height:48.9pt;z-index:2518312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" fillcolor="white [3212]" strokecolor="#0070c0">
                <v:textbox>
                  <w:txbxContent>
                    <w:p w14:paraId="138D9D56" w14:textId="77777777" w:rsidR="00FA41FC" w:rsidRDefault="00FA41FC">
                      <w:pPr>
                        <w:spacing w:line="276" w:lineRule="auto"/>
                        <w:jc w:val="center"/>
                        <w:rPr>
                          <w:rFonts w:ascii="Swis721 Th BT" w:hAnsi="Swis721 Th BT"/>
                          <w:sz w:val="23"/>
                          <w:szCs w:val="23"/>
                        </w:rPr>
                      </w:pPr>
                      <w:r>
                        <w:rPr>
                          <w:rFonts w:ascii="Swis721 Th BT" w:hAnsi="Swis721 Th BT"/>
                          <w:sz w:val="23"/>
                          <w:szCs w:val="23"/>
                        </w:rPr>
                        <w:t>Para isso, 80 mulheres na pós-menopausa, que haviam parado de menstruar por mais de um ano, foram selecionadas para receberem:</w:t>
                      </w:r>
                    </w:p>
                    <w:p w14:paraId="3AD9BA18"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4DC4F9FE" w14:textId="77777777" w:rsidR="00CD65C2" w:rsidRDefault="00CD65C2">
      <w:pPr>
        <w:pStyle w:val="Corpo"/>
        <w:rPr>
          <w:rFonts w:hint="eastAsia"/>
          <w:color w:val="404040" w:themeColor="text1" w:themeTint="BF"/>
        </w:rPr>
      </w:pPr>
    </w:p>
    <w:p w14:paraId="18B765DC" w14:textId="77777777" w:rsidR="00CD65C2" w:rsidRDefault="00CD65C2">
      <w:pPr>
        <w:pStyle w:val="Corpo"/>
        <w:rPr>
          <w:rFonts w:hint="eastAsia"/>
          <w:color w:val="404040" w:themeColor="text1" w:themeTint="BF"/>
        </w:rPr>
      </w:pPr>
    </w:p>
    <w:p w14:paraId="4ECB6191" w14:textId="77777777" w:rsidR="00CD65C2" w:rsidRDefault="00CD65C2">
      <w:pPr>
        <w:pStyle w:val="Corpo"/>
        <w:rPr>
          <w:rFonts w:hint="eastAsia"/>
          <w:color w:val="404040" w:themeColor="text1" w:themeTint="BF"/>
        </w:rPr>
      </w:pPr>
    </w:p>
    <w:p w14:paraId="6B6ADDCD"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828224" behindDoc="0" locked="0" layoutInCell="1" allowOverlap="1">
                <wp:simplePos x="0" y="0"/>
                <wp:positionH relativeFrom="column">
                  <wp:posOffset>4653280</wp:posOffset>
                </wp:positionH>
                <wp:positionV relativeFrom="paragraph">
                  <wp:posOffset>12700</wp:posOffset>
                </wp:positionV>
                <wp:extent cx="226695" cy="138430"/>
                <wp:effectExtent l="0" t="0" r="1905" b="0"/>
                <wp:wrapNone/>
                <wp:docPr id="739657721" name="Triângulo isósceles 739657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721" o:spid="_x0000_s1026" o:spt="5" type="#_x0000_t5" style="position:absolute;left:0pt;flip:y;margin-left:366.4pt;margin-top:1pt;height:10.9pt;width:17.85pt;z-index:251828224;mso-width-relative:page;mso-height-relative:page;" fillcolor="#D9D9D9 [3212]" filled="t" stroked="f" coordsize="21600,21600" o:gfxdata="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Bs0SFXWAAAACAEAAA8AAAAAAAAAAQAgAAAAIgAAAGRycy9kb3ducmV2LnhtbFBLAQIUABQAAAAI&#10;AIdO4kDSMO/sYQIAALMEAAAOAAAAAAAAAAEAIAAAACUBAABkcnMvZTJvRG9jLnhtbFBLBQYAAAAA&#10;BgAGAFkBAAD4BQ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829248" behindDoc="0" locked="0" layoutInCell="1" allowOverlap="1">
                <wp:simplePos x="0" y="0"/>
                <wp:positionH relativeFrom="column">
                  <wp:posOffset>834390</wp:posOffset>
                </wp:positionH>
                <wp:positionV relativeFrom="paragraph">
                  <wp:posOffset>1270</wp:posOffset>
                </wp:positionV>
                <wp:extent cx="226695" cy="138430"/>
                <wp:effectExtent l="0" t="0" r="1905" b="0"/>
                <wp:wrapNone/>
                <wp:docPr id="739657722" name="Triângulo isósceles 7396577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722" o:spid="_x0000_s1026" o:spt="5" type="#_x0000_t5" style="position:absolute;left:0pt;flip:y;margin-left:65.7pt;margin-top:0.1pt;height:10.9pt;width:17.85pt;z-index:251829248;mso-width-relative:page;mso-height-relative:page;" fillcolor="#D9D9D9 [3212]" filled="t" stroked="f" coordsize="21600,21600" o:gfxdata="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TF&#10;fVTTAAAABwEAAA8AAAAAAAAAAQAgAAAAIgAAAGRycy9kb3ducmV2LnhtbFBLAQIUABQAAAAIAIdO&#10;4kAqwucnYQIAALMEAAAOAAAAAAAAAAEAIAAAACIBAABkcnMvZTJvRG9jLnhtbFBLBQYAAAAABgAG&#10;AFkBAAD1BQAAAAA=&#10;" adj="10800">
                <v:fill on="t" focussize="0,0"/>
                <v:stroke on="f"/>
                <v:imagedata o:title=""/>
                <o:lock v:ext="edit" aspectratio="f"/>
              </v:shape>
            </w:pict>
          </mc:Fallback>
        </mc:AlternateContent>
      </w:r>
    </w:p>
    <w:p w14:paraId="7DCBF169"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830272" behindDoc="0" locked="0" layoutInCell="1" allowOverlap="1">
                <wp:simplePos x="0" y="0"/>
                <wp:positionH relativeFrom="column">
                  <wp:posOffset>3827780</wp:posOffset>
                </wp:positionH>
                <wp:positionV relativeFrom="paragraph">
                  <wp:posOffset>90805</wp:posOffset>
                </wp:positionV>
                <wp:extent cx="1905000" cy="835025"/>
                <wp:effectExtent l="4445" t="4445" r="8255" b="11430"/>
                <wp:wrapNone/>
                <wp:docPr id="739657723" name="Caixa de texto 739657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835025"/>
                        </a:xfrm>
                        <a:prstGeom prst="rect">
                          <a:avLst/>
                        </a:prstGeom>
                        <a:solidFill>
                          <a:srgbClr val="0070C0"/>
                        </a:solidFill>
                        <a:ln w="9525">
                          <a:solidFill>
                            <a:srgbClr val="0070C0"/>
                          </a:solidFill>
                          <a:miter lim="800000"/>
                        </a:ln>
                      </wps:spPr>
                      <wps:txbx>
                        <w:txbxContent>
                          <w:p w14:paraId="3AEF23A2"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336C32A" w14:textId="77777777" w:rsidR="00FA41FC" w:rsidRDefault="00FA41FC">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66E9D668" w14:textId="77777777" w:rsidR="00FA41FC" w:rsidRDefault="00FA41FC">
                            <w:pPr>
                              <w:spacing w:after="0" w:line="240" w:lineRule="auto"/>
                              <w:jc w:val="center"/>
                              <w:rPr>
                                <w:rFonts w:ascii="Swis721 Th BT" w:hAnsi="Swis721 Th BT"/>
                                <w:b/>
                                <w:color w:val="FFFFFF" w:themeColor="background1"/>
                                <w:sz w:val="12"/>
                                <w:szCs w:val="12"/>
                              </w:rPr>
                            </w:pPr>
                          </w:p>
                          <w:p w14:paraId="33D33DCF" w14:textId="77777777" w:rsidR="00FA41FC" w:rsidRDefault="00FA41FC">
                            <w:pPr>
                              <w:spacing w:after="0" w:line="240" w:lineRule="auto"/>
                              <w:jc w:val="center"/>
                              <w:rPr>
                                <w:rFonts w:ascii="Swis721 Th BT" w:hAnsi="Swis721 Th BT"/>
                                <w:b/>
                                <w:color w:val="FFFFFF" w:themeColor="background1"/>
                                <w:sz w:val="23"/>
                                <w:szCs w:val="23"/>
                              </w:rPr>
                            </w:pPr>
                          </w:p>
                          <w:p w14:paraId="49F6F980" w14:textId="77777777" w:rsidR="00FA41FC" w:rsidRDefault="00FA41FC">
                            <w:pPr>
                              <w:spacing w:after="0" w:line="240" w:lineRule="auto"/>
                              <w:jc w:val="center"/>
                              <w:rPr>
                                <w:rFonts w:ascii="Swis721 Th BT" w:hAnsi="Swis721 Th BT"/>
                                <w:b/>
                                <w:color w:val="FFFFFF" w:themeColor="background1"/>
                                <w:sz w:val="12"/>
                                <w:szCs w:val="12"/>
                              </w:rPr>
                            </w:pPr>
                          </w:p>
                          <w:p w14:paraId="22CE9265" w14:textId="77777777" w:rsidR="00FA41FC" w:rsidRDefault="00FA41FC"/>
                        </w:txbxContent>
                      </wps:txbx>
                      <wps:bodyPr rot="0" vert="horz" wrap="square" lIns="91440" tIns="45720" rIns="91440" bIns="45720" anchor="t" anchorCtr="0" upright="1">
                        <a:noAutofit/>
                      </wps:bodyPr>
                    </wps:wsp>
                  </a:graphicData>
                </a:graphic>
              </wp:anchor>
            </w:drawing>
          </mc:Choice>
          <mc:Fallback>
            <w:pict>
              <v:shape id="Caixa de texto 739657723" o:spid="_x0000_s1134" type="#_x0000_t202" style="position:absolute;left:0;text-align:left;margin-left:301.4pt;margin-top:7.15pt;width:150pt;height:65.75pt;z-index:251830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" fillcolor="#0070c0" strokecolor="#0070c0">
                <v:textbox>
                  <w:txbxContent>
                    <w:p w14:paraId="3AEF23A2"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336C32A" w14:textId="77777777" w:rsidR="00FA41FC" w:rsidRDefault="00FA41FC">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66E9D668" w14:textId="77777777" w:rsidR="00FA41FC" w:rsidRDefault="00FA41FC">
                      <w:pPr>
                        <w:spacing w:after="0" w:line="240" w:lineRule="auto"/>
                        <w:jc w:val="center"/>
                        <w:rPr>
                          <w:rFonts w:ascii="Swis721 Th BT" w:hAnsi="Swis721 Th BT"/>
                          <w:b/>
                          <w:color w:val="FFFFFF" w:themeColor="background1"/>
                          <w:sz w:val="12"/>
                          <w:szCs w:val="12"/>
                        </w:rPr>
                      </w:pPr>
                    </w:p>
                    <w:p w14:paraId="33D33DCF" w14:textId="77777777" w:rsidR="00FA41FC" w:rsidRDefault="00FA41FC">
                      <w:pPr>
                        <w:spacing w:after="0" w:line="240" w:lineRule="auto"/>
                        <w:jc w:val="center"/>
                        <w:rPr>
                          <w:rFonts w:ascii="Swis721 Th BT" w:hAnsi="Swis721 Th BT"/>
                          <w:b/>
                          <w:color w:val="FFFFFF" w:themeColor="background1"/>
                          <w:sz w:val="23"/>
                          <w:szCs w:val="23"/>
                        </w:rPr>
                      </w:pPr>
                    </w:p>
                    <w:p w14:paraId="49F6F980" w14:textId="77777777" w:rsidR="00FA41FC" w:rsidRDefault="00FA41FC">
                      <w:pPr>
                        <w:spacing w:after="0" w:line="240" w:lineRule="auto"/>
                        <w:jc w:val="center"/>
                        <w:rPr>
                          <w:rFonts w:ascii="Swis721 Th BT" w:hAnsi="Swis721 Th BT"/>
                          <w:b/>
                          <w:color w:val="FFFFFF" w:themeColor="background1"/>
                          <w:sz w:val="12"/>
                          <w:szCs w:val="12"/>
                        </w:rPr>
                      </w:pPr>
                    </w:p>
                    <w:p w14:paraId="22CE9265" w14:textId="77777777" w:rsidR="00FA41FC" w:rsidRDefault="00FA41FC"/>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827200" behindDoc="0" locked="0" layoutInCell="1" allowOverlap="1">
                <wp:simplePos x="0" y="0"/>
                <wp:positionH relativeFrom="column">
                  <wp:posOffset>0</wp:posOffset>
                </wp:positionH>
                <wp:positionV relativeFrom="paragraph">
                  <wp:posOffset>79375</wp:posOffset>
                </wp:positionV>
                <wp:extent cx="1913890" cy="844550"/>
                <wp:effectExtent l="4445" t="5080" r="12065" b="13970"/>
                <wp:wrapNone/>
                <wp:docPr id="739657724" name="Caixa de texto 7396577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844550"/>
                        </a:xfrm>
                        <a:prstGeom prst="rect">
                          <a:avLst/>
                        </a:prstGeom>
                        <a:solidFill>
                          <a:srgbClr val="0070C0"/>
                        </a:solidFill>
                        <a:ln w="9525">
                          <a:solidFill>
                            <a:srgbClr val="0070C0"/>
                          </a:solidFill>
                          <a:miter lim="800000"/>
                        </a:ln>
                      </wps:spPr>
                      <wps:txbx>
                        <w:txbxContent>
                          <w:p w14:paraId="579AAF47"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i/>
                                <w:iCs/>
                                <w:color w:val="FFFFFF" w:themeColor="background1"/>
                                <w:sz w:val="23"/>
                                <w:szCs w:val="23"/>
                              </w:rPr>
                              <w:t>Black rice</w:t>
                            </w:r>
                          </w:p>
                          <w:p w14:paraId="64430A69"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Cs/>
                                <w:color w:val="FFFFFF" w:themeColor="background1"/>
                                <w:sz w:val="23"/>
                                <w:szCs w:val="23"/>
                              </w:rPr>
                              <w:t>1 g ao dia</w:t>
                            </w:r>
                          </w:p>
                          <w:p w14:paraId="7AF35341"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739657724" o:spid="_x0000_s1135" type="#_x0000_t202" style="position:absolute;left:0;text-align:left;margin-left:0;margin-top:6.25pt;width:150.7pt;height:66.5pt;z-index:251827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" fillcolor="#0070c0" strokecolor="#0070c0">
                <v:textbox>
                  <w:txbxContent>
                    <w:p w14:paraId="579AAF47"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i/>
                          <w:iCs/>
                          <w:color w:val="FFFFFF" w:themeColor="background1"/>
                          <w:sz w:val="23"/>
                          <w:szCs w:val="23"/>
                        </w:rPr>
                        <w:t>Black rice</w:t>
                      </w:r>
                    </w:p>
                    <w:p w14:paraId="64430A69"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Cs/>
                          <w:color w:val="FFFFFF" w:themeColor="background1"/>
                          <w:sz w:val="23"/>
                          <w:szCs w:val="23"/>
                        </w:rPr>
                        <w:t>1 g ao dia</w:t>
                      </w:r>
                    </w:p>
                    <w:p w14:paraId="7AF35341"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p>
    <w:p w14:paraId="63CDE124" w14:textId="77777777" w:rsidR="00CD65C2" w:rsidRDefault="00CD65C2">
      <w:pPr>
        <w:pStyle w:val="Corpo"/>
        <w:rPr>
          <w:rFonts w:hint="eastAsia"/>
          <w:color w:val="404040" w:themeColor="text1" w:themeTint="BF"/>
        </w:rPr>
      </w:pPr>
    </w:p>
    <w:p w14:paraId="6C431E15" w14:textId="77777777" w:rsidR="00CD65C2" w:rsidRDefault="00CD65C2">
      <w:pPr>
        <w:pStyle w:val="Corpo"/>
        <w:rPr>
          <w:rFonts w:hint="eastAsia"/>
          <w:color w:val="404040" w:themeColor="text1" w:themeTint="BF"/>
        </w:rPr>
      </w:pPr>
    </w:p>
    <w:p w14:paraId="65E5FD12" w14:textId="77777777" w:rsidR="00CD65C2" w:rsidRDefault="00CD65C2">
      <w:pPr>
        <w:pStyle w:val="Corpo"/>
        <w:rPr>
          <w:rFonts w:hint="eastAsia"/>
          <w:color w:val="404040" w:themeColor="text1" w:themeTint="BF"/>
        </w:rPr>
      </w:pPr>
    </w:p>
    <w:p w14:paraId="432A75AE" w14:textId="77777777" w:rsidR="00CD65C2" w:rsidRDefault="00CD65C2">
      <w:pPr>
        <w:pStyle w:val="Corpo"/>
        <w:spacing w:before="120"/>
        <w:rPr>
          <w:rFonts w:hint="eastAsia"/>
          <w:color w:val="404040" w:themeColor="text1" w:themeTint="BF"/>
          <w:sz w:val="20"/>
        </w:rPr>
      </w:pPr>
    </w:p>
    <w:p w14:paraId="4EF15B64" w14:textId="77777777" w:rsidR="00CD65C2" w:rsidRDefault="00CD65C2">
      <w:pPr>
        <w:pStyle w:val="Corpo"/>
        <w:rPr>
          <w:rFonts w:hint="eastAsia"/>
          <w:b/>
          <w:color w:val="339966"/>
          <w:sz w:val="25"/>
          <w:szCs w:val="25"/>
          <w14:textFill>
            <w14:solidFill>
              <w14:srgbClr w14:val="339966">
                <w14:lumMod w14:val="75000"/>
                <w14:lumOff w14:val="25000"/>
              </w14:srgbClr>
            </w14:solidFill>
          </w14:textFill>
        </w:rPr>
      </w:pPr>
    </w:p>
    <w:p w14:paraId="1C4BFA99"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29D98F4F" w14:textId="77777777" w:rsidR="00CD65C2" w:rsidRDefault="00CD65C2">
      <w:pPr>
        <w:pStyle w:val="Corpo"/>
        <w:rPr>
          <w:rFonts w:hint="eastAsia"/>
          <w:color w:val="404040" w:themeColor="text1" w:themeTint="BF"/>
          <w:sz w:val="16"/>
          <w:szCs w:val="16"/>
        </w:rPr>
      </w:pPr>
    </w:p>
    <w:p w14:paraId="1A5B875E" w14:textId="758F5FA9" w:rsidR="00CD65C2" w:rsidRDefault="00FA41FC">
      <w:pPr>
        <w:pStyle w:val="Corpo"/>
        <w:numPr>
          <w:ilvl w:val="0"/>
          <w:numId w:val="5"/>
        </w:numPr>
        <w:spacing w:after="120" w:line="276" w:lineRule="auto"/>
        <w:ind w:left="357" w:hanging="357"/>
        <w:rPr>
          <w:rFonts w:hint="eastAsia"/>
          <w:bCs/>
          <w:color w:val="404040" w:themeColor="text1" w:themeTint="BF"/>
          <w:sz w:val="24"/>
        </w:rPr>
      </w:pPr>
      <w:r>
        <w:rPr>
          <w:bCs/>
          <w:color w:val="404040" w:themeColor="text1" w:themeTint="BF"/>
          <w:sz w:val="24"/>
        </w:rPr>
        <w:t>A avaliação da absorciometria de raio X de dupla energia mostrou que o grupo 1 apresentava nível de gordura abdominal (P = 0,04) e percentual de gordura corporal total (P = 0,04) significativamente menor do que o grupo do placebo;</w:t>
      </w:r>
    </w:p>
    <w:p w14:paraId="4464E76E" w14:textId="77777777" w:rsidR="00CD65C2" w:rsidRDefault="00FA41FC">
      <w:pPr>
        <w:pStyle w:val="Corpo"/>
        <w:numPr>
          <w:ilvl w:val="0"/>
          <w:numId w:val="5"/>
        </w:numPr>
        <w:spacing w:after="120" w:line="276" w:lineRule="auto"/>
        <w:ind w:left="357" w:hanging="357"/>
        <w:rPr>
          <w:rFonts w:hint="eastAsia"/>
          <w:bCs/>
          <w:color w:val="404040" w:themeColor="text1" w:themeTint="BF"/>
          <w:sz w:val="24"/>
        </w:rPr>
      </w:pPr>
      <w:r>
        <w:rPr>
          <w:bCs/>
          <w:color w:val="404040" w:themeColor="text1" w:themeTint="BF"/>
          <w:sz w:val="24"/>
        </w:rPr>
        <w:t>O percentual de gordura corporal (P = 0,04) foi menor no grupo 1, com significância marginal, e não houve diferenças significativas nas medidas antropométricas, como peso, índice de massa corporal, circunferência da cintura ou relação cintura-quadril estimada por impedância bioelétrica análise.</w:t>
      </w:r>
    </w:p>
    <w:p w14:paraId="6E0F4F55" w14:textId="77777777" w:rsidR="00CD65C2" w:rsidRDefault="00CD65C2">
      <w:pPr>
        <w:pStyle w:val="Corpo"/>
        <w:spacing w:after="120"/>
        <w:ind w:left="786"/>
        <w:rPr>
          <w:rFonts w:hint="eastAsia"/>
          <w:color w:val="404040" w:themeColor="text1" w:themeTint="BF"/>
          <w:sz w:val="24"/>
        </w:rPr>
      </w:pPr>
    </w:p>
    <w:p w14:paraId="5C63710E"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6DF5059E" w14:textId="77777777" w:rsidR="00CD65C2" w:rsidRDefault="00CD65C2">
      <w:pPr>
        <w:pStyle w:val="Corpo"/>
        <w:rPr>
          <w:rFonts w:hint="eastAsia"/>
          <w:b/>
          <w:color w:val="339966"/>
          <w:sz w:val="16"/>
          <w:szCs w:val="16"/>
          <w14:textFill>
            <w14:solidFill>
              <w14:srgbClr w14:val="339966">
                <w14:lumMod w14:val="75000"/>
                <w14:lumOff w14:val="25000"/>
              </w14:srgbClr>
            </w14:solidFill>
          </w14:textFill>
        </w:rPr>
      </w:pPr>
    </w:p>
    <w:p w14:paraId="6BE56EF0" w14:textId="77777777" w:rsidR="00CD65C2" w:rsidRDefault="00FA41FC">
      <w:pPr>
        <w:pStyle w:val="Corpo"/>
        <w:spacing w:line="276" w:lineRule="auto"/>
        <w:jc w:val="center"/>
        <w:rPr>
          <w:rFonts w:hint="eastAsia"/>
          <w:b/>
          <w:i/>
          <w:iCs/>
          <w:color w:val="404040" w:themeColor="text1" w:themeTint="BF"/>
        </w:rPr>
      </w:pPr>
      <w:r>
        <w:rPr>
          <w:b/>
          <w:i/>
          <w:iCs/>
          <w:color w:val="404040" w:themeColor="text1" w:themeTint="BF"/>
        </w:rPr>
        <w:t xml:space="preserve">De acordo com os resultados, a suplementação de </w:t>
      </w:r>
      <w:r>
        <w:rPr>
          <w:b/>
          <w:i/>
          <w:color w:val="404040" w:themeColor="text1" w:themeTint="BF"/>
        </w:rPr>
        <w:t>black rice</w:t>
      </w:r>
      <w:r>
        <w:rPr>
          <w:b/>
          <w:i/>
          <w:iCs/>
          <w:color w:val="404040" w:themeColor="text1" w:themeTint="BF"/>
        </w:rPr>
        <w:t xml:space="preserve"> por 12 semanas mostrou ser eficaz na redução do acúmulo de gordura em mulheres na pós-menopausa.</w:t>
      </w:r>
    </w:p>
    <w:p w14:paraId="5BDDE6CB" w14:textId="77777777" w:rsidR="00CD65C2" w:rsidRDefault="00CD65C2">
      <w:pPr>
        <w:pStyle w:val="Corpo"/>
        <w:jc w:val="center"/>
        <w:rPr>
          <w:rFonts w:hint="eastAsia"/>
          <w:b/>
          <w:bCs/>
          <w:i/>
          <w:color w:val="404040" w:themeColor="text1" w:themeTint="BF"/>
        </w:rPr>
      </w:pPr>
    </w:p>
    <w:p w14:paraId="6AEBF274" w14:textId="77777777" w:rsidR="00CD65C2" w:rsidRDefault="00CD65C2">
      <w:pPr>
        <w:pStyle w:val="Corpo"/>
        <w:jc w:val="center"/>
        <w:rPr>
          <w:rFonts w:hint="eastAsia"/>
          <w:b/>
          <w:bCs/>
          <w:i/>
          <w:color w:val="404040" w:themeColor="text1" w:themeTint="BF"/>
        </w:rPr>
      </w:pPr>
    </w:p>
    <w:p w14:paraId="78C13DE1" w14:textId="77777777" w:rsidR="00CD65C2" w:rsidRDefault="00FA41FC">
      <w:pPr>
        <w:pStyle w:val="Ttulo1"/>
        <w:jc w:val="center"/>
        <w:rPr>
          <w:rFonts w:hint="eastAsia"/>
        </w:rPr>
      </w:pPr>
      <w:bookmarkStart w:id="85" w:name="_Toc165537235"/>
      <w:r>
        <w:t>Formulário</w:t>
      </w:r>
      <w:bookmarkEnd w:id="85"/>
    </w:p>
    <w:p w14:paraId="286FD6C1" w14:textId="77777777" w:rsidR="00CD65C2" w:rsidRDefault="00CD65C2">
      <w:pPr>
        <w:pStyle w:val="Corpo"/>
        <w:rPr>
          <w:rFonts w:hint="eastAsia"/>
          <w:b/>
          <w:i/>
          <w:color w:val="404040" w:themeColor="text1" w:themeTint="BF"/>
        </w:rPr>
      </w:pPr>
    </w:p>
    <w:p w14:paraId="658E60E2" w14:textId="77777777" w:rsidR="00CD65C2" w:rsidRDefault="00CD65C2">
      <w:pPr>
        <w:pStyle w:val="Corpo"/>
        <w:rPr>
          <w:rFonts w:hint="eastAsia"/>
          <w:b/>
          <w:i/>
          <w:color w:val="404040" w:themeColor="text1" w:themeTint="BF"/>
        </w:rPr>
      </w:pPr>
    </w:p>
    <w:p w14:paraId="2227B5D7" w14:textId="77777777" w:rsidR="00CD65C2" w:rsidRDefault="00FA41FC">
      <w:pPr>
        <w:pStyle w:val="Corpo"/>
        <w:rPr>
          <w:rFonts w:hint="eastAsia"/>
          <w:b/>
          <w:bCs/>
          <w:i/>
          <w:color w:val="404040" w:themeColor="text1" w:themeTint="BF"/>
          <w:sz w:val="24"/>
        </w:rPr>
      </w:pPr>
      <w:r>
        <w:rPr>
          <w:b/>
          <w:bCs/>
          <w:i/>
          <w:iCs/>
          <w:color w:val="404040" w:themeColor="text1" w:themeTint="BF"/>
          <w:sz w:val="24"/>
        </w:rPr>
        <w:t>Black rice</w:t>
      </w:r>
      <w:r>
        <w:rPr>
          <w:b/>
          <w:bCs/>
          <w:i/>
          <w:color w:val="404040" w:themeColor="text1" w:themeTint="BF"/>
          <w:sz w:val="24"/>
        </w:rPr>
        <w:t xml:space="preserve"> Reduz o Acúmulo de Gordura em Mulheres na Pós-menopausa</w:t>
      </w:r>
    </w:p>
    <w:p w14:paraId="6877B69F"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1B3B7C37"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53A5D078" w14:textId="77777777" w:rsidR="00CD65C2" w:rsidRDefault="00FA41FC">
            <w:pPr>
              <w:pStyle w:val="Corpo"/>
              <w:jc w:val="center"/>
              <w:rPr>
                <w:rFonts w:hint="eastAsia"/>
                <w:b/>
                <w:i/>
                <w:color w:val="FFFFFF" w:themeColor="background1"/>
              </w:rPr>
            </w:pPr>
            <w:r>
              <w:rPr>
                <w:b/>
                <w:color w:val="FFFFFF" w:themeColor="background1"/>
              </w:rPr>
              <w:t xml:space="preserve">Cápsulas de </w:t>
            </w:r>
            <w:r>
              <w:rPr>
                <w:b/>
                <w:i/>
                <w:iCs/>
                <w:color w:val="FFFFFF" w:themeColor="background1"/>
              </w:rPr>
              <w:t>Black rice</w:t>
            </w:r>
          </w:p>
        </w:tc>
      </w:tr>
      <w:tr w:rsidR="00CD65C2" w14:paraId="5DC8E2C9"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418FDAE" w14:textId="77777777" w:rsidR="00CD65C2" w:rsidRDefault="00FA41FC">
            <w:pPr>
              <w:pStyle w:val="Corpo"/>
              <w:rPr>
                <w:rFonts w:hint="eastAsia"/>
                <w:color w:val="404040" w:themeColor="text1" w:themeTint="BF"/>
              </w:rPr>
            </w:pPr>
            <w:r>
              <w:rPr>
                <w:color w:val="404040" w:themeColor="text1" w:themeTint="BF"/>
              </w:rPr>
              <w:t>Black rice.......................................500 mg</w:t>
            </w:r>
          </w:p>
        </w:tc>
      </w:tr>
      <w:tr w:rsidR="00CD65C2" w14:paraId="6E01877E"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EB12C68" w14:textId="1855DB65" w:rsidR="00CD65C2" w:rsidRDefault="00FA41FC">
            <w:pPr>
              <w:pStyle w:val="Corpo"/>
              <w:rPr>
                <w:rFonts w:hint="eastAsia"/>
                <w:color w:val="404040" w:themeColor="text1" w:themeTint="BF"/>
              </w:rPr>
            </w:pPr>
            <w:r>
              <w:rPr>
                <w:color w:val="404040" w:themeColor="text1" w:themeTint="BF"/>
              </w:rPr>
              <w:t>Excipiente q.s.p. ........................1 Cápsula</w:t>
            </w:r>
          </w:p>
        </w:tc>
      </w:tr>
    </w:tbl>
    <w:p w14:paraId="4BB7D466" w14:textId="77777777" w:rsidR="00CD65C2" w:rsidRDefault="00FA41FC">
      <w:pPr>
        <w:pStyle w:val="Corpo"/>
        <w:ind w:right="4960"/>
        <w:jc w:val="center"/>
        <w:rPr>
          <w:rFonts w:hint="eastAsia"/>
          <w:color w:val="404040" w:themeColor="text1" w:themeTint="BF"/>
          <w:sz w:val="22"/>
          <w:szCs w:val="22"/>
        </w:rPr>
      </w:pPr>
      <w:r>
        <w:rPr>
          <w:color w:val="404040" w:themeColor="text1" w:themeTint="BF"/>
          <w:sz w:val="22"/>
          <w:szCs w:val="22"/>
        </w:rPr>
        <w:t>Administrar 2 cápsulas ao dia ou conforme orientação médica.</w:t>
      </w:r>
    </w:p>
    <w:p w14:paraId="665C2EFC" w14:textId="77777777" w:rsidR="00CD65C2" w:rsidRDefault="00CD65C2">
      <w:pPr>
        <w:pStyle w:val="SemEspaamento"/>
      </w:pPr>
    </w:p>
    <w:p w14:paraId="798362E5" w14:textId="77777777" w:rsidR="00CD65C2" w:rsidRDefault="00CD65C2">
      <w:pPr>
        <w:pStyle w:val="SemEspaamento"/>
      </w:pPr>
    </w:p>
    <w:p w14:paraId="4075D3DE" w14:textId="77777777" w:rsidR="00CD65C2" w:rsidRDefault="00CD65C2">
      <w:pPr>
        <w:pStyle w:val="SemEspaamento"/>
      </w:pPr>
    </w:p>
    <w:p w14:paraId="034DBC0D" w14:textId="77777777" w:rsidR="00CD65C2" w:rsidRDefault="00CD65C2">
      <w:pPr>
        <w:pStyle w:val="SemEspaamento"/>
      </w:pPr>
    </w:p>
    <w:p w14:paraId="5833EE60" w14:textId="77777777" w:rsidR="00CD65C2" w:rsidRDefault="00CD65C2">
      <w:pPr>
        <w:pStyle w:val="SemEspaamento"/>
      </w:pPr>
    </w:p>
    <w:p w14:paraId="5B4CC6CC" w14:textId="77777777" w:rsidR="00CD65C2" w:rsidRDefault="00CD65C2">
      <w:pPr>
        <w:pStyle w:val="SemEspaamento"/>
      </w:pPr>
    </w:p>
    <w:p w14:paraId="2B735C7F" w14:textId="77777777" w:rsidR="00CD65C2" w:rsidRDefault="00CD65C2">
      <w:pPr>
        <w:pStyle w:val="SemEspaamento"/>
      </w:pPr>
    </w:p>
    <w:p w14:paraId="03B04C8E" w14:textId="77777777" w:rsidR="00CD65C2" w:rsidRDefault="00CD65C2">
      <w:pPr>
        <w:pStyle w:val="SemEspaamento"/>
      </w:pPr>
    </w:p>
    <w:p w14:paraId="1D75A3F4" w14:textId="77777777" w:rsidR="00CD65C2" w:rsidRDefault="00CD65C2">
      <w:pPr>
        <w:pStyle w:val="SemEspaamento"/>
      </w:pPr>
    </w:p>
    <w:p w14:paraId="451F7C3E" w14:textId="77777777" w:rsidR="00CD65C2" w:rsidRDefault="00CD65C2">
      <w:pPr>
        <w:pStyle w:val="SemEspaamento"/>
      </w:pPr>
    </w:p>
    <w:p w14:paraId="63EE1DA1" w14:textId="77777777" w:rsidR="00CD65C2" w:rsidRDefault="00CD65C2">
      <w:pPr>
        <w:pStyle w:val="SemEspaamento"/>
      </w:pPr>
    </w:p>
    <w:p w14:paraId="40F391CA" w14:textId="77777777" w:rsidR="00CD65C2" w:rsidRDefault="00CD65C2">
      <w:pPr>
        <w:pStyle w:val="SemEspaamento"/>
      </w:pPr>
    </w:p>
    <w:p w14:paraId="5B2CC63A" w14:textId="77777777" w:rsidR="00CD65C2" w:rsidRDefault="00CD65C2">
      <w:pPr>
        <w:pStyle w:val="SemEspaamento"/>
      </w:pPr>
    </w:p>
    <w:p w14:paraId="5FBD82B9" w14:textId="77777777" w:rsidR="00CD65C2" w:rsidRDefault="00CD65C2">
      <w:pPr>
        <w:pStyle w:val="SemEspaamento"/>
      </w:pPr>
    </w:p>
    <w:p w14:paraId="044CE361" w14:textId="77777777" w:rsidR="00CD65C2" w:rsidRDefault="00CD65C2">
      <w:pPr>
        <w:pStyle w:val="SemEspaamento"/>
      </w:pPr>
    </w:p>
    <w:p w14:paraId="14BBB07F" w14:textId="77777777" w:rsidR="00CD65C2" w:rsidRDefault="00CD65C2">
      <w:pPr>
        <w:pStyle w:val="SemEspaamento"/>
      </w:pPr>
    </w:p>
    <w:p w14:paraId="7F6EAAB6" w14:textId="77777777" w:rsidR="00CD65C2" w:rsidRDefault="00CD65C2">
      <w:pPr>
        <w:pStyle w:val="SemEspaamento"/>
      </w:pPr>
    </w:p>
    <w:p w14:paraId="5397F942" w14:textId="77777777" w:rsidR="00CD65C2" w:rsidRDefault="00CD65C2">
      <w:pPr>
        <w:pStyle w:val="SemEspaamento"/>
      </w:pPr>
    </w:p>
    <w:p w14:paraId="08423D9C" w14:textId="77777777" w:rsidR="00CD65C2" w:rsidRDefault="00CD65C2">
      <w:pPr>
        <w:pStyle w:val="SemEspaamento"/>
      </w:pPr>
    </w:p>
    <w:p w14:paraId="70423AF9" w14:textId="77777777" w:rsidR="00CD65C2" w:rsidRDefault="00CD65C2">
      <w:pPr>
        <w:pStyle w:val="SemEspaamento"/>
      </w:pPr>
    </w:p>
    <w:p w14:paraId="37DD503A" w14:textId="77777777" w:rsidR="00CD65C2" w:rsidRDefault="00CD65C2">
      <w:pPr>
        <w:pStyle w:val="SemEspaamento"/>
      </w:pPr>
    </w:p>
    <w:p w14:paraId="405B9EF5" w14:textId="77777777" w:rsidR="00CD65C2" w:rsidRDefault="00CD65C2">
      <w:pPr>
        <w:pStyle w:val="SemEspaamento"/>
      </w:pPr>
    </w:p>
    <w:p w14:paraId="15EDE756" w14:textId="77777777" w:rsidR="00CD65C2" w:rsidRDefault="00CD65C2">
      <w:pPr>
        <w:pStyle w:val="SemEspaamento"/>
      </w:pPr>
    </w:p>
    <w:p w14:paraId="62D088E9" w14:textId="77777777" w:rsidR="00CD65C2" w:rsidRDefault="00CD65C2">
      <w:pPr>
        <w:pStyle w:val="SemEspaamento"/>
      </w:pPr>
    </w:p>
    <w:p w14:paraId="75213519" w14:textId="77777777" w:rsidR="00CD65C2" w:rsidRDefault="00CD65C2">
      <w:pPr>
        <w:pStyle w:val="SemEspaamento"/>
      </w:pPr>
    </w:p>
    <w:p w14:paraId="15FEF3D9" w14:textId="77777777" w:rsidR="00CD65C2" w:rsidRDefault="00CD65C2">
      <w:pPr>
        <w:pStyle w:val="SemEspaamento"/>
      </w:pPr>
    </w:p>
    <w:p w14:paraId="70DD97BB" w14:textId="77777777" w:rsidR="00CD65C2" w:rsidRDefault="00CD65C2">
      <w:pPr>
        <w:pStyle w:val="SemEspaamento"/>
      </w:pPr>
    </w:p>
    <w:p w14:paraId="0012E137" w14:textId="77777777" w:rsidR="00CD65C2" w:rsidRDefault="00CD65C2">
      <w:pPr>
        <w:pStyle w:val="SemEspaamento"/>
      </w:pPr>
    </w:p>
    <w:p w14:paraId="6F56AD41" w14:textId="77777777" w:rsidR="00CD65C2" w:rsidRDefault="00CD65C2">
      <w:pPr>
        <w:pStyle w:val="SemEspaamento"/>
      </w:pPr>
    </w:p>
    <w:p w14:paraId="6B41923E" w14:textId="77777777" w:rsidR="00CD65C2" w:rsidRDefault="00CD65C2">
      <w:pPr>
        <w:pStyle w:val="SemEspaamento"/>
      </w:pPr>
    </w:p>
    <w:p w14:paraId="4D945746" w14:textId="77777777" w:rsidR="00CD65C2" w:rsidRDefault="00CD65C2">
      <w:pPr>
        <w:pStyle w:val="SemEspaamento"/>
      </w:pPr>
    </w:p>
    <w:p w14:paraId="4EE4F0EB" w14:textId="77777777" w:rsidR="00CD65C2" w:rsidRDefault="00CD65C2">
      <w:pPr>
        <w:pStyle w:val="SemEspaamento"/>
      </w:pPr>
    </w:p>
    <w:p w14:paraId="3FFB5511" w14:textId="77777777" w:rsidR="00CD65C2" w:rsidRDefault="00FA41FC">
      <w:pPr>
        <w:pStyle w:val="Ttulo1"/>
        <w:jc w:val="center"/>
        <w:rPr>
          <w:rFonts w:hint="eastAsia"/>
        </w:rPr>
      </w:pPr>
      <w:bookmarkStart w:id="86" w:name="_Toc165537236"/>
      <w:r>
        <w:rPr>
          <w:bCs/>
          <w:i/>
          <w:iCs/>
        </w:rPr>
        <w:t>Green Tea</w:t>
      </w:r>
      <w:bookmarkEnd w:id="86"/>
    </w:p>
    <w:p w14:paraId="27FB4405" w14:textId="77777777" w:rsidR="00CD65C2" w:rsidRPr="00D1428E" w:rsidRDefault="00FA41FC">
      <w:pPr>
        <w:pStyle w:val="Corpo"/>
        <w:spacing w:after="120"/>
        <w:jc w:val="center"/>
        <w:rPr>
          <w:rFonts w:hint="eastAsia"/>
          <w:b/>
          <w:bCs/>
          <w:color w:val="0070C0"/>
          <w:sz w:val="40"/>
        </w:rPr>
      </w:pPr>
      <w:r w:rsidRPr="00D1428E">
        <w:rPr>
          <w:b/>
          <w:bCs/>
          <w:color w:val="0070C0"/>
          <w:sz w:val="40"/>
        </w:rPr>
        <w:t>Melhora a Taxa de Oxidação de Gorduras, Regula os Índices Glicêmicos e Diminui a Circunferência de Cintura e PCR</w:t>
      </w:r>
    </w:p>
    <w:p w14:paraId="6D6D3B4C" w14:textId="77777777" w:rsidR="00CD65C2" w:rsidRDefault="00CD65C2">
      <w:pPr>
        <w:pStyle w:val="Corpo"/>
        <w:spacing w:after="120"/>
        <w:rPr>
          <w:rFonts w:hint="eastAsia"/>
          <w:color w:val="404040" w:themeColor="text1" w:themeTint="BF"/>
          <w:sz w:val="24"/>
        </w:rPr>
      </w:pPr>
    </w:p>
    <w:p w14:paraId="1288B764" w14:textId="7B6D58DF" w:rsidR="00CD65C2" w:rsidRDefault="00FA41FC">
      <w:pPr>
        <w:pStyle w:val="Corpo"/>
        <w:rPr>
          <w:rFonts w:hint="eastAsia"/>
          <w:color w:val="404040" w:themeColor="text1" w:themeTint="BF"/>
          <w:sz w:val="24"/>
        </w:rPr>
      </w:pPr>
      <w:r>
        <w:rPr>
          <w:color w:val="404040" w:themeColor="text1" w:themeTint="BF"/>
          <w:sz w:val="24"/>
          <w:lang w:val="pt-PT"/>
        </w:rPr>
        <w:t xml:space="preserve">O objetivo </w:t>
      </w:r>
      <w:r>
        <w:rPr>
          <w:color w:val="404040" w:themeColor="text1" w:themeTint="BF"/>
          <w:sz w:val="24"/>
        </w:rPr>
        <w:t xml:space="preserve">deste </w:t>
      </w:r>
      <w:r>
        <w:rPr>
          <w:color w:val="404040" w:themeColor="text1" w:themeTint="BF"/>
          <w:sz w:val="24"/>
          <w:lang w:val="pt-PT"/>
        </w:rPr>
        <w:t xml:space="preserve">estudo publicado no periódico internacional </w:t>
      </w:r>
      <w:r>
        <w:rPr>
          <w:i/>
          <w:iCs/>
          <w:color w:val="404040" w:themeColor="text1" w:themeTint="BF"/>
          <w:sz w:val="24"/>
          <w:lang w:val="pt-PT"/>
        </w:rPr>
        <w:t xml:space="preserve">Nutrients </w:t>
      </w:r>
      <w:r>
        <w:rPr>
          <w:color w:val="404040" w:themeColor="text1" w:themeTint="BF"/>
          <w:sz w:val="24"/>
          <w:lang w:val="pt-PT"/>
        </w:rPr>
        <w:t xml:space="preserve">foi avaliar os efeitos da suplementação do extrato de </w:t>
      </w:r>
      <w:r>
        <w:rPr>
          <w:i/>
          <w:iCs/>
          <w:color w:val="404040" w:themeColor="text1" w:themeTint="BF"/>
          <w:sz w:val="24"/>
          <w:lang w:val="pt-PT"/>
        </w:rPr>
        <w:t>Camellia sinensis</w:t>
      </w:r>
      <w:r>
        <w:rPr>
          <w:color w:val="404040" w:themeColor="text1" w:themeTint="BF"/>
          <w:sz w:val="24"/>
          <w:lang w:val="pt-PT"/>
        </w:rPr>
        <w:t xml:space="preserve"> na disfunção do tecido adiposo em mulheres sedentárias na pós-menopausa obesas ou sobrepesadas (</w:t>
      </w:r>
      <w:r>
        <w:rPr>
          <w:color w:val="404040" w:themeColor="text1" w:themeTint="BF"/>
        </w:rPr>
        <w:t xml:space="preserve">Rondanelli </w:t>
      </w:r>
      <w:r>
        <w:rPr>
          <w:i/>
          <w:color w:val="404040" w:themeColor="text1" w:themeTint="BF"/>
        </w:rPr>
        <w:t xml:space="preserve">et al., </w:t>
      </w:r>
      <w:r>
        <w:rPr>
          <w:color w:val="404040" w:themeColor="text1" w:themeTint="BF"/>
        </w:rPr>
        <w:t>2022).</w:t>
      </w:r>
    </w:p>
    <w:p w14:paraId="21F036A5"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36416" behindDoc="0" locked="0" layoutInCell="1" allowOverlap="1">
                <wp:simplePos x="0" y="0"/>
                <wp:positionH relativeFrom="margin">
                  <wp:posOffset>-1905</wp:posOffset>
                </wp:positionH>
                <wp:positionV relativeFrom="paragraph">
                  <wp:posOffset>142875</wp:posOffset>
                </wp:positionV>
                <wp:extent cx="5735955" cy="707390"/>
                <wp:effectExtent l="0" t="0" r="17780" b="16510"/>
                <wp:wrapNone/>
                <wp:docPr id="739657725" name="Caixa de texto 739657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781" cy="707571"/>
                        </a:xfrm>
                        <a:prstGeom prst="rect">
                          <a:avLst/>
                        </a:prstGeom>
                        <a:solidFill>
                          <a:schemeClr val="bg1">
                            <a:lumMod val="100000"/>
                            <a:lumOff val="0"/>
                          </a:schemeClr>
                        </a:solidFill>
                        <a:ln w="9525">
                          <a:solidFill>
                            <a:srgbClr val="0070C0"/>
                          </a:solidFill>
                          <a:miter lim="800000"/>
                        </a:ln>
                      </wps:spPr>
                      <wps:txbx>
                        <w:txbxContent>
                          <w:p w14:paraId="1A3281AA" w14:textId="2BDBD750" w:rsidR="00FA41FC" w:rsidRDefault="00FA41FC">
                            <w:pPr>
                              <w:pStyle w:val="Corpo"/>
                              <w:spacing w:line="276" w:lineRule="auto"/>
                              <w:jc w:val="center"/>
                              <w:rPr>
                                <w:rFonts w:hint="eastAsia"/>
                                <w:color w:val="000000"/>
                                <w:sz w:val="22"/>
                                <w:szCs w:val="22"/>
                                <w14:textFill>
                                  <w14:solidFill>
                                    <w14:srgbClr w14:val="000000">
                                      <w14:lumMod w14:val="75000"/>
                                      <w14:lumOff w14:val="25000"/>
                                    </w14:srgbClr>
                                  </w14:solidFill>
                                </w14:textFill>
                              </w:rPr>
                            </w:pPr>
                            <w:r>
                              <w:rPr>
                                <w:color w:val="000000"/>
                                <w:sz w:val="22"/>
                                <w:szCs w:val="22"/>
                                <w14:textFill>
                                  <w14:solidFill>
                                    <w14:srgbClr w14:val="000000">
                                      <w14:lumMod w14:val="75000"/>
                                      <w14:lumOff w14:val="25000"/>
                                    </w14:srgbClr>
                                  </w14:solidFill>
                                </w14:textFill>
                              </w:rPr>
                              <w:t>Para isso, 28 mulheres foram selecionadas para participarem deste estudo clínico, randomizado, duplo-cego e controlado por placebo. Elas foram divididas em dois grupos para receberem po</w:t>
                            </w:r>
                            <w:r>
                              <w:rPr>
                                <w:rFonts w:hint="eastAsia"/>
                                <w:color w:val="000000"/>
                                <w:sz w:val="22"/>
                                <w:szCs w:val="22"/>
                                <w14:textFill>
                                  <w14:solidFill>
                                    <w14:srgbClr w14:val="000000">
                                      <w14:lumMod w14:val="75000"/>
                                      <w14:lumOff w14:val="25000"/>
                                    </w14:srgbClr>
                                  </w14:solidFill>
                                </w14:textFill>
                              </w:rPr>
                              <w:t>r</w:t>
                            </w:r>
                            <w:r>
                              <w:rPr>
                                <w:color w:val="000000"/>
                                <w:sz w:val="22"/>
                                <w:szCs w:val="22"/>
                                <w14:textFill>
                                  <w14:solidFill>
                                    <w14:srgbClr w14:val="000000">
                                      <w14:lumMod w14:val="75000"/>
                                      <w14:lumOff w14:val="25000"/>
                                    </w14:srgbClr>
                                  </w14:solidFill>
                                </w14:textFill>
                              </w:rPr>
                              <w:t xml:space="preserve"> 60 dias a seguinte posologia: </w:t>
                            </w:r>
                          </w:p>
                          <w:p w14:paraId="1EA50F2E"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725" o:spid="_x0000_s1136" type="#_x0000_t202" style="position:absolute;left:0;text-align:left;margin-left:-.15pt;margin-top:11.25pt;width:451.65pt;height:55.7pt;z-index:2518364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" fillcolor="white [3212]" strokecolor="#0070c0">
                <v:textbox>
                  <w:txbxContent>
                    <w:p w14:paraId="1A3281AA" w14:textId="2BDBD750" w:rsidR="00FA41FC" w:rsidRDefault="00FA41FC">
                      <w:pPr>
                        <w:pStyle w:val="Corpo"/>
                        <w:spacing w:line="276" w:lineRule="auto"/>
                        <w:jc w:val="center"/>
                        <w:rPr>
                          <w:rFonts w:hint="eastAsia"/>
                          <w:color w:val="000000"/>
                          <w:sz w:val="22"/>
                          <w:szCs w:val="22"/>
                          <w14:textFill>
                            <w14:solidFill>
                              <w14:srgbClr w14:val="000000">
                                <w14:lumMod w14:val="75000"/>
                                <w14:lumOff w14:val="25000"/>
                              </w14:srgbClr>
                            </w14:solidFill>
                          </w14:textFill>
                        </w:rPr>
                      </w:pPr>
                      <w:r>
                        <w:rPr>
                          <w:color w:val="000000"/>
                          <w:sz w:val="22"/>
                          <w:szCs w:val="22"/>
                          <w14:textFill>
                            <w14:solidFill>
                              <w14:srgbClr w14:val="000000">
                                <w14:lumMod w14:val="75000"/>
                                <w14:lumOff w14:val="25000"/>
                              </w14:srgbClr>
                            </w14:solidFill>
                          </w14:textFill>
                        </w:rPr>
                        <w:t>Para isso, 28 mulheres foram selecionadas para participarem deste estudo clínico, randomizado, duplo-cego e controlado por placebo. Elas foram divididas em dois grupos para receberem po</w:t>
                      </w:r>
                      <w:r>
                        <w:rPr>
                          <w:rFonts w:hint="eastAsia"/>
                          <w:color w:val="000000"/>
                          <w:sz w:val="22"/>
                          <w:szCs w:val="22"/>
                          <w14:textFill>
                            <w14:solidFill>
                              <w14:srgbClr w14:val="000000">
                                <w14:lumMod w14:val="75000"/>
                                <w14:lumOff w14:val="25000"/>
                              </w14:srgbClr>
                            </w14:solidFill>
                          </w14:textFill>
                        </w:rPr>
                        <w:t>r</w:t>
                      </w:r>
                      <w:r>
                        <w:rPr>
                          <w:color w:val="000000"/>
                          <w:sz w:val="22"/>
                          <w:szCs w:val="22"/>
                          <w14:textFill>
                            <w14:solidFill>
                              <w14:srgbClr w14:val="000000">
                                <w14:lumMod w14:val="75000"/>
                                <w14:lumOff w14:val="25000"/>
                              </w14:srgbClr>
                            </w14:solidFill>
                          </w14:textFill>
                        </w:rPr>
                        <w:t xml:space="preserve"> 60 dias a seguinte posologia: </w:t>
                      </w:r>
                    </w:p>
                    <w:p w14:paraId="1EA50F2E"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3D4428EF" w14:textId="77777777" w:rsidR="00CD65C2" w:rsidRDefault="00CD65C2">
      <w:pPr>
        <w:pStyle w:val="Corpo"/>
        <w:rPr>
          <w:rFonts w:hint="eastAsia"/>
          <w:color w:val="404040" w:themeColor="text1" w:themeTint="BF"/>
        </w:rPr>
      </w:pPr>
    </w:p>
    <w:p w14:paraId="7AE32EC4" w14:textId="77777777" w:rsidR="00CD65C2" w:rsidRDefault="00CD65C2">
      <w:pPr>
        <w:pStyle w:val="Corpo"/>
        <w:rPr>
          <w:rFonts w:hint="eastAsia"/>
          <w:color w:val="404040" w:themeColor="text1" w:themeTint="BF"/>
        </w:rPr>
      </w:pPr>
    </w:p>
    <w:p w14:paraId="7885FC27" w14:textId="77777777" w:rsidR="00CD65C2" w:rsidRDefault="00CD65C2">
      <w:pPr>
        <w:pStyle w:val="Corpo"/>
        <w:rPr>
          <w:rFonts w:hint="eastAsia"/>
          <w:color w:val="404040" w:themeColor="text1" w:themeTint="BF"/>
        </w:rPr>
      </w:pPr>
    </w:p>
    <w:p w14:paraId="47275430"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834368" behindDoc="0" locked="0" layoutInCell="1" allowOverlap="1">
                <wp:simplePos x="0" y="0"/>
                <wp:positionH relativeFrom="column">
                  <wp:posOffset>1061085</wp:posOffset>
                </wp:positionH>
                <wp:positionV relativeFrom="paragraph">
                  <wp:posOffset>1270</wp:posOffset>
                </wp:positionV>
                <wp:extent cx="226695" cy="138430"/>
                <wp:effectExtent l="0" t="0" r="1905" b="0"/>
                <wp:wrapNone/>
                <wp:docPr id="739657727" name="Triângulo isósceles 739657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727" o:spid="_x0000_s1026" o:spt="5" type="#_x0000_t5" style="position:absolute;left:0pt;flip:y;margin-left:83.55pt;margin-top:0.1pt;height:10.9pt;width:17.85pt;z-index:251834368;mso-width-relative:page;mso-height-relative:page;" fillcolor="#D9D9D9 [3212]" filled="t" stroked="f" coordsize="21600,21600" o:gfxdata="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D&#10;gAyp1AAAAAcBAAAPAAAAAAAAAAEAIAAAACIAAABkcnMvZG93bnJldi54bWxQSwECFAAUAAAACACH&#10;TuJAY9OPoWECAACzBAAADgAAAAAAAAABACAAAAAjAQAAZHJzL2Uyb0RvYy54bWxQSwUGAAAAAAYA&#10;BgBZAQAA9gU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833344" behindDoc="0" locked="0" layoutInCell="1" allowOverlap="1">
                <wp:simplePos x="0" y="0"/>
                <wp:positionH relativeFrom="column">
                  <wp:posOffset>4426585</wp:posOffset>
                </wp:positionH>
                <wp:positionV relativeFrom="paragraph">
                  <wp:posOffset>12700</wp:posOffset>
                </wp:positionV>
                <wp:extent cx="226695" cy="138430"/>
                <wp:effectExtent l="0" t="0" r="1905" b="0"/>
                <wp:wrapNone/>
                <wp:docPr id="739657726" name="Triângulo isósceles 739657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726" o:spid="_x0000_s1026" o:spt="5" type="#_x0000_t5" style="position:absolute;left:0pt;flip:y;margin-left:348.55pt;margin-top:1pt;height:10.9pt;width:17.85pt;z-index:251833344;mso-width-relative:page;mso-height-relative:page;" fillcolor="#D9D9D9 [3212]" filled="t" stroked="f" coordsize="21600,21600" o:gfxdata="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U1T83WAAAACAEAAA8AAAAAAAAAAQAgAAAAIgAAAGRycy9kb3ducmV2LnhtbFBLAQIUABQAAAAI&#10;AIdO4kDLgnfnYQIAALMEAAAOAAAAAAAAAAEAIAAAACUBAABkcnMvZTJvRG9jLnhtbFBLBQYAAAAA&#10;BgAGAFkBAAD4BQAAAAA=&#10;" adj="10800">
                <v:fill on="t" focussize="0,0"/>
                <v:stroke on="f"/>
                <v:imagedata o:title=""/>
                <o:lock v:ext="edit" aspectratio="f"/>
              </v:shape>
            </w:pict>
          </mc:Fallback>
        </mc:AlternateContent>
      </w:r>
    </w:p>
    <w:p w14:paraId="4AD57E31"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835392" behindDoc="0" locked="0" layoutInCell="1" allowOverlap="1">
                <wp:simplePos x="0" y="0"/>
                <wp:positionH relativeFrom="column">
                  <wp:posOffset>3339465</wp:posOffset>
                </wp:positionH>
                <wp:positionV relativeFrom="paragraph">
                  <wp:posOffset>90805</wp:posOffset>
                </wp:positionV>
                <wp:extent cx="2383790" cy="925195"/>
                <wp:effectExtent l="0" t="0" r="16510" b="27940"/>
                <wp:wrapNone/>
                <wp:docPr id="739657728" name="Caixa de texto 7396577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3971" cy="925014"/>
                        </a:xfrm>
                        <a:prstGeom prst="rect">
                          <a:avLst/>
                        </a:prstGeom>
                        <a:solidFill>
                          <a:srgbClr val="0070C0"/>
                        </a:solidFill>
                        <a:ln w="9525">
                          <a:solidFill>
                            <a:srgbClr val="0070C0"/>
                          </a:solidFill>
                          <a:miter lim="800000"/>
                        </a:ln>
                      </wps:spPr>
                      <wps:txbx>
                        <w:txbxContent>
                          <w:p w14:paraId="1FD611D5"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7276E866" w14:textId="77777777" w:rsidR="00FA41FC" w:rsidRDefault="00FA41FC">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56BE90F5" w14:textId="77777777" w:rsidR="00FA41FC" w:rsidRDefault="00FA41FC">
                            <w:pPr>
                              <w:spacing w:after="0" w:line="240" w:lineRule="auto"/>
                              <w:jc w:val="center"/>
                              <w:rPr>
                                <w:rFonts w:ascii="Swis721 Th BT" w:hAnsi="Swis721 Th BT"/>
                                <w:b/>
                                <w:color w:val="FFFFFF" w:themeColor="background1"/>
                                <w:sz w:val="12"/>
                                <w:szCs w:val="12"/>
                              </w:rPr>
                            </w:pPr>
                          </w:p>
                          <w:p w14:paraId="67CBE33D" w14:textId="77777777" w:rsidR="00FA41FC" w:rsidRDefault="00FA41FC">
                            <w:pPr>
                              <w:spacing w:after="0" w:line="240" w:lineRule="auto"/>
                              <w:jc w:val="center"/>
                              <w:rPr>
                                <w:rFonts w:ascii="Swis721 Th BT" w:hAnsi="Swis721 Th BT"/>
                                <w:b/>
                                <w:color w:val="FFFFFF" w:themeColor="background1"/>
                                <w:sz w:val="23"/>
                                <w:szCs w:val="23"/>
                              </w:rPr>
                            </w:pPr>
                          </w:p>
                          <w:p w14:paraId="13D98C01" w14:textId="77777777" w:rsidR="00FA41FC" w:rsidRDefault="00FA41FC">
                            <w:pPr>
                              <w:spacing w:after="0" w:line="240" w:lineRule="auto"/>
                              <w:jc w:val="center"/>
                              <w:rPr>
                                <w:rFonts w:ascii="Swis721 Th BT" w:hAnsi="Swis721 Th BT"/>
                                <w:b/>
                                <w:color w:val="FFFFFF" w:themeColor="background1"/>
                                <w:sz w:val="12"/>
                                <w:szCs w:val="12"/>
                              </w:rPr>
                            </w:pPr>
                          </w:p>
                          <w:p w14:paraId="1BDCCAF9" w14:textId="77777777" w:rsidR="00FA41FC" w:rsidRDefault="00FA41FC"/>
                        </w:txbxContent>
                      </wps:txbx>
                      <wps:bodyPr rot="0" vert="horz" wrap="square" lIns="91440" tIns="45720" rIns="91440" bIns="45720" anchor="t" anchorCtr="0" upright="1">
                        <a:noAutofit/>
                      </wps:bodyPr>
                    </wps:wsp>
                  </a:graphicData>
                </a:graphic>
              </wp:anchor>
            </w:drawing>
          </mc:Choice>
          <mc:Fallback>
            <w:pict>
              <v:shape id="Caixa de texto 739657728" o:spid="_x0000_s1137" type="#_x0000_t202" style="position:absolute;left:0;text-align:left;margin-left:262.95pt;margin-top:7.15pt;width:187.7pt;height:72.85pt;z-index:251835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" fillcolor="#0070c0" strokecolor="#0070c0">
                <v:textbox>
                  <w:txbxContent>
                    <w:p w14:paraId="1FD611D5"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7276E866" w14:textId="77777777" w:rsidR="00FA41FC" w:rsidRDefault="00FA41FC">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56BE90F5" w14:textId="77777777" w:rsidR="00FA41FC" w:rsidRDefault="00FA41FC">
                      <w:pPr>
                        <w:spacing w:after="0" w:line="240" w:lineRule="auto"/>
                        <w:jc w:val="center"/>
                        <w:rPr>
                          <w:rFonts w:ascii="Swis721 Th BT" w:hAnsi="Swis721 Th BT"/>
                          <w:b/>
                          <w:color w:val="FFFFFF" w:themeColor="background1"/>
                          <w:sz w:val="12"/>
                          <w:szCs w:val="12"/>
                        </w:rPr>
                      </w:pPr>
                    </w:p>
                    <w:p w14:paraId="67CBE33D" w14:textId="77777777" w:rsidR="00FA41FC" w:rsidRDefault="00FA41FC">
                      <w:pPr>
                        <w:spacing w:after="0" w:line="240" w:lineRule="auto"/>
                        <w:jc w:val="center"/>
                        <w:rPr>
                          <w:rFonts w:ascii="Swis721 Th BT" w:hAnsi="Swis721 Th BT"/>
                          <w:b/>
                          <w:color w:val="FFFFFF" w:themeColor="background1"/>
                          <w:sz w:val="23"/>
                          <w:szCs w:val="23"/>
                        </w:rPr>
                      </w:pPr>
                    </w:p>
                    <w:p w14:paraId="13D98C01" w14:textId="77777777" w:rsidR="00FA41FC" w:rsidRDefault="00FA41FC">
                      <w:pPr>
                        <w:spacing w:after="0" w:line="240" w:lineRule="auto"/>
                        <w:jc w:val="center"/>
                        <w:rPr>
                          <w:rFonts w:ascii="Swis721 Th BT" w:hAnsi="Swis721 Th BT"/>
                          <w:b/>
                          <w:color w:val="FFFFFF" w:themeColor="background1"/>
                          <w:sz w:val="12"/>
                          <w:szCs w:val="12"/>
                        </w:rPr>
                      </w:pPr>
                    </w:p>
                    <w:p w14:paraId="1BDCCAF9" w14:textId="77777777" w:rsidR="00FA41FC" w:rsidRDefault="00FA41FC"/>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832320" behindDoc="0" locked="0" layoutInCell="1" allowOverlap="1">
                <wp:simplePos x="0" y="0"/>
                <wp:positionH relativeFrom="column">
                  <wp:posOffset>-1905</wp:posOffset>
                </wp:positionH>
                <wp:positionV relativeFrom="paragraph">
                  <wp:posOffset>69215</wp:posOffset>
                </wp:positionV>
                <wp:extent cx="2383790" cy="946785"/>
                <wp:effectExtent l="0" t="0" r="16510" b="24765"/>
                <wp:wrapNone/>
                <wp:docPr id="739657729" name="Caixa de texto 739657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3971" cy="947057"/>
                        </a:xfrm>
                        <a:prstGeom prst="rect">
                          <a:avLst/>
                        </a:prstGeom>
                        <a:solidFill>
                          <a:srgbClr val="0070C0"/>
                        </a:solidFill>
                        <a:ln w="9525">
                          <a:solidFill>
                            <a:srgbClr val="0070C0"/>
                          </a:solidFill>
                          <a:miter lim="800000"/>
                        </a:ln>
                      </wps:spPr>
                      <wps:txbx>
                        <w:txbxContent>
                          <w:p w14:paraId="65D219FB"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iCs/>
                                <w:color w:val="FFFFFF" w:themeColor="background1"/>
                                <w:sz w:val="23"/>
                                <w:szCs w:val="23"/>
                              </w:rPr>
                              <w:t>Greenselect Phytosome</w:t>
                            </w:r>
                            <w:r>
                              <w:rPr>
                                <w:rFonts w:ascii="Swis721 Th BT" w:hAnsi="Swis721 Th BT"/>
                                <w:bCs/>
                                <w:iCs/>
                                <w:color w:val="FFFFFF" w:themeColor="background1"/>
                                <w:sz w:val="23"/>
                                <w:szCs w:val="23"/>
                                <w:vertAlign w:val="superscript"/>
                              </w:rPr>
                              <w:t>®</w:t>
                            </w:r>
                            <w:r>
                              <w:rPr>
                                <w:rFonts w:ascii="Swis721 Th BT" w:hAnsi="Swis721 Th BT"/>
                                <w:bCs/>
                                <w:iCs/>
                                <w:color w:val="FFFFFF" w:themeColor="background1"/>
                                <w:sz w:val="23"/>
                                <w:szCs w:val="23"/>
                              </w:rPr>
                              <w:t xml:space="preserve"> 150 mg</w:t>
                            </w:r>
                          </w:p>
                          <w:p w14:paraId="483B90A8"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1 cápsula ao dia antes do almoço e outra antes do jantar</w:t>
                            </w:r>
                          </w:p>
                          <w:p w14:paraId="30295320"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739657729" o:spid="_x0000_s1138" type="#_x0000_t202" style="position:absolute;left:0;text-align:left;margin-left:-.15pt;margin-top:5.45pt;width:187.7pt;height:74.55pt;z-index:251832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" fillcolor="#0070c0" strokecolor="#0070c0">
                <v:textbox>
                  <w:txbxContent>
                    <w:p w14:paraId="65D219FB"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iCs/>
                          <w:color w:val="FFFFFF" w:themeColor="background1"/>
                          <w:sz w:val="23"/>
                          <w:szCs w:val="23"/>
                        </w:rPr>
                        <w:t>Greenselect Phytosome</w:t>
                      </w:r>
                      <w:r>
                        <w:rPr>
                          <w:rFonts w:ascii="Swis721 Th BT" w:hAnsi="Swis721 Th BT"/>
                          <w:bCs/>
                          <w:iCs/>
                          <w:color w:val="FFFFFF" w:themeColor="background1"/>
                          <w:sz w:val="23"/>
                          <w:szCs w:val="23"/>
                          <w:vertAlign w:val="superscript"/>
                        </w:rPr>
                        <w:t>®</w:t>
                      </w:r>
                      <w:r>
                        <w:rPr>
                          <w:rFonts w:ascii="Swis721 Th BT" w:hAnsi="Swis721 Th BT"/>
                          <w:bCs/>
                          <w:iCs/>
                          <w:color w:val="FFFFFF" w:themeColor="background1"/>
                          <w:sz w:val="23"/>
                          <w:szCs w:val="23"/>
                        </w:rPr>
                        <w:t xml:space="preserve"> 150 mg</w:t>
                      </w:r>
                    </w:p>
                    <w:p w14:paraId="483B90A8"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1 cápsula ao dia antes do almoço e outra antes do jantar</w:t>
                      </w:r>
                    </w:p>
                    <w:p w14:paraId="30295320"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p>
    <w:p w14:paraId="3C66C127" w14:textId="77777777" w:rsidR="00CD65C2" w:rsidRDefault="00CD65C2">
      <w:pPr>
        <w:pStyle w:val="Corpo"/>
        <w:rPr>
          <w:rFonts w:hint="eastAsia"/>
          <w:color w:val="404040" w:themeColor="text1" w:themeTint="BF"/>
        </w:rPr>
      </w:pPr>
    </w:p>
    <w:p w14:paraId="4D0CB66E" w14:textId="77777777" w:rsidR="00CD65C2" w:rsidRDefault="00CD65C2">
      <w:pPr>
        <w:pStyle w:val="Corpo"/>
        <w:rPr>
          <w:rFonts w:hint="eastAsia"/>
          <w:color w:val="404040" w:themeColor="text1" w:themeTint="BF"/>
        </w:rPr>
      </w:pPr>
    </w:p>
    <w:p w14:paraId="7BBF7BD0" w14:textId="77777777" w:rsidR="00CD65C2" w:rsidRDefault="00CD65C2">
      <w:pPr>
        <w:pStyle w:val="Corpo"/>
        <w:rPr>
          <w:rFonts w:hint="eastAsia"/>
          <w:color w:val="404040" w:themeColor="text1" w:themeTint="BF"/>
        </w:rPr>
      </w:pPr>
    </w:p>
    <w:p w14:paraId="7BFDE34E" w14:textId="77777777" w:rsidR="00CD65C2" w:rsidRDefault="00CD65C2">
      <w:pPr>
        <w:pStyle w:val="Corpo"/>
        <w:spacing w:before="120"/>
        <w:rPr>
          <w:rFonts w:hint="eastAsia"/>
          <w:color w:val="404040" w:themeColor="text1" w:themeTint="BF"/>
          <w:sz w:val="20"/>
        </w:rPr>
      </w:pPr>
    </w:p>
    <w:p w14:paraId="56061435" w14:textId="77777777" w:rsidR="00CD65C2" w:rsidRDefault="00FA41FC">
      <w:pPr>
        <w:pStyle w:val="Corpo"/>
        <w:numPr>
          <w:ilvl w:val="1"/>
          <w:numId w:val="4"/>
        </w:numPr>
        <w:spacing w:before="120"/>
        <w:rPr>
          <w:rFonts w:hint="eastAsia"/>
          <w:color w:val="404040" w:themeColor="text1" w:themeTint="BF"/>
          <w:sz w:val="20"/>
        </w:rPr>
      </w:pPr>
      <w:r>
        <w:rPr>
          <w:color w:val="404040" w:themeColor="text1" w:themeTint="BF"/>
          <w:sz w:val="20"/>
        </w:rPr>
        <w:t xml:space="preserve">Foram medidos: quociente respiratório (RQ), porcentagem de carboidratos (% de CHO), porcentagem da oxidação de gorduras (% de FAT), gasto enérgico em repouso (REE), composição corporal (DXA), glicemia, perfil lipídico e inflamatório, função renal e hepática, níveis hormonais e catecolaminas. </w:t>
      </w:r>
    </w:p>
    <w:p w14:paraId="42420C3F" w14:textId="77777777" w:rsidR="00CD65C2" w:rsidRDefault="00CD65C2">
      <w:pPr>
        <w:pStyle w:val="Corpo"/>
        <w:spacing w:before="120"/>
        <w:rPr>
          <w:rFonts w:hint="eastAsia"/>
          <w:color w:val="404040" w:themeColor="text1" w:themeTint="BF"/>
          <w:sz w:val="20"/>
        </w:rPr>
      </w:pPr>
    </w:p>
    <w:p w14:paraId="7ADCA24D"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7D4B66DE" w14:textId="77777777" w:rsidR="00CD65C2" w:rsidRDefault="00CD65C2">
      <w:pPr>
        <w:pStyle w:val="Corpo"/>
        <w:rPr>
          <w:rFonts w:hint="eastAsia"/>
          <w:color w:val="404040" w:themeColor="text1" w:themeTint="BF"/>
          <w:sz w:val="16"/>
          <w:szCs w:val="16"/>
        </w:rPr>
      </w:pPr>
    </w:p>
    <w:p w14:paraId="50B65F70" w14:textId="77777777" w:rsidR="00CD65C2" w:rsidRDefault="00FA41FC">
      <w:pPr>
        <w:pStyle w:val="Corpo"/>
        <w:numPr>
          <w:ilvl w:val="0"/>
          <w:numId w:val="35"/>
        </w:numPr>
        <w:spacing w:after="120"/>
        <w:rPr>
          <w:rFonts w:hint="eastAsia"/>
          <w:bCs/>
          <w:color w:val="404040" w:themeColor="text1" w:themeTint="BF"/>
          <w:sz w:val="24"/>
        </w:rPr>
      </w:pPr>
      <w:r>
        <w:rPr>
          <w:bCs/>
          <w:color w:val="404040" w:themeColor="text1" w:themeTint="BF"/>
          <w:sz w:val="24"/>
        </w:rPr>
        <w:t>Em relação às diferenças entre os grupos ao longo do tempo (</w:t>
      </w:r>
      <w:r>
        <w:rPr>
          <w:rFonts w:ascii="Calibri" w:hAnsi="Calibri" w:cs="Calibri"/>
          <w:bCs/>
          <w:color w:val="404040" w:themeColor="text1" w:themeTint="BF"/>
          <w:sz w:val="24"/>
        </w:rPr>
        <w:t>β</w:t>
      </w:r>
      <w:r>
        <w:rPr>
          <w:bCs/>
          <w:color w:val="404040" w:themeColor="text1" w:themeTint="BF"/>
          <w:sz w:val="24"/>
        </w:rPr>
        <w:t>), uma diferen</w:t>
      </w:r>
      <w:r>
        <w:rPr>
          <w:rFonts w:cs="Swis721 Th BT"/>
          <w:bCs/>
          <w:color w:val="404040" w:themeColor="text1" w:themeTint="BF"/>
          <w:sz w:val="24"/>
        </w:rPr>
        <w:t>ç</w:t>
      </w:r>
      <w:r>
        <w:rPr>
          <w:bCs/>
          <w:color w:val="404040" w:themeColor="text1" w:themeTint="BF"/>
          <w:sz w:val="24"/>
        </w:rPr>
        <w:t>a estatisticamente significativa entre o grupo suplementado e placebo foi observada para: RQ (</w:t>
      </w:r>
      <w:r>
        <w:rPr>
          <w:rFonts w:ascii="Calibri" w:hAnsi="Calibri" w:cs="Calibri"/>
          <w:bCs/>
          <w:color w:val="404040" w:themeColor="text1" w:themeTint="BF"/>
          <w:sz w:val="24"/>
        </w:rPr>
        <w:t>β</w:t>
      </w:r>
      <w:r>
        <w:rPr>
          <w:bCs/>
          <w:color w:val="404040" w:themeColor="text1" w:themeTint="BF"/>
          <w:sz w:val="24"/>
        </w:rPr>
        <w:t xml:space="preserve"> = -0,04, p = 0,009), porcentagem de oxida</w:t>
      </w:r>
      <w:r>
        <w:rPr>
          <w:rFonts w:cs="Swis721 Th BT"/>
          <w:bCs/>
          <w:color w:val="404040" w:themeColor="text1" w:themeTint="BF"/>
          <w:sz w:val="24"/>
        </w:rPr>
        <w:t>çã</w:t>
      </w:r>
      <w:r>
        <w:rPr>
          <w:bCs/>
          <w:color w:val="404040" w:themeColor="text1" w:themeTint="BF"/>
          <w:sz w:val="24"/>
        </w:rPr>
        <w:t>o de gordura (</w:t>
      </w:r>
      <w:r>
        <w:rPr>
          <w:rFonts w:ascii="Calibri" w:hAnsi="Calibri" w:cs="Calibri"/>
          <w:bCs/>
          <w:color w:val="404040" w:themeColor="text1" w:themeTint="BF"/>
          <w:sz w:val="24"/>
        </w:rPr>
        <w:t>β</w:t>
      </w:r>
      <w:r>
        <w:rPr>
          <w:bCs/>
          <w:color w:val="404040" w:themeColor="text1" w:themeTint="BF"/>
          <w:sz w:val="24"/>
        </w:rPr>
        <w:t xml:space="preserve"> = 11,04, p = 0,0006), insulina (</w:t>
      </w:r>
      <w:r>
        <w:rPr>
          <w:rFonts w:ascii="Calibri" w:hAnsi="Calibri" w:cs="Calibri"/>
          <w:bCs/>
          <w:color w:val="404040" w:themeColor="text1" w:themeTint="BF"/>
          <w:sz w:val="24"/>
        </w:rPr>
        <w:t>β</w:t>
      </w:r>
      <w:r>
        <w:rPr>
          <w:bCs/>
          <w:color w:val="404040" w:themeColor="text1" w:themeTint="BF"/>
          <w:sz w:val="24"/>
        </w:rPr>
        <w:t xml:space="preserve"> = -1,74, p = 0,009), HOMA, </w:t>
      </w:r>
      <w:r>
        <w:rPr>
          <w:bCs/>
          <w:i/>
          <w:iCs/>
          <w:color w:val="404040" w:themeColor="text1" w:themeTint="BF"/>
          <w:sz w:val="24"/>
        </w:rPr>
        <w:t>homeostasis model assessment</w:t>
      </w:r>
      <w:r>
        <w:rPr>
          <w:bCs/>
          <w:color w:val="404040" w:themeColor="text1" w:themeTint="BF"/>
          <w:sz w:val="24"/>
        </w:rPr>
        <w:t xml:space="preserve"> (</w:t>
      </w:r>
      <w:r>
        <w:rPr>
          <w:rFonts w:ascii="Calibri" w:hAnsi="Calibri" w:cs="Calibri"/>
          <w:bCs/>
          <w:color w:val="404040" w:themeColor="text1" w:themeTint="BF"/>
          <w:sz w:val="24"/>
        </w:rPr>
        <w:t>β</w:t>
      </w:r>
      <w:r>
        <w:rPr>
          <w:bCs/>
          <w:color w:val="404040" w:themeColor="text1" w:themeTint="BF"/>
          <w:sz w:val="24"/>
        </w:rPr>
        <w:t xml:space="preserve"> = -0,31, p = 0,02), circunfer</w:t>
      </w:r>
      <w:r>
        <w:rPr>
          <w:rFonts w:cs="Swis721 Th BT"/>
          <w:bCs/>
          <w:color w:val="404040" w:themeColor="text1" w:themeTint="BF"/>
          <w:sz w:val="24"/>
        </w:rPr>
        <w:t>ê</w:t>
      </w:r>
      <w:r>
        <w:rPr>
          <w:bCs/>
          <w:color w:val="404040" w:themeColor="text1" w:themeTint="BF"/>
          <w:sz w:val="24"/>
        </w:rPr>
        <w:t>ncia da cintura (</w:t>
      </w:r>
      <w:r>
        <w:rPr>
          <w:rFonts w:ascii="Calibri" w:hAnsi="Calibri" w:cs="Calibri"/>
          <w:bCs/>
          <w:color w:val="404040" w:themeColor="text1" w:themeTint="BF"/>
          <w:sz w:val="24"/>
        </w:rPr>
        <w:t>β</w:t>
      </w:r>
      <w:r>
        <w:rPr>
          <w:bCs/>
          <w:color w:val="404040" w:themeColor="text1" w:themeTint="BF"/>
          <w:sz w:val="24"/>
        </w:rPr>
        <w:t xml:space="preserve"> = -1,07, p = 0,007), REE (</w:t>
      </w:r>
      <w:r>
        <w:rPr>
          <w:rFonts w:ascii="Calibri" w:hAnsi="Calibri" w:cs="Calibri"/>
          <w:bCs/>
          <w:color w:val="404040" w:themeColor="text1" w:themeTint="BF"/>
          <w:sz w:val="24"/>
        </w:rPr>
        <w:t>β</w:t>
      </w:r>
      <w:r>
        <w:rPr>
          <w:bCs/>
          <w:color w:val="404040" w:themeColor="text1" w:themeTint="BF"/>
          <w:sz w:val="24"/>
        </w:rPr>
        <w:t xml:space="preserve"> = 83,21, p = 0,009)  e PCR, prote</w:t>
      </w:r>
      <w:r>
        <w:rPr>
          <w:rFonts w:cs="Swis721 Th BT"/>
          <w:bCs/>
          <w:color w:val="404040" w:themeColor="text1" w:themeTint="BF"/>
          <w:sz w:val="24"/>
        </w:rPr>
        <w:t>í</w:t>
      </w:r>
      <w:r>
        <w:rPr>
          <w:bCs/>
          <w:color w:val="404040" w:themeColor="text1" w:themeTint="BF"/>
          <w:sz w:val="24"/>
        </w:rPr>
        <w:t>na C reativa (</w:t>
      </w:r>
      <w:r>
        <w:rPr>
          <w:rFonts w:ascii="Calibri" w:hAnsi="Calibri" w:cs="Calibri"/>
          <w:bCs/>
          <w:color w:val="404040" w:themeColor="text1" w:themeTint="BF"/>
          <w:sz w:val="24"/>
        </w:rPr>
        <w:t>β</w:t>
      </w:r>
      <w:r>
        <w:rPr>
          <w:bCs/>
          <w:color w:val="404040" w:themeColor="text1" w:themeTint="BF"/>
          <w:sz w:val="24"/>
        </w:rPr>
        <w:t xml:space="preserve"> = -0,14, p = 0,02).</w:t>
      </w:r>
    </w:p>
    <w:p w14:paraId="7F783136" w14:textId="77777777" w:rsidR="00CD65C2" w:rsidRDefault="00CD65C2">
      <w:pPr>
        <w:pStyle w:val="Corpo"/>
        <w:spacing w:after="120"/>
        <w:ind w:left="786"/>
        <w:rPr>
          <w:rFonts w:hint="eastAsia"/>
          <w:color w:val="404040" w:themeColor="text1" w:themeTint="BF"/>
          <w:sz w:val="24"/>
        </w:rPr>
      </w:pPr>
    </w:p>
    <w:p w14:paraId="4104E98A"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748035F6" w14:textId="77777777" w:rsidR="00CD65C2" w:rsidRDefault="00CD65C2">
      <w:pPr>
        <w:pStyle w:val="Corpo"/>
        <w:rPr>
          <w:rFonts w:hint="eastAsia"/>
          <w:b/>
          <w:color w:val="339966"/>
          <w:sz w:val="16"/>
          <w:szCs w:val="16"/>
          <w14:textFill>
            <w14:solidFill>
              <w14:srgbClr w14:val="339966">
                <w14:lumMod w14:val="75000"/>
                <w14:lumOff w14:val="25000"/>
              </w14:srgbClr>
            </w14:solidFill>
          </w14:textFill>
        </w:rPr>
      </w:pPr>
    </w:p>
    <w:p w14:paraId="75A30E9B" w14:textId="77777777" w:rsidR="00CD65C2" w:rsidRDefault="00FA41FC">
      <w:pPr>
        <w:pStyle w:val="Corpo"/>
        <w:jc w:val="center"/>
        <w:rPr>
          <w:rFonts w:hint="eastAsia"/>
          <w:b/>
          <w:i/>
          <w:iCs/>
          <w:color w:val="404040" w:themeColor="text1" w:themeTint="BF"/>
        </w:rPr>
      </w:pPr>
      <w:r>
        <w:rPr>
          <w:b/>
          <w:i/>
          <w:iCs/>
          <w:color w:val="404040" w:themeColor="text1" w:themeTint="BF"/>
        </w:rPr>
        <w:t>Esses resultados demonstram que a suplementação de extrato de chá verde por 60 dias neutraliza a disfunção do tecido adiposo em mulheres na pós-menopausa, sobrepesadas ou obesas.</w:t>
      </w:r>
    </w:p>
    <w:p w14:paraId="0B745469" w14:textId="77777777" w:rsidR="00CD65C2" w:rsidRDefault="00CD65C2">
      <w:pPr>
        <w:pStyle w:val="Corpo"/>
        <w:jc w:val="center"/>
        <w:rPr>
          <w:rFonts w:hint="eastAsia"/>
          <w:b/>
          <w:bCs/>
          <w:i/>
          <w:color w:val="404040" w:themeColor="text1" w:themeTint="BF"/>
        </w:rPr>
      </w:pPr>
    </w:p>
    <w:p w14:paraId="08D6FC9E" w14:textId="77777777" w:rsidR="00CD65C2" w:rsidRDefault="00FA41FC">
      <w:pPr>
        <w:pStyle w:val="Ttulo1"/>
        <w:jc w:val="center"/>
        <w:rPr>
          <w:rFonts w:hint="eastAsia"/>
        </w:rPr>
      </w:pPr>
      <w:bookmarkStart w:id="87" w:name="_Toc165537237"/>
      <w:r>
        <w:t>Formulário</w:t>
      </w:r>
      <w:bookmarkEnd w:id="87"/>
    </w:p>
    <w:p w14:paraId="3AA5DCEA" w14:textId="77777777" w:rsidR="00CD65C2" w:rsidRDefault="00CD65C2">
      <w:pPr>
        <w:pStyle w:val="Corpo"/>
        <w:rPr>
          <w:rFonts w:hint="eastAsia"/>
          <w:b/>
          <w:i/>
          <w:color w:val="404040" w:themeColor="text1" w:themeTint="BF"/>
        </w:rPr>
      </w:pPr>
    </w:p>
    <w:p w14:paraId="0818DA99" w14:textId="77777777" w:rsidR="00CD65C2" w:rsidRDefault="00CD65C2">
      <w:pPr>
        <w:pStyle w:val="Corpo"/>
        <w:rPr>
          <w:rFonts w:hint="eastAsia"/>
          <w:b/>
          <w:i/>
          <w:color w:val="404040" w:themeColor="text1" w:themeTint="BF"/>
        </w:rPr>
      </w:pPr>
    </w:p>
    <w:p w14:paraId="3C86CE0A" w14:textId="77777777" w:rsidR="00CD65C2" w:rsidRDefault="00FA41FC">
      <w:pPr>
        <w:pStyle w:val="Corpo"/>
        <w:rPr>
          <w:rFonts w:hint="eastAsia"/>
          <w:b/>
          <w:i/>
          <w:color w:val="404040" w:themeColor="text1" w:themeTint="BF"/>
          <w:sz w:val="10"/>
          <w:szCs w:val="10"/>
        </w:rPr>
      </w:pPr>
      <w:r>
        <w:rPr>
          <w:b/>
          <w:i/>
          <w:color w:val="404040" w:themeColor="text1" w:themeTint="BF"/>
          <w:sz w:val="24"/>
        </w:rPr>
        <w:t>Extrato de Chá Verde na Composição Corpórea na Pós-Menopausa</w:t>
      </w:r>
    </w:p>
    <w:p w14:paraId="1A9B20CA" w14:textId="77777777" w:rsidR="00CD65C2" w:rsidRDefault="00CD65C2">
      <w:pPr>
        <w:pStyle w:val="Corpo"/>
        <w:rPr>
          <w:rFonts w:hint="eastAsia"/>
          <w:b/>
          <w:i/>
          <w:color w:val="404040" w:themeColor="text1" w:themeTint="BF"/>
          <w:sz w:val="10"/>
          <w:szCs w:val="10"/>
        </w:rPr>
      </w:pPr>
    </w:p>
    <w:tbl>
      <w:tblPr>
        <w:tblStyle w:val="Tabelacomgrade"/>
        <w:tblpPr w:leftFromText="141" w:rightFromText="141" w:vertAnchor="text" w:tblpY="1"/>
        <w:tblOverlap w:val="never"/>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2617154F"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4C459FFA" w14:textId="77777777" w:rsidR="00CD65C2" w:rsidRDefault="00FA41FC">
            <w:pPr>
              <w:pStyle w:val="Corpo"/>
              <w:jc w:val="center"/>
              <w:rPr>
                <w:rFonts w:hint="eastAsia"/>
                <w:b/>
                <w:color w:val="FFFFFF" w:themeColor="background1"/>
                <w:szCs w:val="23"/>
              </w:rPr>
            </w:pPr>
            <w:r>
              <w:rPr>
                <w:b/>
                <w:color w:val="FFFFFF" w:themeColor="background1"/>
                <w:szCs w:val="23"/>
              </w:rPr>
              <w:t>Cápsulas de Greenselect Phytosome</w:t>
            </w:r>
            <w:r>
              <w:rPr>
                <w:b/>
                <w:color w:val="FFFFFF" w:themeColor="background1"/>
                <w:szCs w:val="23"/>
                <w:vertAlign w:val="superscript"/>
              </w:rPr>
              <w:t>®</w:t>
            </w:r>
          </w:p>
        </w:tc>
      </w:tr>
      <w:tr w:rsidR="00CD65C2" w14:paraId="399ADB29"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E994938" w14:textId="77777777" w:rsidR="00CD65C2" w:rsidRDefault="00FA41FC">
            <w:pPr>
              <w:pStyle w:val="Corpo"/>
              <w:jc w:val="center"/>
              <w:rPr>
                <w:rFonts w:hint="eastAsia"/>
                <w:color w:val="404040" w:themeColor="text1" w:themeTint="BF"/>
              </w:rPr>
            </w:pPr>
            <w:r>
              <w:rPr>
                <w:color w:val="404040" w:themeColor="text1" w:themeTint="BF"/>
              </w:rPr>
              <w:t>Greenselect Phytosome</w:t>
            </w:r>
            <w:r>
              <w:rPr>
                <w:color w:val="404040" w:themeColor="text1" w:themeTint="BF"/>
                <w:vertAlign w:val="superscript"/>
              </w:rPr>
              <w:t>®</w:t>
            </w:r>
            <w:r>
              <w:rPr>
                <w:color w:val="404040" w:themeColor="text1" w:themeTint="BF"/>
              </w:rPr>
              <w:t xml:space="preserve"> .............150 mg</w:t>
            </w:r>
          </w:p>
        </w:tc>
      </w:tr>
      <w:tr w:rsidR="00CD65C2" w14:paraId="3586DCCA"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4D68A5E" w14:textId="2CF76B75" w:rsidR="00CD65C2" w:rsidRDefault="00FA41FC">
            <w:pPr>
              <w:pStyle w:val="Corpo"/>
              <w:jc w:val="center"/>
              <w:rPr>
                <w:rFonts w:hint="eastAsia"/>
                <w:iCs/>
                <w:color w:val="404040" w:themeColor="text1" w:themeTint="BF"/>
              </w:rPr>
            </w:pPr>
            <w:r>
              <w:rPr>
                <w:color w:val="404040" w:themeColor="text1" w:themeTint="BF"/>
              </w:rPr>
              <w:t>Excipiente q.s.p. .......................1 Cápsula</w:t>
            </w:r>
          </w:p>
        </w:tc>
      </w:tr>
    </w:tbl>
    <w:p w14:paraId="11D10468" w14:textId="77777777" w:rsidR="00CD65C2" w:rsidRDefault="00FA41FC">
      <w:pPr>
        <w:pStyle w:val="Corpo"/>
        <w:ind w:right="4818"/>
        <w:jc w:val="center"/>
        <w:rPr>
          <w:rFonts w:hint="eastAsia"/>
          <w:color w:val="404040" w:themeColor="text1" w:themeTint="BF"/>
          <w:sz w:val="22"/>
          <w:szCs w:val="22"/>
        </w:rPr>
      </w:pPr>
      <w:r>
        <w:rPr>
          <w:color w:val="404040" w:themeColor="text1" w:themeTint="BF"/>
          <w:sz w:val="22"/>
          <w:szCs w:val="22"/>
        </w:rPr>
        <w:t>Administrar 1 cápsula ao dia antes do almoço e outra antes do jantar ou conforme orientação médica.</w:t>
      </w:r>
    </w:p>
    <w:p w14:paraId="1AA2C726" w14:textId="77777777" w:rsidR="00CD65C2" w:rsidRDefault="00CD65C2">
      <w:pPr>
        <w:pStyle w:val="SemEspaamento"/>
      </w:pPr>
    </w:p>
    <w:p w14:paraId="71BECD93" w14:textId="77777777" w:rsidR="00CD65C2" w:rsidRDefault="00CD65C2">
      <w:pPr>
        <w:pStyle w:val="SemEspaamento"/>
      </w:pPr>
    </w:p>
    <w:p w14:paraId="3FE17943" w14:textId="77777777" w:rsidR="00CD65C2" w:rsidRDefault="00CD65C2">
      <w:pPr>
        <w:pStyle w:val="SemEspaamento"/>
      </w:pPr>
    </w:p>
    <w:p w14:paraId="47F5D8BB" w14:textId="77777777" w:rsidR="00CD65C2" w:rsidRDefault="00CD65C2">
      <w:pPr>
        <w:pStyle w:val="SemEspaamento"/>
      </w:pPr>
    </w:p>
    <w:p w14:paraId="3D884C29" w14:textId="77777777" w:rsidR="00CD65C2" w:rsidRDefault="00CD65C2">
      <w:pPr>
        <w:pStyle w:val="SemEspaamento"/>
      </w:pPr>
    </w:p>
    <w:p w14:paraId="30DE8CA6" w14:textId="77777777" w:rsidR="00CD65C2" w:rsidRDefault="00CD65C2">
      <w:pPr>
        <w:pStyle w:val="SemEspaamento"/>
      </w:pPr>
    </w:p>
    <w:p w14:paraId="64C68848" w14:textId="77777777" w:rsidR="00CD65C2" w:rsidRDefault="00CD65C2">
      <w:pPr>
        <w:pStyle w:val="SemEspaamento"/>
      </w:pPr>
    </w:p>
    <w:p w14:paraId="2F67130A" w14:textId="77777777" w:rsidR="00CD65C2" w:rsidRDefault="00CD65C2">
      <w:pPr>
        <w:pStyle w:val="SemEspaamento"/>
      </w:pPr>
    </w:p>
    <w:p w14:paraId="20523B27" w14:textId="77777777" w:rsidR="00CD65C2" w:rsidRDefault="00CD65C2">
      <w:pPr>
        <w:pStyle w:val="SemEspaamento"/>
      </w:pPr>
    </w:p>
    <w:p w14:paraId="0DB41CD0" w14:textId="77777777" w:rsidR="00CD65C2" w:rsidRDefault="00CD65C2">
      <w:pPr>
        <w:pStyle w:val="SemEspaamento"/>
      </w:pPr>
    </w:p>
    <w:p w14:paraId="51C222A4" w14:textId="77777777" w:rsidR="00CD65C2" w:rsidRDefault="00CD65C2">
      <w:pPr>
        <w:pStyle w:val="SemEspaamento"/>
      </w:pPr>
    </w:p>
    <w:p w14:paraId="1FB7C792" w14:textId="77777777" w:rsidR="00CD65C2" w:rsidRDefault="00CD65C2">
      <w:pPr>
        <w:pStyle w:val="SemEspaamento"/>
      </w:pPr>
    </w:p>
    <w:p w14:paraId="686FE548" w14:textId="77777777" w:rsidR="00CD65C2" w:rsidRDefault="00CD65C2">
      <w:pPr>
        <w:pStyle w:val="SemEspaamento"/>
      </w:pPr>
    </w:p>
    <w:p w14:paraId="27BBF2AB" w14:textId="77777777" w:rsidR="00CD65C2" w:rsidRDefault="00CD65C2">
      <w:pPr>
        <w:pStyle w:val="SemEspaamento"/>
      </w:pPr>
    </w:p>
    <w:p w14:paraId="70595918" w14:textId="77777777" w:rsidR="00CD65C2" w:rsidRDefault="00CD65C2">
      <w:pPr>
        <w:pStyle w:val="SemEspaamento"/>
      </w:pPr>
    </w:p>
    <w:p w14:paraId="2EBBD8CB" w14:textId="77777777" w:rsidR="00CD65C2" w:rsidRDefault="00CD65C2">
      <w:pPr>
        <w:pStyle w:val="SemEspaamento"/>
      </w:pPr>
    </w:p>
    <w:p w14:paraId="7778ACF3" w14:textId="77777777" w:rsidR="00CD65C2" w:rsidRDefault="00CD65C2">
      <w:pPr>
        <w:pStyle w:val="SemEspaamento"/>
      </w:pPr>
    </w:p>
    <w:p w14:paraId="6B8FD1DF" w14:textId="77777777" w:rsidR="00CD65C2" w:rsidRDefault="00CD65C2">
      <w:pPr>
        <w:pStyle w:val="SemEspaamento"/>
      </w:pPr>
    </w:p>
    <w:p w14:paraId="077351ED" w14:textId="77777777" w:rsidR="00CD65C2" w:rsidRDefault="00CD65C2">
      <w:pPr>
        <w:pStyle w:val="SemEspaamento"/>
      </w:pPr>
    </w:p>
    <w:p w14:paraId="6E1A9297" w14:textId="77777777" w:rsidR="00CD65C2" w:rsidRDefault="00CD65C2">
      <w:pPr>
        <w:pStyle w:val="SemEspaamento"/>
      </w:pPr>
    </w:p>
    <w:p w14:paraId="0C768C1E" w14:textId="77777777" w:rsidR="00CD65C2" w:rsidRDefault="00CD65C2">
      <w:pPr>
        <w:pStyle w:val="SemEspaamento"/>
      </w:pPr>
    </w:p>
    <w:p w14:paraId="3AEA05AF" w14:textId="77777777" w:rsidR="00CD65C2" w:rsidRDefault="00CD65C2">
      <w:pPr>
        <w:pStyle w:val="SemEspaamento"/>
      </w:pPr>
    </w:p>
    <w:p w14:paraId="3EE8D98D" w14:textId="77777777" w:rsidR="00CD65C2" w:rsidRDefault="00CD65C2">
      <w:pPr>
        <w:pStyle w:val="SemEspaamento"/>
      </w:pPr>
    </w:p>
    <w:p w14:paraId="05EEBAF0" w14:textId="77777777" w:rsidR="00CD65C2" w:rsidRDefault="00CD65C2">
      <w:pPr>
        <w:pStyle w:val="SemEspaamento"/>
      </w:pPr>
    </w:p>
    <w:p w14:paraId="32862BF5" w14:textId="77777777" w:rsidR="00CD65C2" w:rsidRDefault="00CD65C2">
      <w:pPr>
        <w:pStyle w:val="SemEspaamento"/>
      </w:pPr>
    </w:p>
    <w:p w14:paraId="60511445" w14:textId="77777777" w:rsidR="00CD65C2" w:rsidRDefault="00CD65C2">
      <w:pPr>
        <w:pStyle w:val="SemEspaamento"/>
      </w:pPr>
    </w:p>
    <w:p w14:paraId="218372BC" w14:textId="77777777" w:rsidR="00CD65C2" w:rsidRDefault="00CD65C2">
      <w:pPr>
        <w:pStyle w:val="SemEspaamento"/>
      </w:pPr>
    </w:p>
    <w:p w14:paraId="4AD55DB4" w14:textId="77777777" w:rsidR="00CD65C2" w:rsidRDefault="00CD65C2">
      <w:pPr>
        <w:pStyle w:val="SemEspaamento"/>
      </w:pPr>
    </w:p>
    <w:p w14:paraId="7678A033" w14:textId="77777777" w:rsidR="00CD65C2" w:rsidRDefault="00CD65C2">
      <w:pPr>
        <w:pStyle w:val="SemEspaamento"/>
      </w:pPr>
    </w:p>
    <w:p w14:paraId="0CA6AE41" w14:textId="77777777" w:rsidR="00CD65C2" w:rsidRDefault="00CD65C2">
      <w:pPr>
        <w:pStyle w:val="SemEspaamento"/>
      </w:pPr>
    </w:p>
    <w:p w14:paraId="7177B27A" w14:textId="77777777" w:rsidR="00CD65C2" w:rsidRDefault="00CD65C2">
      <w:pPr>
        <w:pStyle w:val="SemEspaamento"/>
      </w:pPr>
    </w:p>
    <w:p w14:paraId="1806DB5F" w14:textId="77777777" w:rsidR="00CD65C2" w:rsidRDefault="00CD65C2">
      <w:pPr>
        <w:pStyle w:val="SemEspaamento"/>
      </w:pPr>
    </w:p>
    <w:p w14:paraId="5A1A9876" w14:textId="77777777" w:rsidR="00CD65C2" w:rsidRDefault="00FA41FC">
      <w:pPr>
        <w:pStyle w:val="Ttulo1"/>
        <w:jc w:val="center"/>
        <w:rPr>
          <w:rFonts w:hint="eastAsia"/>
        </w:rPr>
      </w:pPr>
      <w:bookmarkStart w:id="88" w:name="_Toc165537238"/>
      <w:r>
        <w:rPr>
          <w:bCs/>
          <w:iCs/>
        </w:rPr>
        <w:t>Vitamina D3</w:t>
      </w:r>
      <w:bookmarkEnd w:id="88"/>
    </w:p>
    <w:p w14:paraId="4957D59C" w14:textId="77777777" w:rsidR="00CD65C2" w:rsidRPr="00D1428E" w:rsidRDefault="00FA41FC">
      <w:pPr>
        <w:pStyle w:val="Corpo"/>
        <w:spacing w:after="120"/>
        <w:jc w:val="center"/>
        <w:rPr>
          <w:rFonts w:hint="eastAsia"/>
          <w:color w:val="0070C0"/>
          <w:sz w:val="24"/>
        </w:rPr>
      </w:pPr>
      <w:r w:rsidRPr="00D1428E">
        <w:rPr>
          <w:b/>
          <w:bCs/>
          <w:color w:val="0070C0"/>
          <w:sz w:val="40"/>
        </w:rPr>
        <w:t>Melhora o Perfil de Adipocinas de Mulheres na Pós-Menopausa</w:t>
      </w:r>
    </w:p>
    <w:p w14:paraId="49AAAD58" w14:textId="77777777" w:rsidR="00CD65C2" w:rsidRDefault="00CD65C2">
      <w:pPr>
        <w:pStyle w:val="Corpo"/>
        <w:rPr>
          <w:rFonts w:hint="eastAsia"/>
          <w:color w:val="404040" w:themeColor="text1" w:themeTint="BF"/>
          <w:sz w:val="24"/>
          <w:lang w:val="pt-PT"/>
        </w:rPr>
      </w:pPr>
    </w:p>
    <w:p w14:paraId="33C8E37C" w14:textId="77777777" w:rsidR="00CD65C2" w:rsidRDefault="00FA41FC">
      <w:pPr>
        <w:pStyle w:val="Corpo"/>
        <w:rPr>
          <w:rFonts w:hint="eastAsia"/>
          <w:color w:val="404040" w:themeColor="text1" w:themeTint="BF"/>
          <w:sz w:val="24"/>
        </w:rPr>
      </w:pPr>
      <w:r>
        <w:rPr>
          <w:color w:val="404040" w:themeColor="text1" w:themeTint="BF"/>
          <w:sz w:val="24"/>
        </w:rPr>
        <w:t xml:space="preserve">Um estudo publicado no periódico internacional </w:t>
      </w:r>
      <w:r>
        <w:rPr>
          <w:i/>
          <w:iCs/>
          <w:color w:val="404040" w:themeColor="text1" w:themeTint="BF"/>
          <w:sz w:val="24"/>
        </w:rPr>
        <w:t>Menopause</w:t>
      </w:r>
      <w:r>
        <w:rPr>
          <w:color w:val="404040" w:themeColor="text1" w:themeTint="BF"/>
          <w:sz w:val="24"/>
        </w:rPr>
        <w:t xml:space="preserve"> teve como objetivo avaliar os efeitos da suplementação de vitamina D3 no perfil das adipocinas em mulheres na pós-menopausa (</w:t>
      </w:r>
      <w:r>
        <w:rPr>
          <w:color w:val="404040" w:themeColor="text1" w:themeTint="BF"/>
        </w:rPr>
        <w:t xml:space="preserve">Schmitt </w:t>
      </w:r>
      <w:r>
        <w:rPr>
          <w:i/>
          <w:color w:val="404040" w:themeColor="text1" w:themeTint="BF"/>
        </w:rPr>
        <w:t xml:space="preserve">et al., </w:t>
      </w:r>
      <w:r>
        <w:rPr>
          <w:color w:val="404040" w:themeColor="text1" w:themeTint="BF"/>
        </w:rPr>
        <w:t>2022).</w:t>
      </w:r>
    </w:p>
    <w:p w14:paraId="3CCBCFB5"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39488" behindDoc="0" locked="0" layoutInCell="1" allowOverlap="1">
                <wp:simplePos x="0" y="0"/>
                <wp:positionH relativeFrom="margin">
                  <wp:posOffset>-1905</wp:posOffset>
                </wp:positionH>
                <wp:positionV relativeFrom="paragraph">
                  <wp:posOffset>147955</wp:posOffset>
                </wp:positionV>
                <wp:extent cx="5735955" cy="870585"/>
                <wp:effectExtent l="0" t="0" r="17780" b="24765"/>
                <wp:wrapNone/>
                <wp:docPr id="739657730" name="Caixa de texto 739657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781" cy="870857"/>
                        </a:xfrm>
                        <a:prstGeom prst="rect">
                          <a:avLst/>
                        </a:prstGeom>
                        <a:solidFill>
                          <a:schemeClr val="bg1">
                            <a:lumMod val="100000"/>
                            <a:lumOff val="0"/>
                          </a:schemeClr>
                        </a:solidFill>
                        <a:ln w="9525">
                          <a:solidFill>
                            <a:srgbClr val="0070C0"/>
                          </a:solidFill>
                          <a:miter lim="800000"/>
                        </a:ln>
                      </wps:spPr>
                      <wps:txbx>
                        <w:txbxContent>
                          <w:p w14:paraId="1F9E5518" w14:textId="2BDFD1E9" w:rsidR="00FA41FC" w:rsidRDefault="00FA41FC">
                            <w:pPr>
                              <w:jc w:val="center"/>
                              <w:rPr>
                                <w:rFonts w:ascii="Swis721 Th BT" w:eastAsia="MS Mincho" w:hAnsi="Swis721 Th BT" w:hint="eastAsia"/>
                                <w:color w:val="000000"/>
                                <w14:textFill>
                                  <w14:solidFill>
                                    <w14:srgbClr w14:val="000000">
                                      <w14:lumMod w14:val="75000"/>
                                      <w14:lumOff w14:val="25000"/>
                                    </w14:srgbClr>
                                  </w14:solidFill>
                                </w14:textFill>
                              </w:rPr>
                            </w:pPr>
                            <w:r>
                              <w:rPr>
                                <w:rFonts w:ascii="Swis721 Th BT" w:eastAsia="MS Mincho" w:hAnsi="Swis721 Th BT"/>
                                <w:color w:val="000000"/>
                                <w14:textFill>
                                  <w14:solidFill>
                                    <w14:srgbClr w14:val="000000">
                                      <w14:lumMod w14:val="75000"/>
                                      <w14:lumOff w14:val="25000"/>
                                    </w14:srgbClr>
                                  </w14:solidFill>
                                </w14:textFill>
                              </w:rPr>
                              <w:t>Para isso, 160 mulheres, com amenorreia por mais de 12 meses e com média de idade de 50 a 65 anos, foram selecionadas para participarem deste estudo clínico, randomizado, duplo-cego e controlado por placebo. Elas foram divididas em dois grupos para receberem por no mínimo nove meses a seguinte posologia:</w:t>
                            </w:r>
                          </w:p>
                          <w:p w14:paraId="18332CAC"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730" o:spid="_x0000_s1139" type="#_x0000_t202" style="position:absolute;left:0;text-align:left;margin-left:-.15pt;margin-top:11.65pt;width:451.65pt;height:68.55pt;z-index:2518394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" fillcolor="white [3212]" strokecolor="#0070c0">
                <v:textbox>
                  <w:txbxContent>
                    <w:p w14:paraId="1F9E5518" w14:textId="2BDFD1E9" w:rsidR="00FA41FC" w:rsidRDefault="00FA41FC">
                      <w:pPr>
                        <w:jc w:val="center"/>
                        <w:rPr>
                          <w:rFonts w:ascii="Swis721 Th BT" w:eastAsia="MS Mincho" w:hAnsi="Swis721 Th BT" w:hint="eastAsia"/>
                          <w:color w:val="000000"/>
                          <w14:textFill>
                            <w14:solidFill>
                              <w14:srgbClr w14:val="000000">
                                <w14:lumMod w14:val="75000"/>
                                <w14:lumOff w14:val="25000"/>
                              </w14:srgbClr>
                            </w14:solidFill>
                          </w14:textFill>
                        </w:rPr>
                      </w:pPr>
                      <w:r>
                        <w:rPr>
                          <w:rFonts w:ascii="Swis721 Th BT" w:eastAsia="MS Mincho" w:hAnsi="Swis721 Th BT"/>
                          <w:color w:val="000000"/>
                          <w14:textFill>
                            <w14:solidFill>
                              <w14:srgbClr w14:val="000000">
                                <w14:lumMod w14:val="75000"/>
                                <w14:lumOff w14:val="25000"/>
                              </w14:srgbClr>
                            </w14:solidFill>
                          </w14:textFill>
                        </w:rPr>
                        <w:t>Para isso, 160 mulheres, com amenorreia por mais de 12 meses e com média de idade de 50 a 65 anos, foram selecionadas para participarem deste estudo clínico, randomizado, duplo-cego e controlado por placebo. Elas foram divididas em dois grupos para receberem por no mínimo nove meses a seguinte posologia:</w:t>
                      </w:r>
                    </w:p>
                    <w:p w14:paraId="18332CAC"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7E4589BD" w14:textId="77777777" w:rsidR="00CD65C2" w:rsidRDefault="00CD65C2">
      <w:pPr>
        <w:pStyle w:val="Corpo"/>
        <w:rPr>
          <w:rFonts w:hint="eastAsia"/>
          <w:color w:val="404040" w:themeColor="text1" w:themeTint="BF"/>
        </w:rPr>
      </w:pPr>
    </w:p>
    <w:p w14:paraId="4CC20DE6" w14:textId="77777777" w:rsidR="00CD65C2" w:rsidRDefault="00CD65C2">
      <w:pPr>
        <w:pStyle w:val="Corpo"/>
        <w:rPr>
          <w:rFonts w:hint="eastAsia"/>
          <w:color w:val="404040" w:themeColor="text1" w:themeTint="BF"/>
        </w:rPr>
      </w:pPr>
    </w:p>
    <w:p w14:paraId="4B9BFC4F" w14:textId="77777777" w:rsidR="00CD65C2" w:rsidRDefault="00CD65C2">
      <w:pPr>
        <w:pStyle w:val="Corpo"/>
        <w:rPr>
          <w:rFonts w:hint="eastAsia"/>
          <w:color w:val="404040" w:themeColor="text1" w:themeTint="BF"/>
        </w:rPr>
      </w:pPr>
    </w:p>
    <w:p w14:paraId="3A2B2EAD" w14:textId="77777777" w:rsidR="00CD65C2" w:rsidRDefault="00CD65C2">
      <w:pPr>
        <w:pStyle w:val="Corpo"/>
        <w:rPr>
          <w:rFonts w:hint="eastAsia"/>
          <w:color w:val="404040" w:themeColor="text1" w:themeTint="BF"/>
        </w:rPr>
      </w:pPr>
    </w:p>
    <w:p w14:paraId="25AA83BB"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838464" behindDoc="0" locked="0" layoutInCell="1" allowOverlap="1">
                <wp:simplePos x="0" y="0"/>
                <wp:positionH relativeFrom="column">
                  <wp:posOffset>3339465</wp:posOffset>
                </wp:positionH>
                <wp:positionV relativeFrom="paragraph">
                  <wp:posOffset>90805</wp:posOffset>
                </wp:positionV>
                <wp:extent cx="2383790" cy="925195"/>
                <wp:effectExtent l="0" t="0" r="16510" b="27940"/>
                <wp:wrapNone/>
                <wp:docPr id="739657733" name="Caixa de texto 7396577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3971" cy="925014"/>
                        </a:xfrm>
                        <a:prstGeom prst="rect">
                          <a:avLst/>
                        </a:prstGeom>
                        <a:solidFill>
                          <a:srgbClr val="0070C0"/>
                        </a:solidFill>
                        <a:ln w="9525">
                          <a:solidFill>
                            <a:srgbClr val="0070C0"/>
                          </a:solidFill>
                          <a:miter lim="800000"/>
                        </a:ln>
                      </wps:spPr>
                      <wps:txbx>
                        <w:txbxContent>
                          <w:p w14:paraId="7F009E18"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55BDFF12" w14:textId="77777777" w:rsidR="00FA41FC" w:rsidRDefault="00FA41FC">
                            <w:pPr>
                              <w:spacing w:before="120" w:after="0" w:line="240" w:lineRule="auto"/>
                              <w:jc w:val="center"/>
                              <w:rPr>
                                <w:rFonts w:ascii="Swis721 Th BT" w:hAnsi="Swis721 Th BT"/>
                                <w:color w:val="FFFFFF" w:themeColor="background1"/>
                                <w:sz w:val="23"/>
                                <w:szCs w:val="23"/>
                              </w:rPr>
                            </w:pPr>
                          </w:p>
                          <w:p w14:paraId="74EF3538" w14:textId="77777777" w:rsidR="00FA41FC" w:rsidRDefault="00FA41FC">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17D9A3D3" w14:textId="77777777" w:rsidR="00FA41FC" w:rsidRDefault="00FA41FC">
                            <w:pPr>
                              <w:spacing w:after="0" w:line="240" w:lineRule="auto"/>
                              <w:jc w:val="center"/>
                              <w:rPr>
                                <w:rFonts w:ascii="Swis721 Th BT" w:hAnsi="Swis721 Th BT"/>
                                <w:b/>
                                <w:color w:val="FFFFFF" w:themeColor="background1"/>
                                <w:sz w:val="12"/>
                                <w:szCs w:val="12"/>
                              </w:rPr>
                            </w:pPr>
                          </w:p>
                          <w:p w14:paraId="136EA082" w14:textId="77777777" w:rsidR="00FA41FC" w:rsidRDefault="00FA41FC">
                            <w:pPr>
                              <w:spacing w:after="0" w:line="240" w:lineRule="auto"/>
                              <w:jc w:val="center"/>
                              <w:rPr>
                                <w:rFonts w:ascii="Swis721 Th BT" w:hAnsi="Swis721 Th BT"/>
                                <w:b/>
                                <w:color w:val="FFFFFF" w:themeColor="background1"/>
                                <w:sz w:val="23"/>
                                <w:szCs w:val="23"/>
                              </w:rPr>
                            </w:pPr>
                          </w:p>
                          <w:p w14:paraId="16106050" w14:textId="77777777" w:rsidR="00FA41FC" w:rsidRDefault="00FA41FC">
                            <w:pPr>
                              <w:spacing w:after="0" w:line="240" w:lineRule="auto"/>
                              <w:jc w:val="center"/>
                              <w:rPr>
                                <w:rFonts w:ascii="Swis721 Th BT" w:hAnsi="Swis721 Th BT"/>
                                <w:b/>
                                <w:color w:val="FFFFFF" w:themeColor="background1"/>
                                <w:sz w:val="12"/>
                                <w:szCs w:val="12"/>
                              </w:rPr>
                            </w:pPr>
                          </w:p>
                          <w:p w14:paraId="0D4BA2AD" w14:textId="77777777" w:rsidR="00FA41FC" w:rsidRDefault="00FA41FC"/>
                        </w:txbxContent>
                      </wps:txbx>
                      <wps:bodyPr rot="0" vert="horz" wrap="square" lIns="91440" tIns="45720" rIns="91440" bIns="45720" anchor="t" anchorCtr="0" upright="1">
                        <a:noAutofit/>
                      </wps:bodyPr>
                    </wps:wsp>
                  </a:graphicData>
                </a:graphic>
              </wp:anchor>
            </w:drawing>
          </mc:Choice>
          <mc:Fallback>
            <w:pict>
              <v:shape id="Caixa de texto 739657733" o:spid="_x0000_s1140" type="#_x0000_t202" style="position:absolute;left:0;text-align:left;margin-left:262.95pt;margin-top:7.15pt;width:187.7pt;height:72.85pt;z-index:251838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" fillcolor="#0070c0" strokecolor="#0070c0">
                <v:textbox>
                  <w:txbxContent>
                    <w:p w14:paraId="7F009E18"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55BDFF12" w14:textId="77777777" w:rsidR="00FA41FC" w:rsidRDefault="00FA41FC">
                      <w:pPr>
                        <w:spacing w:before="120" w:after="0" w:line="240" w:lineRule="auto"/>
                        <w:jc w:val="center"/>
                        <w:rPr>
                          <w:rFonts w:ascii="Swis721 Th BT" w:hAnsi="Swis721 Th BT"/>
                          <w:color w:val="FFFFFF" w:themeColor="background1"/>
                          <w:sz w:val="23"/>
                          <w:szCs w:val="23"/>
                        </w:rPr>
                      </w:pPr>
                    </w:p>
                    <w:p w14:paraId="74EF3538" w14:textId="77777777" w:rsidR="00FA41FC" w:rsidRDefault="00FA41FC">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17D9A3D3" w14:textId="77777777" w:rsidR="00FA41FC" w:rsidRDefault="00FA41FC">
                      <w:pPr>
                        <w:spacing w:after="0" w:line="240" w:lineRule="auto"/>
                        <w:jc w:val="center"/>
                        <w:rPr>
                          <w:rFonts w:ascii="Swis721 Th BT" w:hAnsi="Swis721 Th BT"/>
                          <w:b/>
                          <w:color w:val="FFFFFF" w:themeColor="background1"/>
                          <w:sz w:val="12"/>
                          <w:szCs w:val="12"/>
                        </w:rPr>
                      </w:pPr>
                    </w:p>
                    <w:p w14:paraId="136EA082" w14:textId="77777777" w:rsidR="00FA41FC" w:rsidRDefault="00FA41FC">
                      <w:pPr>
                        <w:spacing w:after="0" w:line="240" w:lineRule="auto"/>
                        <w:jc w:val="center"/>
                        <w:rPr>
                          <w:rFonts w:ascii="Swis721 Th BT" w:hAnsi="Swis721 Th BT"/>
                          <w:b/>
                          <w:color w:val="FFFFFF" w:themeColor="background1"/>
                          <w:sz w:val="23"/>
                          <w:szCs w:val="23"/>
                        </w:rPr>
                      </w:pPr>
                    </w:p>
                    <w:p w14:paraId="16106050" w14:textId="77777777" w:rsidR="00FA41FC" w:rsidRDefault="00FA41FC">
                      <w:pPr>
                        <w:spacing w:after="0" w:line="240" w:lineRule="auto"/>
                        <w:jc w:val="center"/>
                        <w:rPr>
                          <w:rFonts w:ascii="Swis721 Th BT" w:hAnsi="Swis721 Th BT"/>
                          <w:b/>
                          <w:color w:val="FFFFFF" w:themeColor="background1"/>
                          <w:sz w:val="12"/>
                          <w:szCs w:val="12"/>
                        </w:rPr>
                      </w:pPr>
                    </w:p>
                    <w:p w14:paraId="0D4BA2AD" w14:textId="77777777" w:rsidR="00FA41FC" w:rsidRDefault="00FA41FC"/>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837440" behindDoc="0" locked="0" layoutInCell="1" allowOverlap="1">
                <wp:simplePos x="0" y="0"/>
                <wp:positionH relativeFrom="column">
                  <wp:posOffset>-1905</wp:posOffset>
                </wp:positionH>
                <wp:positionV relativeFrom="paragraph">
                  <wp:posOffset>69215</wp:posOffset>
                </wp:positionV>
                <wp:extent cx="2383790" cy="946785"/>
                <wp:effectExtent l="0" t="0" r="16510" b="24765"/>
                <wp:wrapNone/>
                <wp:docPr id="739657734" name="Caixa de texto 739657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3971" cy="947057"/>
                        </a:xfrm>
                        <a:prstGeom prst="rect">
                          <a:avLst/>
                        </a:prstGeom>
                        <a:solidFill>
                          <a:srgbClr val="0070C0"/>
                        </a:solidFill>
                        <a:ln w="9525">
                          <a:solidFill>
                            <a:srgbClr val="0070C0"/>
                          </a:solidFill>
                          <a:miter lim="800000"/>
                        </a:ln>
                      </wps:spPr>
                      <wps:txbx>
                        <w:txbxContent>
                          <w:p w14:paraId="5974AF5D" w14:textId="77777777" w:rsidR="00FA41FC" w:rsidRDefault="00FA41FC">
                            <w:pPr>
                              <w:spacing w:after="0" w:line="240" w:lineRule="auto"/>
                              <w:jc w:val="center"/>
                              <w:rPr>
                                <w:rFonts w:ascii="Swis721 Th BT" w:hAnsi="Swis721 Th BT"/>
                                <w:b/>
                                <w:bCs/>
                                <w:i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p>
                          <w:p w14:paraId="6C786CA8"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Vitamina D 1000 UI</w:t>
                            </w:r>
                          </w:p>
                          <w:p w14:paraId="62ED5C1F"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Uma vez ao dia</w:t>
                            </w:r>
                          </w:p>
                          <w:p w14:paraId="46F3EB1A"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739657734" o:spid="_x0000_s1141" type="#_x0000_t202" style="position:absolute;left:0;text-align:left;margin-left:-.15pt;margin-top:5.45pt;width:187.7pt;height:74.55pt;z-index:251837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" fillcolor="#0070c0" strokecolor="#0070c0">
                <v:textbox>
                  <w:txbxContent>
                    <w:p w14:paraId="5974AF5D" w14:textId="77777777" w:rsidR="00FA41FC" w:rsidRDefault="00FA41FC">
                      <w:pPr>
                        <w:spacing w:after="0" w:line="240" w:lineRule="auto"/>
                        <w:jc w:val="center"/>
                        <w:rPr>
                          <w:rFonts w:ascii="Swis721 Th BT" w:hAnsi="Swis721 Th BT"/>
                          <w:b/>
                          <w:bCs/>
                          <w:i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p>
                    <w:p w14:paraId="6C786CA8"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Vitamina D 1000 UI</w:t>
                      </w:r>
                    </w:p>
                    <w:p w14:paraId="62ED5C1F"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Uma vez ao dia</w:t>
                      </w:r>
                    </w:p>
                    <w:p w14:paraId="46F3EB1A"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p>
    <w:p w14:paraId="168F161F" w14:textId="77777777" w:rsidR="00CD65C2" w:rsidRDefault="00CD65C2">
      <w:pPr>
        <w:pStyle w:val="Corpo"/>
        <w:rPr>
          <w:rFonts w:hint="eastAsia"/>
          <w:color w:val="404040" w:themeColor="text1" w:themeTint="BF"/>
        </w:rPr>
      </w:pPr>
    </w:p>
    <w:p w14:paraId="0A50564B" w14:textId="77777777" w:rsidR="00CD65C2" w:rsidRDefault="00CD65C2">
      <w:pPr>
        <w:pStyle w:val="Corpo"/>
        <w:rPr>
          <w:rFonts w:hint="eastAsia"/>
          <w:color w:val="404040" w:themeColor="text1" w:themeTint="BF"/>
        </w:rPr>
      </w:pPr>
    </w:p>
    <w:p w14:paraId="470B231C" w14:textId="77777777" w:rsidR="00CD65C2" w:rsidRDefault="00CD65C2">
      <w:pPr>
        <w:pStyle w:val="Corpo"/>
        <w:rPr>
          <w:rFonts w:hint="eastAsia"/>
          <w:color w:val="404040" w:themeColor="text1" w:themeTint="BF"/>
        </w:rPr>
      </w:pPr>
    </w:p>
    <w:p w14:paraId="114EB4ED" w14:textId="77777777" w:rsidR="00CD65C2" w:rsidRDefault="00CD65C2">
      <w:pPr>
        <w:pStyle w:val="Corpo"/>
        <w:spacing w:before="120"/>
        <w:rPr>
          <w:rFonts w:hint="eastAsia"/>
          <w:color w:val="404040" w:themeColor="text1" w:themeTint="BF"/>
          <w:sz w:val="20"/>
        </w:rPr>
      </w:pPr>
    </w:p>
    <w:p w14:paraId="137FB414" w14:textId="77777777" w:rsidR="00CD65C2" w:rsidRDefault="00FA41FC">
      <w:pPr>
        <w:pStyle w:val="Corpo"/>
        <w:numPr>
          <w:ilvl w:val="1"/>
          <w:numId w:val="4"/>
        </w:numPr>
        <w:spacing w:before="120"/>
        <w:rPr>
          <w:rFonts w:hint="eastAsia"/>
          <w:color w:val="404040" w:themeColor="text1" w:themeTint="BF"/>
          <w:sz w:val="20"/>
        </w:rPr>
      </w:pPr>
      <w:r>
        <w:rPr>
          <w:color w:val="404040" w:themeColor="text1" w:themeTint="BF"/>
          <w:sz w:val="20"/>
        </w:rPr>
        <w:t xml:space="preserve">Mulheres com doença cardiovascular estabelecida, diabetes insulinodependente, insuficiência renal, doenças hepáticas e uso prévio de terapia hormonal na menopausa e vitamina D foram excluídas. Foram determinados, no início e no final do tratamento, os níveis séricos de adiponectina, resistina e adipsina. </w:t>
      </w:r>
    </w:p>
    <w:p w14:paraId="252C1DC9" w14:textId="77777777" w:rsidR="00CD65C2" w:rsidRDefault="00CD65C2">
      <w:pPr>
        <w:pStyle w:val="Corpo"/>
        <w:spacing w:before="120"/>
        <w:rPr>
          <w:rFonts w:hint="eastAsia"/>
          <w:color w:val="404040" w:themeColor="text1" w:themeTint="BF"/>
          <w:sz w:val="20"/>
        </w:rPr>
      </w:pPr>
    </w:p>
    <w:p w14:paraId="287F7C8A"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3DD98FC7" w14:textId="77777777" w:rsidR="00CD65C2" w:rsidRDefault="00CD65C2">
      <w:pPr>
        <w:pStyle w:val="Corpo"/>
        <w:rPr>
          <w:rFonts w:hint="eastAsia"/>
          <w:color w:val="404040" w:themeColor="text1" w:themeTint="BF"/>
          <w:sz w:val="16"/>
          <w:szCs w:val="16"/>
        </w:rPr>
      </w:pPr>
    </w:p>
    <w:p w14:paraId="5E6D905F" w14:textId="77777777" w:rsidR="00CD65C2" w:rsidRDefault="00FA41FC">
      <w:pPr>
        <w:pStyle w:val="Corpo"/>
        <w:numPr>
          <w:ilvl w:val="0"/>
          <w:numId w:val="36"/>
        </w:numPr>
        <w:spacing w:after="0"/>
        <w:rPr>
          <w:rFonts w:hint="eastAsia"/>
          <w:bCs/>
          <w:color w:val="404040" w:themeColor="text1" w:themeTint="BF"/>
          <w:sz w:val="24"/>
        </w:rPr>
      </w:pPr>
      <w:r>
        <w:rPr>
          <w:bCs/>
          <w:color w:val="404040" w:themeColor="text1" w:themeTint="BF"/>
          <w:sz w:val="24"/>
        </w:rPr>
        <w:t>Os indivíduos do grupo 1 apresentaram aumento nas concentrações de 25-hidroxivitamina D de 15,0 para 27,5 ng/mL (+45,4%), que diminuíram de 16,9, para 13,8 ng/mL (-18,5%) no grupo que recebeu o placebo;</w:t>
      </w:r>
    </w:p>
    <w:p w14:paraId="2C486681" w14:textId="2AE23881" w:rsidR="00CD65C2" w:rsidRDefault="00FA41FC">
      <w:pPr>
        <w:pStyle w:val="Corpo"/>
        <w:numPr>
          <w:ilvl w:val="0"/>
          <w:numId w:val="36"/>
        </w:numPr>
        <w:spacing w:after="0"/>
        <w:rPr>
          <w:rFonts w:hint="eastAsia"/>
          <w:bCs/>
          <w:color w:val="404040" w:themeColor="text1" w:themeTint="BF"/>
          <w:sz w:val="24"/>
        </w:rPr>
      </w:pPr>
      <w:r>
        <w:rPr>
          <w:bCs/>
          <w:color w:val="404040" w:themeColor="text1" w:themeTint="BF"/>
          <w:sz w:val="24"/>
        </w:rPr>
        <w:t>Os achados comprovam que no grupo da vitamina D, houve aumento da adiponectina (+18,6%) e diminuição da resistina (-32,4%, P &lt; 0,05);</w:t>
      </w:r>
    </w:p>
    <w:p w14:paraId="70911C1B" w14:textId="77777777" w:rsidR="00CD65C2" w:rsidRDefault="00FA41FC">
      <w:pPr>
        <w:pStyle w:val="Corpo"/>
        <w:numPr>
          <w:ilvl w:val="0"/>
          <w:numId w:val="36"/>
        </w:numPr>
        <w:spacing w:after="0"/>
        <w:rPr>
          <w:rFonts w:hint="eastAsia"/>
          <w:bCs/>
          <w:color w:val="404040" w:themeColor="text1" w:themeTint="BF"/>
          <w:sz w:val="24"/>
        </w:rPr>
      </w:pPr>
      <w:r>
        <w:rPr>
          <w:bCs/>
          <w:color w:val="404040" w:themeColor="text1" w:themeTint="BF"/>
          <w:sz w:val="24"/>
        </w:rPr>
        <w:t xml:space="preserve">No final do estudo, foi observada uma diferença entre os grupos placebo e vitamina D nos níveis médios de adiponectina e resistina (11,5 </w:t>
      </w:r>
      <w:r>
        <w:rPr>
          <w:bCs/>
          <w:i/>
          <w:iCs/>
          <w:color w:val="404040" w:themeColor="text1" w:themeTint="BF"/>
          <w:sz w:val="24"/>
        </w:rPr>
        <w:t>vs</w:t>
      </w:r>
      <w:r>
        <w:rPr>
          <w:bCs/>
          <w:color w:val="404040" w:themeColor="text1" w:themeTint="BF"/>
          <w:sz w:val="24"/>
        </w:rPr>
        <w:t xml:space="preserve">. 18,5 ng/mL, P = 0,047 e 16,5 </w:t>
      </w:r>
      <w:r>
        <w:rPr>
          <w:bCs/>
          <w:i/>
          <w:iCs/>
          <w:color w:val="404040" w:themeColor="text1" w:themeTint="BF"/>
          <w:sz w:val="24"/>
        </w:rPr>
        <w:t>vs</w:t>
      </w:r>
      <w:r>
        <w:rPr>
          <w:bCs/>
          <w:color w:val="404040" w:themeColor="text1" w:themeTint="BF"/>
          <w:sz w:val="24"/>
        </w:rPr>
        <w:t>. 11,7 ng/mL, P = 0,027, respectivamente);</w:t>
      </w:r>
    </w:p>
    <w:p w14:paraId="09F02F53" w14:textId="77777777" w:rsidR="00CD65C2" w:rsidRDefault="00FA41FC">
      <w:pPr>
        <w:pStyle w:val="Corpo"/>
        <w:numPr>
          <w:ilvl w:val="0"/>
          <w:numId w:val="36"/>
        </w:numPr>
        <w:spacing w:after="0"/>
        <w:rPr>
          <w:rFonts w:hint="eastAsia"/>
          <w:bCs/>
          <w:color w:val="404040" w:themeColor="text1" w:themeTint="BF"/>
          <w:sz w:val="24"/>
        </w:rPr>
      </w:pPr>
      <w:r>
        <w:rPr>
          <w:bCs/>
          <w:color w:val="404040" w:themeColor="text1" w:themeTint="BF"/>
          <w:sz w:val="24"/>
        </w:rPr>
        <w:t>Não houve efeitos significativos nos níveis séricos de adipsina.</w:t>
      </w:r>
    </w:p>
    <w:p w14:paraId="5E542BD6" w14:textId="77777777" w:rsidR="00CD65C2" w:rsidRDefault="00CD65C2">
      <w:pPr>
        <w:pStyle w:val="Corpo"/>
        <w:spacing w:after="120"/>
        <w:ind w:left="786"/>
        <w:rPr>
          <w:rFonts w:hint="eastAsia"/>
          <w:color w:val="404040" w:themeColor="text1" w:themeTint="BF"/>
          <w:sz w:val="24"/>
        </w:rPr>
      </w:pPr>
    </w:p>
    <w:p w14:paraId="5E22A2C8"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71CBBE07"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3045F78C" w14:textId="77777777" w:rsidR="00CD65C2" w:rsidRDefault="00FA41FC">
      <w:pPr>
        <w:pStyle w:val="Corpo"/>
        <w:jc w:val="center"/>
        <w:rPr>
          <w:rFonts w:hint="eastAsia"/>
          <w:b/>
          <w:i/>
          <w:iCs/>
          <w:color w:val="404040" w:themeColor="text1" w:themeTint="BF"/>
        </w:rPr>
      </w:pPr>
      <w:r>
        <w:rPr>
          <w:b/>
          <w:i/>
          <w:iCs/>
          <w:color w:val="404040" w:themeColor="text1" w:themeTint="BF"/>
        </w:rPr>
        <w:t>A suplementação diária com 1.000 UI de vitamina D3 isolada foi associada a um aumento nos níveis adiponectina e uma diminuição na resistina, sugerindo um efeito benéfico no perfil de adipocinas de mulheres na pós-menopausa com deficiência de vitamina D.</w:t>
      </w:r>
    </w:p>
    <w:p w14:paraId="07368A02" w14:textId="77777777" w:rsidR="00CD65C2" w:rsidRDefault="00FA41FC">
      <w:pPr>
        <w:pStyle w:val="Ttulo1"/>
        <w:jc w:val="center"/>
        <w:rPr>
          <w:rFonts w:hint="eastAsia"/>
        </w:rPr>
      </w:pPr>
      <w:bookmarkStart w:id="89" w:name="_Toc165537239"/>
      <w:r>
        <w:t>Formulário</w:t>
      </w:r>
      <w:bookmarkEnd w:id="89"/>
    </w:p>
    <w:p w14:paraId="52592187" w14:textId="77777777" w:rsidR="00CD65C2" w:rsidRDefault="00CD65C2">
      <w:pPr>
        <w:pStyle w:val="Corpo"/>
        <w:rPr>
          <w:rFonts w:hint="eastAsia"/>
          <w:b/>
          <w:i/>
          <w:color w:val="404040" w:themeColor="text1" w:themeTint="BF"/>
        </w:rPr>
      </w:pPr>
    </w:p>
    <w:p w14:paraId="406817BA" w14:textId="77777777" w:rsidR="00CD65C2" w:rsidRDefault="00CD65C2">
      <w:pPr>
        <w:pStyle w:val="Corpo"/>
        <w:rPr>
          <w:rFonts w:hint="eastAsia"/>
          <w:b/>
          <w:i/>
          <w:color w:val="404040" w:themeColor="text1" w:themeTint="BF"/>
        </w:rPr>
      </w:pPr>
    </w:p>
    <w:p w14:paraId="746312AF" w14:textId="77777777" w:rsidR="00CD65C2" w:rsidRDefault="00FA41FC">
      <w:pPr>
        <w:pStyle w:val="Corpo"/>
        <w:rPr>
          <w:rFonts w:hint="eastAsia"/>
          <w:b/>
          <w:i/>
          <w:color w:val="404040" w:themeColor="text1" w:themeTint="BF"/>
          <w:sz w:val="24"/>
        </w:rPr>
      </w:pPr>
      <w:r>
        <w:rPr>
          <w:b/>
          <w:i/>
          <w:color w:val="404040" w:themeColor="text1" w:themeTint="BF"/>
          <w:sz w:val="24"/>
        </w:rPr>
        <w:t>Vitamina D Melhora o Perfil das Adipocinas</w:t>
      </w:r>
    </w:p>
    <w:p w14:paraId="17D0B4CB" w14:textId="77777777" w:rsidR="00CD65C2" w:rsidRDefault="00CD65C2">
      <w:pPr>
        <w:pStyle w:val="Corpo"/>
        <w:rPr>
          <w:rFonts w:hint="eastAsia"/>
          <w:b/>
          <w:i/>
          <w:color w:val="404040" w:themeColor="text1" w:themeTint="BF"/>
          <w:sz w:val="10"/>
          <w:szCs w:val="10"/>
        </w:rPr>
      </w:pPr>
    </w:p>
    <w:p w14:paraId="3CB494E8" w14:textId="77777777" w:rsidR="00CD65C2" w:rsidRDefault="00CD65C2">
      <w:pPr>
        <w:pStyle w:val="Corpo"/>
        <w:rPr>
          <w:rFonts w:hint="eastAsia"/>
          <w:b/>
          <w:i/>
          <w:color w:val="404040" w:themeColor="text1" w:themeTint="BF"/>
          <w:sz w:val="10"/>
          <w:szCs w:val="10"/>
        </w:rPr>
      </w:pPr>
    </w:p>
    <w:p w14:paraId="76C154DB" w14:textId="77777777" w:rsidR="00CD65C2" w:rsidRDefault="00CD65C2">
      <w:pPr>
        <w:pStyle w:val="Corpo"/>
        <w:rPr>
          <w:rFonts w:hint="eastAsia"/>
          <w:b/>
          <w:i/>
          <w:color w:val="404040" w:themeColor="text1" w:themeTint="BF"/>
          <w:sz w:val="4"/>
          <w:szCs w:val="4"/>
        </w:rPr>
      </w:pPr>
    </w:p>
    <w:tbl>
      <w:tblPr>
        <w:tblStyle w:val="Tabelacomgrade"/>
        <w:tblpPr w:leftFromText="141" w:rightFromText="141" w:vertAnchor="text" w:tblpY="1"/>
        <w:tblOverlap w:val="never"/>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6A8D43A4"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71E147D2" w14:textId="77777777" w:rsidR="00CD65C2" w:rsidRDefault="00FA41FC">
            <w:pPr>
              <w:pStyle w:val="Corpo"/>
              <w:jc w:val="center"/>
              <w:rPr>
                <w:rFonts w:hint="eastAsia"/>
                <w:b/>
                <w:color w:val="FFFFFF" w:themeColor="background1"/>
                <w:szCs w:val="23"/>
              </w:rPr>
            </w:pPr>
            <w:r>
              <w:rPr>
                <w:b/>
                <w:color w:val="FFFFFF" w:themeColor="background1"/>
                <w:szCs w:val="23"/>
              </w:rPr>
              <w:t>Cápsulas de Vitamina D3</w:t>
            </w:r>
          </w:p>
        </w:tc>
      </w:tr>
      <w:tr w:rsidR="00CD65C2" w14:paraId="77244474"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868CA43" w14:textId="77777777" w:rsidR="00CD65C2" w:rsidRDefault="00FA41FC">
            <w:pPr>
              <w:pStyle w:val="Corpo"/>
              <w:jc w:val="center"/>
              <w:rPr>
                <w:rFonts w:hint="eastAsia"/>
                <w:color w:val="404040" w:themeColor="text1" w:themeTint="BF"/>
              </w:rPr>
            </w:pPr>
            <w:r>
              <w:rPr>
                <w:color w:val="404040" w:themeColor="text1" w:themeTint="BF"/>
              </w:rPr>
              <w:t>Vitamina D3 .................................. 1000 UI</w:t>
            </w:r>
          </w:p>
        </w:tc>
      </w:tr>
      <w:tr w:rsidR="00CD65C2" w14:paraId="031E1996"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563075B" w14:textId="77777777" w:rsidR="00CD65C2" w:rsidRDefault="00FA41FC">
            <w:pPr>
              <w:pStyle w:val="Corpo"/>
              <w:jc w:val="center"/>
              <w:rPr>
                <w:rFonts w:hint="eastAsia"/>
                <w:iCs/>
                <w:color w:val="404040" w:themeColor="text1" w:themeTint="BF"/>
              </w:rPr>
            </w:pPr>
            <w:r>
              <w:rPr>
                <w:color w:val="404040" w:themeColor="text1" w:themeTint="BF"/>
              </w:rPr>
              <w:t>Excipiente q.s.p. ........................1 Cápsula</w:t>
            </w:r>
          </w:p>
        </w:tc>
      </w:tr>
    </w:tbl>
    <w:p w14:paraId="34C835B5" w14:textId="77777777" w:rsidR="00CD65C2" w:rsidRDefault="00FA41FC">
      <w:pPr>
        <w:pStyle w:val="Corpo"/>
        <w:ind w:right="4818"/>
        <w:jc w:val="center"/>
        <w:rPr>
          <w:rFonts w:hint="eastAsia"/>
          <w:color w:val="404040" w:themeColor="text1" w:themeTint="BF"/>
          <w:sz w:val="22"/>
          <w:szCs w:val="22"/>
        </w:rPr>
      </w:pPr>
      <w:r>
        <w:rPr>
          <w:color w:val="404040" w:themeColor="text1" w:themeTint="BF"/>
          <w:sz w:val="22"/>
          <w:szCs w:val="22"/>
        </w:rPr>
        <w:t>Administrar 1 cápsula ao dia ou conforme orientação médica.</w:t>
      </w:r>
    </w:p>
    <w:p w14:paraId="7FC12CA8" w14:textId="77777777" w:rsidR="00CD65C2" w:rsidRDefault="00CD65C2">
      <w:pPr>
        <w:pStyle w:val="SemEspaamento"/>
      </w:pPr>
    </w:p>
    <w:p w14:paraId="30DB19F3" w14:textId="77777777" w:rsidR="00CD65C2" w:rsidRDefault="00CD65C2">
      <w:pPr>
        <w:pStyle w:val="SemEspaamento"/>
      </w:pPr>
    </w:p>
    <w:p w14:paraId="607F4EED" w14:textId="77777777" w:rsidR="00CD65C2" w:rsidRDefault="00CD65C2">
      <w:pPr>
        <w:pStyle w:val="SemEspaamento"/>
      </w:pPr>
    </w:p>
    <w:p w14:paraId="0F03B729" w14:textId="77777777" w:rsidR="00CD65C2" w:rsidRDefault="00CD65C2">
      <w:pPr>
        <w:pStyle w:val="SemEspaamento"/>
      </w:pPr>
    </w:p>
    <w:p w14:paraId="1C966A4D" w14:textId="77777777" w:rsidR="00CD65C2" w:rsidRDefault="00CD65C2">
      <w:pPr>
        <w:pStyle w:val="SemEspaamento"/>
      </w:pPr>
    </w:p>
    <w:p w14:paraId="5178CD9C" w14:textId="77777777" w:rsidR="00CD65C2" w:rsidRDefault="00CD65C2">
      <w:pPr>
        <w:pStyle w:val="SemEspaamento"/>
      </w:pPr>
    </w:p>
    <w:p w14:paraId="2274B802" w14:textId="77777777" w:rsidR="00CD65C2" w:rsidRDefault="00CD65C2">
      <w:pPr>
        <w:pStyle w:val="SemEspaamento"/>
      </w:pPr>
    </w:p>
    <w:p w14:paraId="72C3F280" w14:textId="77777777" w:rsidR="00CD65C2" w:rsidRDefault="00CD65C2">
      <w:pPr>
        <w:pStyle w:val="SemEspaamento"/>
      </w:pPr>
    </w:p>
    <w:p w14:paraId="623B072B" w14:textId="77777777" w:rsidR="00CD65C2" w:rsidRDefault="00CD65C2">
      <w:pPr>
        <w:pStyle w:val="SemEspaamento"/>
      </w:pPr>
    </w:p>
    <w:p w14:paraId="0D8EE167" w14:textId="77777777" w:rsidR="00CD65C2" w:rsidRDefault="00CD65C2">
      <w:pPr>
        <w:pStyle w:val="SemEspaamento"/>
      </w:pPr>
    </w:p>
    <w:p w14:paraId="3D69EBA8" w14:textId="77777777" w:rsidR="00CD65C2" w:rsidRDefault="00CD65C2">
      <w:pPr>
        <w:pStyle w:val="SemEspaamento"/>
      </w:pPr>
    </w:p>
    <w:p w14:paraId="23827190" w14:textId="77777777" w:rsidR="00CD65C2" w:rsidRDefault="00CD65C2">
      <w:pPr>
        <w:pStyle w:val="SemEspaamento"/>
      </w:pPr>
    </w:p>
    <w:p w14:paraId="5E4B5982" w14:textId="77777777" w:rsidR="00CD65C2" w:rsidRDefault="00CD65C2">
      <w:pPr>
        <w:pStyle w:val="SemEspaamento"/>
      </w:pPr>
    </w:p>
    <w:p w14:paraId="0BB5B2E9" w14:textId="77777777" w:rsidR="00CD65C2" w:rsidRDefault="00CD65C2">
      <w:pPr>
        <w:pStyle w:val="SemEspaamento"/>
      </w:pPr>
    </w:p>
    <w:p w14:paraId="549D5096" w14:textId="77777777" w:rsidR="00CD65C2" w:rsidRDefault="00CD65C2">
      <w:pPr>
        <w:pStyle w:val="SemEspaamento"/>
      </w:pPr>
    </w:p>
    <w:p w14:paraId="32297052" w14:textId="77777777" w:rsidR="00CD65C2" w:rsidRDefault="00CD65C2">
      <w:pPr>
        <w:pStyle w:val="SemEspaamento"/>
      </w:pPr>
    </w:p>
    <w:p w14:paraId="7AC6CDDB" w14:textId="77777777" w:rsidR="00CD65C2" w:rsidRDefault="00CD65C2">
      <w:pPr>
        <w:pStyle w:val="SemEspaamento"/>
      </w:pPr>
    </w:p>
    <w:p w14:paraId="37D4431E" w14:textId="77777777" w:rsidR="00CD65C2" w:rsidRDefault="00CD65C2">
      <w:pPr>
        <w:pStyle w:val="SemEspaamento"/>
      </w:pPr>
    </w:p>
    <w:p w14:paraId="651FB9C7" w14:textId="77777777" w:rsidR="00CD65C2" w:rsidRDefault="00CD65C2">
      <w:pPr>
        <w:pStyle w:val="SemEspaamento"/>
      </w:pPr>
    </w:p>
    <w:p w14:paraId="0D26E601" w14:textId="77777777" w:rsidR="00CD65C2" w:rsidRDefault="00CD65C2">
      <w:pPr>
        <w:pStyle w:val="SemEspaamento"/>
      </w:pPr>
    </w:p>
    <w:p w14:paraId="28527E9E" w14:textId="77777777" w:rsidR="00CD65C2" w:rsidRDefault="00CD65C2">
      <w:pPr>
        <w:pStyle w:val="SemEspaamento"/>
      </w:pPr>
    </w:p>
    <w:p w14:paraId="7FD04D75" w14:textId="77777777" w:rsidR="00CD65C2" w:rsidRDefault="00CD65C2">
      <w:pPr>
        <w:pStyle w:val="SemEspaamento"/>
      </w:pPr>
    </w:p>
    <w:p w14:paraId="75388E71" w14:textId="77777777" w:rsidR="00CD65C2" w:rsidRDefault="00CD65C2">
      <w:pPr>
        <w:pStyle w:val="SemEspaamento"/>
      </w:pPr>
    </w:p>
    <w:p w14:paraId="15BD7885" w14:textId="77777777" w:rsidR="00CD65C2" w:rsidRDefault="00CD65C2">
      <w:pPr>
        <w:pStyle w:val="SemEspaamento"/>
      </w:pPr>
    </w:p>
    <w:p w14:paraId="20C53659" w14:textId="77777777" w:rsidR="00CD65C2" w:rsidRDefault="00CD65C2">
      <w:pPr>
        <w:pStyle w:val="SemEspaamento"/>
      </w:pPr>
    </w:p>
    <w:p w14:paraId="48C2B85E" w14:textId="77777777" w:rsidR="00CD65C2" w:rsidRDefault="00CD65C2">
      <w:pPr>
        <w:pStyle w:val="SemEspaamento"/>
      </w:pPr>
    </w:p>
    <w:p w14:paraId="7127C54A" w14:textId="77777777" w:rsidR="00CD65C2" w:rsidRDefault="00CD65C2">
      <w:pPr>
        <w:pStyle w:val="SemEspaamento"/>
      </w:pPr>
    </w:p>
    <w:p w14:paraId="1DC88B3D" w14:textId="77777777" w:rsidR="00CD65C2" w:rsidRDefault="00CD65C2">
      <w:pPr>
        <w:pStyle w:val="SemEspaamento"/>
      </w:pPr>
    </w:p>
    <w:p w14:paraId="3192779B" w14:textId="77777777" w:rsidR="00CD65C2" w:rsidRDefault="00CD65C2">
      <w:pPr>
        <w:pStyle w:val="SemEspaamento"/>
      </w:pPr>
    </w:p>
    <w:p w14:paraId="5B0343FB" w14:textId="77777777" w:rsidR="00CD65C2" w:rsidRDefault="00CD65C2">
      <w:pPr>
        <w:pStyle w:val="SemEspaamento"/>
      </w:pPr>
    </w:p>
    <w:p w14:paraId="2753E9BF" w14:textId="77777777" w:rsidR="00CD65C2" w:rsidRDefault="00CD65C2">
      <w:pPr>
        <w:pStyle w:val="SemEspaamento"/>
      </w:pPr>
    </w:p>
    <w:p w14:paraId="593B1E00" w14:textId="77777777" w:rsidR="00CD65C2" w:rsidRDefault="00CD65C2">
      <w:pPr>
        <w:pStyle w:val="SemEspaamento"/>
      </w:pPr>
    </w:p>
    <w:p w14:paraId="4BFAC921" w14:textId="77777777" w:rsidR="00CD65C2" w:rsidRDefault="00FA41FC">
      <w:pPr>
        <w:pStyle w:val="Ttulo1"/>
        <w:jc w:val="center"/>
        <w:rPr>
          <w:rFonts w:hint="eastAsia"/>
        </w:rPr>
      </w:pPr>
      <w:bookmarkStart w:id="90" w:name="_Toc165537240"/>
      <w:r>
        <w:rPr>
          <w:bCs/>
          <w:iCs/>
        </w:rPr>
        <w:t>Vitamina D3, Whey Protein e Leucina</w:t>
      </w:r>
      <w:bookmarkEnd w:id="90"/>
    </w:p>
    <w:p w14:paraId="6F02DCBD" w14:textId="77777777" w:rsidR="00CD65C2" w:rsidRPr="00D1428E" w:rsidRDefault="00FA41FC">
      <w:pPr>
        <w:pStyle w:val="Corpo"/>
        <w:jc w:val="center"/>
        <w:rPr>
          <w:rFonts w:hint="eastAsia"/>
          <w:b/>
          <w:bCs/>
          <w:color w:val="0070C0"/>
          <w:sz w:val="40"/>
        </w:rPr>
      </w:pPr>
      <w:r w:rsidRPr="00D1428E">
        <w:rPr>
          <w:b/>
          <w:bCs/>
          <w:color w:val="0070C0"/>
          <w:sz w:val="40"/>
        </w:rPr>
        <w:t>Promove Melhora da Força e Manutenção da Massa Muscular em Mulheres na Pós-Menopausa</w:t>
      </w:r>
    </w:p>
    <w:p w14:paraId="5BDB3220" w14:textId="77777777" w:rsidR="00CD65C2" w:rsidRDefault="00CD65C2">
      <w:pPr>
        <w:pStyle w:val="Corpo"/>
        <w:rPr>
          <w:rFonts w:hint="eastAsia"/>
          <w:color w:val="404040" w:themeColor="text1" w:themeTint="BF"/>
          <w:sz w:val="24"/>
        </w:rPr>
      </w:pPr>
    </w:p>
    <w:p w14:paraId="031ECC05" w14:textId="439E6DE7" w:rsidR="00CD65C2" w:rsidRDefault="00FA41FC">
      <w:pPr>
        <w:pStyle w:val="Corpo"/>
        <w:rPr>
          <w:rFonts w:hint="eastAsia"/>
          <w:color w:val="404040" w:themeColor="text1" w:themeTint="BF"/>
          <w:sz w:val="24"/>
        </w:rPr>
      </w:pPr>
      <w:r>
        <w:rPr>
          <w:color w:val="404040" w:themeColor="text1" w:themeTint="BF"/>
          <w:sz w:val="24"/>
        </w:rPr>
        <w:t xml:space="preserve">O objetivo deste estudo foi avaliar a eficácia de uma dieta hipocalórica (DHC) de curto prazo combinada com suplementação com whey protein, leucina e vitamina D na perda de peso, massa magra e força muscular em mulheres sarcopênicas, obesas, hiperinsulinêmicas e pós-menopausadas </w:t>
      </w:r>
      <w:r>
        <w:rPr>
          <w:color w:val="404040" w:themeColor="text1" w:themeTint="BF"/>
          <w:sz w:val="24"/>
        </w:rPr>
        <w:fldChar w:fldCharType="begin">
          <w:fldData xml:space="preserve">PEVuZE5vdGU+PENpdGU+PEF1dGhvcj5DYW1hamFuaTwvQXV0aG9yPjxZZWFyPjIwMjI8L1llYXI+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</w:fldData>
        </w:fldChar>
      </w:r>
      <w:r>
        <w:rPr>
          <w:color w:val="404040" w:themeColor="text1" w:themeTint="BF"/>
          <w:sz w:val="24"/>
        </w:rPr>
        <w:instrText xml:space="preserve"> ADDIN EN.CITE </w:instrText>
      </w:r>
      <w:r>
        <w:rPr>
          <w:color w:val="404040" w:themeColor="text1" w:themeTint="BF"/>
          <w:sz w:val="24"/>
        </w:rPr>
        <w:fldChar w:fldCharType="begin">
          <w:fldData xml:space="preserve">PEVuZE5vdGU+PENpdGU+PEF1dGhvcj5DYW1hamFuaTwvQXV0aG9yPjxZZWFyPjIwMjI8L1llYXI+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</w:fldData>
        </w:fldChar>
      </w:r>
      <w:r>
        <w:rPr>
          <w:color w:val="404040" w:themeColor="text1" w:themeTint="BF"/>
          <w:sz w:val="24"/>
        </w:rPr>
        <w:instrText xml:space="preserve"> ADDIN EN.CITE.DATA </w:instrText>
      </w:r>
      <w:r>
        <w:rPr>
          <w:color w:val="404040" w:themeColor="text1" w:themeTint="BF"/>
          <w:sz w:val="24"/>
        </w:rPr>
      </w:r>
      <w:r>
        <w:rPr>
          <w:color w:val="404040" w:themeColor="text1" w:themeTint="BF"/>
          <w:sz w:val="24"/>
        </w:rPr>
        <w:fldChar w:fldCharType="end"/>
      </w:r>
      <w:r>
        <w:rPr>
          <w:color w:val="404040" w:themeColor="text1" w:themeTint="BF"/>
          <w:sz w:val="24"/>
        </w:rPr>
      </w:r>
      <w:r>
        <w:rPr>
          <w:color w:val="404040" w:themeColor="text1" w:themeTint="BF"/>
          <w:sz w:val="24"/>
        </w:rPr>
        <w:fldChar w:fldCharType="separate"/>
      </w:r>
      <w:r>
        <w:rPr>
          <w:color w:val="404040" w:themeColor="text1" w:themeTint="BF"/>
          <w:sz w:val="24"/>
        </w:rPr>
        <w:t>(CAMAJANI; PERSICHETTI; WATANABE; CONTINI</w:t>
      </w:r>
      <w:r>
        <w:rPr>
          <w:i/>
          <w:color w:val="404040" w:themeColor="text1" w:themeTint="BF"/>
          <w:sz w:val="24"/>
        </w:rPr>
        <w:t xml:space="preserve"> et al.</w:t>
      </w:r>
      <w:r>
        <w:rPr>
          <w:color w:val="404040" w:themeColor="text1" w:themeTint="BF"/>
          <w:sz w:val="24"/>
        </w:rPr>
        <w:t>, 2022)</w:t>
      </w:r>
      <w:r>
        <w:rPr>
          <w:color w:val="404040" w:themeColor="text1" w:themeTint="BF"/>
          <w:sz w:val="24"/>
        </w:rPr>
        <w:fldChar w:fldCharType="end"/>
      </w:r>
      <w:r>
        <w:rPr>
          <w:color w:val="404040" w:themeColor="text1" w:themeTint="BF"/>
          <w:sz w:val="24"/>
        </w:rPr>
        <w:t>.</w:t>
      </w:r>
    </w:p>
    <w:p w14:paraId="4F859FDA"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41536" behindDoc="0" locked="0" layoutInCell="1" allowOverlap="1">
                <wp:simplePos x="0" y="0"/>
                <wp:positionH relativeFrom="margin">
                  <wp:posOffset>-1905</wp:posOffset>
                </wp:positionH>
                <wp:positionV relativeFrom="paragraph">
                  <wp:posOffset>101600</wp:posOffset>
                </wp:positionV>
                <wp:extent cx="5735955" cy="685800"/>
                <wp:effectExtent l="0" t="0" r="17780" b="19050"/>
                <wp:wrapNone/>
                <wp:docPr id="739657735" name="Caixa de texto 739657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781" cy="685800"/>
                        </a:xfrm>
                        <a:prstGeom prst="rect">
                          <a:avLst/>
                        </a:prstGeom>
                        <a:solidFill>
                          <a:schemeClr val="bg1">
                            <a:lumMod val="100000"/>
                            <a:lumOff val="0"/>
                          </a:schemeClr>
                        </a:solidFill>
                        <a:ln w="9525">
                          <a:solidFill>
                            <a:srgbClr val="0070C0"/>
                          </a:solidFill>
                          <a:miter lim="800000"/>
                        </a:ln>
                      </wps:spPr>
                      <wps:txbx>
                        <w:txbxContent>
                          <w:p w14:paraId="36E0552D" w14:textId="448493D0" w:rsidR="00FA41FC" w:rsidRDefault="00FA41FC">
                            <w:pPr>
                              <w:jc w:val="center"/>
                              <w:rPr>
                                <w:rFonts w:ascii="Swis721 Th BT" w:eastAsia="MS Mincho" w:hAnsi="Swis721 Th BT" w:hint="eastAsia"/>
                                <w:color w:val="000000"/>
                                <w14:textFill>
                                  <w14:solidFill>
                                    <w14:srgbClr w14:val="000000">
                                      <w14:lumMod w14:val="75000"/>
                                      <w14:lumOff w14:val="25000"/>
                                    </w14:srgbClr>
                                  </w14:solidFill>
                                </w14:textFill>
                              </w:rPr>
                            </w:pPr>
                            <w:r>
                              <w:rPr>
                                <w:rFonts w:ascii="Swis721 Th BT" w:eastAsia="MS Mincho" w:hAnsi="Swis721 Th BT"/>
                                <w:color w:val="000000"/>
                                <w14:textFill>
                                  <w14:solidFill>
                                    <w14:srgbClr w14:val="000000">
                                      <w14:lumMod w14:val="75000"/>
                                      <w14:lumOff w14:val="25000"/>
                                    </w14:srgbClr>
                                  </w14:solidFill>
                                </w14:textFill>
                              </w:rPr>
                              <w:t>Para isso, 16 mulheres com idades entre 50 e 70 anos, IMC entre 31,7 e 44,1 Kg/m</w:t>
                            </w:r>
                            <w:r>
                              <w:rPr>
                                <w:rFonts w:ascii="Swis721 Th BT" w:eastAsia="MS Mincho" w:hAnsi="Swis721 Th BT"/>
                                <w:color w:val="000000"/>
                                <w:vertAlign w:val="superscript"/>
                                <w14:textFill>
                                  <w14:solidFill>
                                    <w14:srgbClr w14:val="000000">
                                      <w14:lumMod w14:val="75000"/>
                                      <w14:lumOff w14:val="25000"/>
                                    </w14:srgbClr>
                                  </w14:solidFill>
                                </w14:textFill>
                              </w:rPr>
                              <w:t>2</w:t>
                            </w:r>
                            <w:r>
                              <w:rPr>
                                <w:rFonts w:ascii="Swis721 Th BT" w:eastAsia="MS Mincho" w:hAnsi="Swis721 Th BT"/>
                                <w:color w:val="000000"/>
                                <w14:textFill>
                                  <w14:solidFill>
                                    <w14:srgbClr w14:val="000000">
                                      <w14:lumMod w14:val="75000"/>
                                      <w14:lumOff w14:val="25000"/>
                                    </w14:srgbClr>
                                  </w14:solidFill>
                                </w14:textFill>
                              </w:rPr>
                              <w:t xml:space="preserve"> e índice HOMA ≥ 2,5 (intervalo: 2,9-12) foram selecionadas para receberem, durante 45 dias, a dieta hipocalórica associada com: </w:t>
                            </w:r>
                          </w:p>
                          <w:p w14:paraId="573060E9"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735" o:spid="_x0000_s1142" type="#_x0000_t202" style="position:absolute;left:0;text-align:left;margin-left:-.15pt;margin-top:8pt;width:451.65pt;height:54pt;z-index:2518415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" fillcolor="white [3212]" strokecolor="#0070c0">
                <v:textbox>
                  <w:txbxContent>
                    <w:p w14:paraId="36E0552D" w14:textId="448493D0" w:rsidR="00FA41FC" w:rsidRDefault="00FA41FC">
                      <w:pPr>
                        <w:jc w:val="center"/>
                        <w:rPr>
                          <w:rFonts w:ascii="Swis721 Th BT" w:eastAsia="MS Mincho" w:hAnsi="Swis721 Th BT" w:hint="eastAsia"/>
                          <w:color w:val="000000"/>
                          <w14:textFill>
                            <w14:solidFill>
                              <w14:srgbClr w14:val="000000">
                                <w14:lumMod w14:val="75000"/>
                                <w14:lumOff w14:val="25000"/>
                              </w14:srgbClr>
                            </w14:solidFill>
                          </w14:textFill>
                        </w:rPr>
                      </w:pPr>
                      <w:r>
                        <w:rPr>
                          <w:rFonts w:ascii="Swis721 Th BT" w:eastAsia="MS Mincho" w:hAnsi="Swis721 Th BT"/>
                          <w:color w:val="000000"/>
                          <w14:textFill>
                            <w14:solidFill>
                              <w14:srgbClr w14:val="000000">
                                <w14:lumMod w14:val="75000"/>
                                <w14:lumOff w14:val="25000"/>
                              </w14:srgbClr>
                            </w14:solidFill>
                          </w14:textFill>
                        </w:rPr>
                        <w:t>Para isso, 16 mulheres com idades entre 50 e 70 anos, IMC entre 31,7 e 44,1 Kg/m</w:t>
                      </w:r>
                      <w:r>
                        <w:rPr>
                          <w:rFonts w:ascii="Swis721 Th BT" w:eastAsia="MS Mincho" w:hAnsi="Swis721 Th BT"/>
                          <w:color w:val="000000"/>
                          <w:vertAlign w:val="superscript"/>
                          <w14:textFill>
                            <w14:solidFill>
                              <w14:srgbClr w14:val="000000">
                                <w14:lumMod w14:val="75000"/>
                                <w14:lumOff w14:val="25000"/>
                              </w14:srgbClr>
                            </w14:solidFill>
                          </w14:textFill>
                        </w:rPr>
                        <w:t>2</w:t>
                      </w:r>
                      <w:r>
                        <w:rPr>
                          <w:rFonts w:ascii="Swis721 Th BT" w:eastAsia="MS Mincho" w:hAnsi="Swis721 Th BT"/>
                          <w:color w:val="000000"/>
                          <w14:textFill>
                            <w14:solidFill>
                              <w14:srgbClr w14:val="000000">
                                <w14:lumMod w14:val="75000"/>
                                <w14:lumOff w14:val="25000"/>
                              </w14:srgbClr>
                            </w14:solidFill>
                          </w14:textFill>
                        </w:rPr>
                        <w:t xml:space="preserve"> e índice HOMA ≥ 2,5 (intervalo: 2,9-12) foram selecionadas para receberem, durante 45 dias, a dieta hipocalórica associada com: </w:t>
                      </w:r>
                    </w:p>
                    <w:p w14:paraId="573060E9"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7602A202" w14:textId="77777777" w:rsidR="00CD65C2" w:rsidRDefault="00CD65C2">
      <w:pPr>
        <w:pStyle w:val="Corpo"/>
        <w:rPr>
          <w:rFonts w:hint="eastAsia"/>
          <w:color w:val="404040" w:themeColor="text1" w:themeTint="BF"/>
        </w:rPr>
      </w:pPr>
    </w:p>
    <w:p w14:paraId="5E0E1EFC" w14:textId="77777777" w:rsidR="00CD65C2" w:rsidRDefault="00CD65C2">
      <w:pPr>
        <w:pStyle w:val="Corpo"/>
        <w:rPr>
          <w:rFonts w:hint="eastAsia"/>
          <w:color w:val="404040" w:themeColor="text1" w:themeTint="BF"/>
        </w:rPr>
      </w:pPr>
    </w:p>
    <w:p w14:paraId="5EC797EA"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840512" behindDoc="0" locked="0" layoutInCell="1" allowOverlap="1">
                <wp:simplePos x="0" y="0"/>
                <wp:positionH relativeFrom="column">
                  <wp:posOffset>1717675</wp:posOffset>
                </wp:positionH>
                <wp:positionV relativeFrom="paragraph">
                  <wp:posOffset>69215</wp:posOffset>
                </wp:positionV>
                <wp:extent cx="2383790" cy="946785"/>
                <wp:effectExtent l="0" t="0" r="16510" b="24765"/>
                <wp:wrapNone/>
                <wp:docPr id="739657737" name="Caixa de texto 739657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3971" cy="947057"/>
                        </a:xfrm>
                        <a:prstGeom prst="rect">
                          <a:avLst/>
                        </a:prstGeom>
                        <a:solidFill>
                          <a:srgbClr val="0070C0"/>
                        </a:solidFill>
                        <a:ln w="9525">
                          <a:solidFill>
                            <a:srgbClr val="0070C0"/>
                          </a:solidFill>
                          <a:miter lim="800000"/>
                        </a:ln>
                      </wps:spPr>
                      <wps:txbx>
                        <w:txbxContent>
                          <w:p w14:paraId="04FEFC18"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Whey protein 18 g</w:t>
                            </w:r>
                          </w:p>
                          <w:p w14:paraId="4519EAA0"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Leucina 4,1 g</w:t>
                            </w:r>
                            <w:r>
                              <w:rPr>
                                <w:rFonts w:ascii="Swis721 Th BT" w:hAnsi="Swis721 Th BT"/>
                                <w:color w:val="FFFFFF" w:themeColor="background1"/>
                                <w:szCs w:val="23"/>
                              </w:rPr>
                              <w:t xml:space="preserve"> </w:t>
                            </w:r>
                          </w:p>
                          <w:p w14:paraId="0E4AE806"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Vitamina D 200 UI</w:t>
                            </w:r>
                          </w:p>
                          <w:p w14:paraId="6AB3F73C"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Dose diária</w:t>
                            </w:r>
                          </w:p>
                          <w:p w14:paraId="15209676"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739657737" o:spid="_x0000_s1143" type="#_x0000_t202" style="position:absolute;left:0;text-align:left;margin-left:135.25pt;margin-top:5.45pt;width:187.7pt;height:74.55pt;z-index:251840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" fillcolor="#0070c0" strokecolor="#0070c0">
                <v:textbox>
                  <w:txbxContent>
                    <w:p w14:paraId="04FEFC18"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Whey protein 18 g</w:t>
                      </w:r>
                    </w:p>
                    <w:p w14:paraId="4519EAA0"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Leucina 4,1 g</w:t>
                      </w:r>
                      <w:r>
                        <w:rPr>
                          <w:rFonts w:ascii="Swis721 Th BT" w:hAnsi="Swis721 Th BT"/>
                          <w:color w:val="FFFFFF" w:themeColor="background1"/>
                          <w:szCs w:val="23"/>
                        </w:rPr>
                        <w:t xml:space="preserve"> </w:t>
                      </w:r>
                    </w:p>
                    <w:p w14:paraId="0E4AE806"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Vitamina D 200 UI</w:t>
                      </w:r>
                    </w:p>
                    <w:p w14:paraId="6AB3F73C"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Dose diária</w:t>
                      </w:r>
                    </w:p>
                    <w:p w14:paraId="15209676"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p>
    <w:p w14:paraId="1E38E24B" w14:textId="77777777" w:rsidR="00CD65C2" w:rsidRDefault="00CD65C2">
      <w:pPr>
        <w:pStyle w:val="Corpo"/>
        <w:rPr>
          <w:rFonts w:hint="eastAsia"/>
          <w:color w:val="404040" w:themeColor="text1" w:themeTint="BF"/>
        </w:rPr>
      </w:pPr>
    </w:p>
    <w:p w14:paraId="074E1E48" w14:textId="77777777" w:rsidR="00CD65C2" w:rsidRDefault="00CD65C2">
      <w:pPr>
        <w:pStyle w:val="Corpo"/>
        <w:rPr>
          <w:rFonts w:hint="eastAsia"/>
          <w:color w:val="404040" w:themeColor="text1" w:themeTint="BF"/>
        </w:rPr>
      </w:pPr>
    </w:p>
    <w:p w14:paraId="5AEC6B20" w14:textId="77777777" w:rsidR="00CD65C2" w:rsidRDefault="00CD65C2">
      <w:pPr>
        <w:pStyle w:val="Corpo"/>
        <w:rPr>
          <w:rFonts w:hint="eastAsia"/>
          <w:color w:val="404040" w:themeColor="text1" w:themeTint="BF"/>
        </w:rPr>
      </w:pPr>
    </w:p>
    <w:p w14:paraId="3AD68297" w14:textId="77777777" w:rsidR="00CD65C2" w:rsidRDefault="00CD65C2">
      <w:pPr>
        <w:pStyle w:val="Corpo"/>
        <w:spacing w:before="120"/>
        <w:rPr>
          <w:rFonts w:hint="eastAsia"/>
          <w:color w:val="404040" w:themeColor="text1" w:themeTint="BF"/>
          <w:sz w:val="20"/>
        </w:rPr>
      </w:pPr>
    </w:p>
    <w:p w14:paraId="525CBE22" w14:textId="77777777" w:rsidR="00CD65C2" w:rsidRDefault="00FA41FC">
      <w:pPr>
        <w:pStyle w:val="Corpo"/>
        <w:numPr>
          <w:ilvl w:val="0"/>
          <w:numId w:val="4"/>
        </w:numPr>
        <w:spacing w:before="120" w:after="0"/>
        <w:ind w:left="360"/>
        <w:rPr>
          <w:rFonts w:hint="eastAsia"/>
          <w:color w:val="404040" w:themeColor="text1" w:themeTint="BF"/>
          <w:sz w:val="20"/>
          <w:szCs w:val="23"/>
        </w:rPr>
      </w:pPr>
      <w:r>
        <w:rPr>
          <w:color w:val="404040" w:themeColor="text1" w:themeTint="BF"/>
          <w:sz w:val="20"/>
          <w:szCs w:val="23"/>
        </w:rPr>
        <w:t xml:space="preserve">Índices antropométricos, avaliação do sangue e urina, composição corporal por DEXA, força muscular pelo teste de preensão manual e </w:t>
      </w:r>
      <w:r>
        <w:rPr>
          <w:i/>
          <w:iCs/>
          <w:color w:val="404040" w:themeColor="text1" w:themeTint="BF"/>
          <w:sz w:val="20"/>
          <w:szCs w:val="23"/>
        </w:rPr>
        <w:t>Short Physical Performance Battery</w:t>
      </w:r>
      <w:r>
        <w:rPr>
          <w:color w:val="404040" w:themeColor="text1" w:themeTint="BF"/>
          <w:sz w:val="20"/>
          <w:szCs w:val="23"/>
        </w:rPr>
        <w:t xml:space="preserve"> (SPPB) foram analisados no início e no final do tratamento.</w:t>
      </w:r>
    </w:p>
    <w:p w14:paraId="4AF7120A" w14:textId="77777777" w:rsidR="00CD65C2" w:rsidRDefault="00CD65C2">
      <w:pPr>
        <w:pStyle w:val="Corpo"/>
        <w:spacing w:before="120"/>
        <w:rPr>
          <w:rFonts w:hint="eastAsia"/>
          <w:color w:val="404040" w:themeColor="text1" w:themeTint="BF"/>
          <w:sz w:val="20"/>
        </w:rPr>
      </w:pPr>
    </w:p>
    <w:p w14:paraId="037BF4DC"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456D4CA0" w14:textId="77777777"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 xml:space="preserve">Uma redução significativa no IMC (37,6 </w:t>
      </w:r>
      <w:r>
        <w:rPr>
          <w:i/>
          <w:iCs/>
          <w:color w:val="404040" w:themeColor="text1" w:themeTint="BF"/>
          <w:sz w:val="24"/>
        </w:rPr>
        <w:t>vs</w:t>
      </w:r>
      <w:r>
        <w:rPr>
          <w:color w:val="404040" w:themeColor="text1" w:themeTint="BF"/>
          <w:sz w:val="24"/>
        </w:rPr>
        <w:t>. 35,7 Kg/m</w:t>
      </w:r>
      <w:r>
        <w:rPr>
          <w:color w:val="404040" w:themeColor="text1" w:themeTint="BF"/>
          <w:sz w:val="24"/>
          <w:vertAlign w:val="superscript"/>
        </w:rPr>
        <w:t>2</w:t>
      </w:r>
      <w:r>
        <w:rPr>
          <w:color w:val="404040" w:themeColor="text1" w:themeTint="BF"/>
          <w:sz w:val="24"/>
        </w:rPr>
        <w:t xml:space="preserve">), circunferência da cintura (107 </w:t>
      </w:r>
      <w:r>
        <w:rPr>
          <w:i/>
          <w:iCs/>
          <w:color w:val="404040" w:themeColor="text1" w:themeTint="BF"/>
          <w:sz w:val="24"/>
        </w:rPr>
        <w:t>vs</w:t>
      </w:r>
      <w:r>
        <w:rPr>
          <w:color w:val="404040" w:themeColor="text1" w:themeTint="BF"/>
          <w:sz w:val="24"/>
        </w:rPr>
        <w:t xml:space="preserve">. 102,4 cm), índice HOMA (4,8 </w:t>
      </w:r>
      <w:r>
        <w:rPr>
          <w:i/>
          <w:iCs/>
          <w:color w:val="404040" w:themeColor="text1" w:themeTint="BF"/>
          <w:sz w:val="24"/>
        </w:rPr>
        <w:t>vs</w:t>
      </w:r>
      <w:r>
        <w:rPr>
          <w:color w:val="404040" w:themeColor="text1" w:themeTint="BF"/>
          <w:sz w:val="24"/>
        </w:rPr>
        <w:t xml:space="preserve">. 2,3) e insulina em jejum (17,4 </w:t>
      </w:r>
      <w:r>
        <w:rPr>
          <w:i/>
          <w:iCs/>
          <w:color w:val="404040" w:themeColor="text1" w:themeTint="BF"/>
          <w:sz w:val="24"/>
        </w:rPr>
        <w:t>vs</w:t>
      </w:r>
      <w:r>
        <w:rPr>
          <w:color w:val="404040" w:themeColor="text1" w:themeTint="BF"/>
          <w:sz w:val="24"/>
        </w:rPr>
        <w:t xml:space="preserve">. 10,4 </w:t>
      </w:r>
      <w:r>
        <w:rPr>
          <w:rFonts w:cs="Swis721 Th BT"/>
          <w:color w:val="404040" w:themeColor="text1" w:themeTint="BF"/>
          <w:sz w:val="24"/>
        </w:rPr>
        <w:t>μ</w:t>
      </w:r>
      <w:r>
        <w:rPr>
          <w:color w:val="404040" w:themeColor="text1" w:themeTint="BF"/>
          <w:sz w:val="24"/>
        </w:rPr>
        <w:t>IU/mL) foi observada em todas as pacientes;</w:t>
      </w:r>
    </w:p>
    <w:p w14:paraId="0D217284" w14:textId="77777777"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As mulheres preservaram a massa corporal magra total e melhoraram significativamente a for</w:t>
      </w:r>
      <w:r>
        <w:rPr>
          <w:rFonts w:cs="Swis721 Th BT"/>
          <w:color w:val="404040" w:themeColor="text1" w:themeTint="BF"/>
          <w:sz w:val="24"/>
        </w:rPr>
        <w:t>ç</w:t>
      </w:r>
      <w:r>
        <w:rPr>
          <w:color w:val="404040" w:themeColor="text1" w:themeTint="BF"/>
          <w:sz w:val="24"/>
        </w:rPr>
        <w:t>a muscular, medida pela preens</w:t>
      </w:r>
      <w:r>
        <w:rPr>
          <w:rFonts w:cs="Swis721 Th BT"/>
          <w:color w:val="404040" w:themeColor="text1" w:themeTint="BF"/>
          <w:sz w:val="24"/>
        </w:rPr>
        <w:t>ã</w:t>
      </w:r>
      <w:r>
        <w:rPr>
          <w:color w:val="404040" w:themeColor="text1" w:themeTint="BF"/>
          <w:sz w:val="24"/>
        </w:rPr>
        <w:t xml:space="preserve">o manual (15,3 </w:t>
      </w:r>
      <w:r>
        <w:rPr>
          <w:i/>
          <w:iCs/>
          <w:color w:val="404040" w:themeColor="text1" w:themeTint="BF"/>
          <w:sz w:val="24"/>
        </w:rPr>
        <w:t>vs</w:t>
      </w:r>
      <w:r>
        <w:rPr>
          <w:color w:val="404040" w:themeColor="text1" w:themeTint="BF"/>
          <w:sz w:val="24"/>
        </w:rPr>
        <w:t xml:space="preserve">. 20,1 Kg), e função muscular, medida pelo SPPB (7,5 </w:t>
      </w:r>
      <w:r>
        <w:rPr>
          <w:i/>
          <w:iCs/>
          <w:color w:val="404040" w:themeColor="text1" w:themeTint="BF"/>
          <w:sz w:val="24"/>
        </w:rPr>
        <w:t>vs</w:t>
      </w:r>
      <w:r>
        <w:rPr>
          <w:color w:val="404040" w:themeColor="text1" w:themeTint="BF"/>
          <w:sz w:val="24"/>
        </w:rPr>
        <w:t>. 8,9);</w:t>
      </w:r>
    </w:p>
    <w:p w14:paraId="5732E401" w14:textId="77777777"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 xml:space="preserve">Um aumento significativo no nitrogênio ureico no sangue também foi observado (36,1 </w:t>
      </w:r>
      <w:r>
        <w:rPr>
          <w:i/>
          <w:iCs/>
          <w:color w:val="404040" w:themeColor="text1" w:themeTint="BF"/>
          <w:sz w:val="24"/>
        </w:rPr>
        <w:t>vs</w:t>
      </w:r>
      <w:r>
        <w:rPr>
          <w:color w:val="404040" w:themeColor="text1" w:themeTint="BF"/>
          <w:sz w:val="24"/>
        </w:rPr>
        <w:t>. 46,3).</w:t>
      </w:r>
    </w:p>
    <w:p w14:paraId="5661E117"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04050A53"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5069B2E5"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0200E37F" w14:textId="77777777" w:rsidR="00CD65C2" w:rsidRDefault="00FA41FC">
      <w:pPr>
        <w:pStyle w:val="Corpo"/>
        <w:jc w:val="center"/>
        <w:rPr>
          <w:rFonts w:hint="eastAsia"/>
          <w:b/>
          <w:i/>
          <w:color w:val="404040" w:themeColor="text1" w:themeTint="BF"/>
        </w:rPr>
      </w:pPr>
      <w:r>
        <w:rPr>
          <w:b/>
          <w:i/>
          <w:color w:val="404040" w:themeColor="text1" w:themeTint="BF"/>
        </w:rPr>
        <w:t>Conclui-se que a dieta hipocalórica com ingestão adequada de proteínas e suplementação com whey protein, leucina e vitamina D deve ser promovida para manter a massa muscular e melhorar a força em mulheres na pós-menopausa com obesidade sarcopênica.</w:t>
      </w:r>
    </w:p>
    <w:p w14:paraId="77242C9D" w14:textId="77777777" w:rsidR="00CD65C2" w:rsidRDefault="00FA41FC">
      <w:pPr>
        <w:pStyle w:val="Ttulo1"/>
        <w:jc w:val="center"/>
        <w:rPr>
          <w:rFonts w:hint="eastAsia"/>
        </w:rPr>
      </w:pPr>
      <w:bookmarkStart w:id="91" w:name="_Toc165537241"/>
      <w:r>
        <w:t>Formulário</w:t>
      </w:r>
      <w:bookmarkEnd w:id="91"/>
    </w:p>
    <w:p w14:paraId="41D08D0E" w14:textId="77777777" w:rsidR="00CD65C2" w:rsidRDefault="00CD65C2">
      <w:pPr>
        <w:pStyle w:val="Corpo"/>
        <w:rPr>
          <w:rFonts w:hint="eastAsia"/>
          <w:b/>
          <w:i/>
          <w:color w:val="404040" w:themeColor="text1" w:themeTint="BF"/>
        </w:rPr>
      </w:pPr>
    </w:p>
    <w:p w14:paraId="78C032F7" w14:textId="77777777" w:rsidR="00CD65C2" w:rsidRDefault="00CD65C2">
      <w:pPr>
        <w:pStyle w:val="Corpo"/>
        <w:rPr>
          <w:rFonts w:hint="eastAsia"/>
          <w:b/>
          <w:i/>
          <w:color w:val="404040" w:themeColor="text1" w:themeTint="BF"/>
        </w:rPr>
      </w:pPr>
    </w:p>
    <w:p w14:paraId="0070289E" w14:textId="77777777" w:rsidR="00CD65C2" w:rsidRDefault="00FA41FC">
      <w:pPr>
        <w:pStyle w:val="Corpo"/>
        <w:rPr>
          <w:rFonts w:hint="eastAsia"/>
          <w:b/>
          <w:i/>
          <w:color w:val="404040" w:themeColor="text1" w:themeTint="BF"/>
          <w:sz w:val="24"/>
        </w:rPr>
      </w:pPr>
      <w:r>
        <w:rPr>
          <w:b/>
          <w:i/>
          <w:color w:val="404040" w:themeColor="text1" w:themeTint="BF"/>
          <w:sz w:val="24"/>
        </w:rPr>
        <w:t>Melhora da Força e Manutenção da Massa Muscular em Mulheres Sarcopênicas</w:t>
      </w:r>
    </w:p>
    <w:p w14:paraId="69D2E4AD"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2213A656"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5A9BB24A" w14:textId="77777777" w:rsidR="00CD65C2" w:rsidRDefault="00FA41FC">
            <w:pPr>
              <w:pStyle w:val="Corpo"/>
              <w:jc w:val="center"/>
              <w:rPr>
                <w:rFonts w:hint="eastAsia"/>
                <w:b/>
                <w:color w:val="FFFFFF" w:themeColor="background1"/>
              </w:rPr>
            </w:pPr>
            <w:r>
              <w:rPr>
                <w:b/>
                <w:color w:val="FFFFFF" w:themeColor="background1"/>
                <w:sz w:val="22"/>
              </w:rPr>
              <w:t>Sachês de Whey protein + Leucina + Vit. D</w:t>
            </w:r>
          </w:p>
        </w:tc>
      </w:tr>
      <w:tr w:rsidR="00CD65C2" w14:paraId="621CBA2E"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6E108D5" w14:textId="77777777" w:rsidR="00CD65C2" w:rsidRDefault="00FA41FC">
            <w:pPr>
              <w:pStyle w:val="Corpo"/>
              <w:rPr>
                <w:rFonts w:hint="eastAsia"/>
                <w:color w:val="404040" w:themeColor="text1" w:themeTint="BF"/>
              </w:rPr>
            </w:pPr>
            <w:r>
              <w:rPr>
                <w:color w:val="404040" w:themeColor="text1" w:themeTint="BF"/>
              </w:rPr>
              <w:t>Whey protein…………….……………18 g</w:t>
            </w:r>
          </w:p>
        </w:tc>
      </w:tr>
      <w:tr w:rsidR="00CD65C2" w14:paraId="649874ED"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31F58A5" w14:textId="77777777" w:rsidR="00CD65C2" w:rsidRDefault="00FA41FC">
            <w:pPr>
              <w:pStyle w:val="Corpo"/>
              <w:rPr>
                <w:rFonts w:hint="eastAsia"/>
                <w:color w:val="404040" w:themeColor="text1" w:themeTint="BF"/>
              </w:rPr>
            </w:pPr>
            <w:r>
              <w:rPr>
                <w:color w:val="404040" w:themeColor="text1" w:themeTint="BF"/>
              </w:rPr>
              <w:t>Leucina……………….………………4,1 g</w:t>
            </w:r>
          </w:p>
        </w:tc>
      </w:tr>
      <w:tr w:rsidR="00CD65C2" w14:paraId="4120E342"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7CA90C6" w14:textId="77777777" w:rsidR="00CD65C2" w:rsidRDefault="00FA41FC">
            <w:pPr>
              <w:pStyle w:val="Corpo"/>
              <w:rPr>
                <w:rFonts w:hint="eastAsia"/>
                <w:color w:val="404040" w:themeColor="text1" w:themeTint="BF"/>
              </w:rPr>
            </w:pPr>
            <w:r>
              <w:rPr>
                <w:color w:val="404040" w:themeColor="text1" w:themeTint="BF"/>
              </w:rPr>
              <w:t>Vitamina D3….……………………..200 UI</w:t>
            </w:r>
          </w:p>
        </w:tc>
      </w:tr>
      <w:tr w:rsidR="00CD65C2" w14:paraId="16EC49DF"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5BB20F6" w14:textId="2FEB03DF" w:rsidR="00CD65C2" w:rsidRDefault="00FA41FC">
            <w:pPr>
              <w:pStyle w:val="Corpo"/>
              <w:rPr>
                <w:rFonts w:hint="eastAsia"/>
                <w:color w:val="404040" w:themeColor="text1" w:themeTint="BF"/>
              </w:rPr>
            </w:pPr>
            <w:r>
              <w:rPr>
                <w:color w:val="404040" w:themeColor="text1" w:themeTint="BF"/>
              </w:rPr>
              <w:t>Excipiente q.s.p. ..........................1 Sachê</w:t>
            </w:r>
          </w:p>
        </w:tc>
      </w:tr>
    </w:tbl>
    <w:p w14:paraId="01DAB4F3" w14:textId="77777777" w:rsidR="00CD65C2" w:rsidRDefault="00FA41FC">
      <w:pPr>
        <w:pStyle w:val="Corpo"/>
        <w:ind w:right="4762"/>
        <w:jc w:val="center"/>
        <w:rPr>
          <w:rFonts w:hint="eastAsia"/>
          <w:color w:val="404040" w:themeColor="text1" w:themeTint="BF"/>
          <w:sz w:val="22"/>
          <w:szCs w:val="22"/>
        </w:rPr>
      </w:pPr>
      <w:r>
        <w:rPr>
          <w:color w:val="404040" w:themeColor="text1" w:themeTint="BF"/>
          <w:sz w:val="22"/>
          <w:szCs w:val="22"/>
        </w:rPr>
        <w:t>Administrar 1 sachê pela manhã ou conforme orientação médica.</w:t>
      </w:r>
    </w:p>
    <w:p w14:paraId="3E5C85F3" w14:textId="77777777" w:rsidR="00CD65C2" w:rsidRDefault="00CD65C2">
      <w:pPr>
        <w:pStyle w:val="SemEspaamento"/>
      </w:pPr>
    </w:p>
    <w:p w14:paraId="7E8B938B" w14:textId="77777777" w:rsidR="00CD65C2" w:rsidRDefault="00CD65C2">
      <w:pPr>
        <w:pStyle w:val="SemEspaamento"/>
      </w:pPr>
    </w:p>
    <w:p w14:paraId="4BA82B4A" w14:textId="77777777" w:rsidR="00CD65C2" w:rsidRDefault="00CD65C2">
      <w:pPr>
        <w:pStyle w:val="SemEspaamento"/>
      </w:pPr>
    </w:p>
    <w:p w14:paraId="0D919006" w14:textId="77777777" w:rsidR="00CD65C2" w:rsidRDefault="00CD65C2">
      <w:pPr>
        <w:pStyle w:val="SemEspaamento"/>
      </w:pPr>
    </w:p>
    <w:p w14:paraId="244EFD5D" w14:textId="77777777" w:rsidR="00CD65C2" w:rsidRDefault="00CD65C2">
      <w:pPr>
        <w:pStyle w:val="SemEspaamento"/>
      </w:pPr>
    </w:p>
    <w:p w14:paraId="055AA1B2" w14:textId="77777777" w:rsidR="00CD65C2" w:rsidRDefault="00CD65C2">
      <w:pPr>
        <w:pStyle w:val="SemEspaamento"/>
      </w:pPr>
    </w:p>
    <w:p w14:paraId="00F9D307" w14:textId="77777777" w:rsidR="00CD65C2" w:rsidRDefault="00CD65C2">
      <w:pPr>
        <w:pStyle w:val="SemEspaamento"/>
      </w:pPr>
    </w:p>
    <w:p w14:paraId="0B217136" w14:textId="77777777" w:rsidR="00CD65C2" w:rsidRDefault="00CD65C2">
      <w:pPr>
        <w:pStyle w:val="SemEspaamento"/>
      </w:pPr>
    </w:p>
    <w:p w14:paraId="1D00EAE7" w14:textId="77777777" w:rsidR="00CD65C2" w:rsidRDefault="00CD65C2">
      <w:pPr>
        <w:pStyle w:val="SemEspaamento"/>
      </w:pPr>
    </w:p>
    <w:p w14:paraId="47406D6E" w14:textId="77777777" w:rsidR="00CD65C2" w:rsidRDefault="00CD65C2">
      <w:pPr>
        <w:pStyle w:val="SemEspaamento"/>
      </w:pPr>
    </w:p>
    <w:p w14:paraId="0DB2FE6D" w14:textId="77777777" w:rsidR="00CD65C2" w:rsidRDefault="00CD65C2">
      <w:pPr>
        <w:pStyle w:val="SemEspaamento"/>
      </w:pPr>
    </w:p>
    <w:p w14:paraId="26D75525" w14:textId="77777777" w:rsidR="00CD65C2" w:rsidRDefault="00CD65C2">
      <w:pPr>
        <w:pStyle w:val="SemEspaamento"/>
      </w:pPr>
    </w:p>
    <w:p w14:paraId="2DEA331A" w14:textId="77777777" w:rsidR="00CD65C2" w:rsidRDefault="00CD65C2">
      <w:pPr>
        <w:pStyle w:val="SemEspaamento"/>
      </w:pPr>
    </w:p>
    <w:p w14:paraId="0CB72AF0" w14:textId="77777777" w:rsidR="00CD65C2" w:rsidRDefault="00CD65C2">
      <w:pPr>
        <w:pStyle w:val="SemEspaamento"/>
      </w:pPr>
    </w:p>
    <w:p w14:paraId="69F6FF65" w14:textId="77777777" w:rsidR="00CD65C2" w:rsidRDefault="00CD65C2">
      <w:pPr>
        <w:pStyle w:val="SemEspaamento"/>
      </w:pPr>
    </w:p>
    <w:p w14:paraId="43B0A719" w14:textId="77777777" w:rsidR="00CD65C2" w:rsidRDefault="00CD65C2">
      <w:pPr>
        <w:pStyle w:val="SemEspaamento"/>
      </w:pPr>
    </w:p>
    <w:p w14:paraId="6B074904" w14:textId="77777777" w:rsidR="00CD65C2" w:rsidRDefault="00CD65C2">
      <w:pPr>
        <w:pStyle w:val="SemEspaamento"/>
      </w:pPr>
    </w:p>
    <w:p w14:paraId="1188FD9D" w14:textId="77777777" w:rsidR="00CD65C2" w:rsidRDefault="00CD65C2">
      <w:pPr>
        <w:pStyle w:val="SemEspaamento"/>
      </w:pPr>
    </w:p>
    <w:p w14:paraId="4F763DE3" w14:textId="77777777" w:rsidR="00CD65C2" w:rsidRDefault="00CD65C2">
      <w:pPr>
        <w:pStyle w:val="SemEspaamento"/>
      </w:pPr>
    </w:p>
    <w:p w14:paraId="0630FCBE" w14:textId="77777777" w:rsidR="00CD65C2" w:rsidRDefault="00CD65C2">
      <w:pPr>
        <w:pStyle w:val="SemEspaamento"/>
      </w:pPr>
    </w:p>
    <w:p w14:paraId="205CBF3F" w14:textId="77777777" w:rsidR="00CD65C2" w:rsidRDefault="00CD65C2">
      <w:pPr>
        <w:pStyle w:val="SemEspaamento"/>
      </w:pPr>
    </w:p>
    <w:p w14:paraId="21218C89" w14:textId="77777777" w:rsidR="00CD65C2" w:rsidRDefault="00CD65C2">
      <w:pPr>
        <w:pStyle w:val="SemEspaamento"/>
      </w:pPr>
    </w:p>
    <w:p w14:paraId="1F192389" w14:textId="77777777" w:rsidR="00CD65C2" w:rsidRDefault="00CD65C2">
      <w:pPr>
        <w:pStyle w:val="SemEspaamento"/>
      </w:pPr>
    </w:p>
    <w:p w14:paraId="2275085A" w14:textId="77777777" w:rsidR="00CD65C2" w:rsidRDefault="00CD65C2">
      <w:pPr>
        <w:pStyle w:val="SemEspaamento"/>
      </w:pPr>
    </w:p>
    <w:p w14:paraId="7ECE2667" w14:textId="77777777" w:rsidR="00CD65C2" w:rsidRDefault="00CD65C2">
      <w:pPr>
        <w:pStyle w:val="SemEspaamento"/>
      </w:pPr>
    </w:p>
    <w:p w14:paraId="45A44916" w14:textId="77777777" w:rsidR="00CD65C2" w:rsidRDefault="00CD65C2">
      <w:pPr>
        <w:pStyle w:val="SemEspaamento"/>
      </w:pPr>
    </w:p>
    <w:p w14:paraId="4A949AA5" w14:textId="77777777" w:rsidR="00CD65C2" w:rsidRDefault="00CD65C2">
      <w:pPr>
        <w:pStyle w:val="SemEspaamento"/>
      </w:pPr>
    </w:p>
    <w:p w14:paraId="41FD9AFC" w14:textId="77777777" w:rsidR="00CD65C2" w:rsidRDefault="00CD65C2">
      <w:pPr>
        <w:pStyle w:val="SemEspaamento"/>
      </w:pPr>
    </w:p>
    <w:p w14:paraId="392F96BB" w14:textId="77777777" w:rsidR="00CD65C2" w:rsidRDefault="00FA41FC">
      <w:pPr>
        <w:pStyle w:val="Ttulo1"/>
        <w:jc w:val="center"/>
        <w:rPr>
          <w:rFonts w:hint="eastAsia"/>
        </w:rPr>
      </w:pPr>
      <w:bookmarkStart w:id="92" w:name="_Toc165537242"/>
      <w:r>
        <w:rPr>
          <w:bCs/>
          <w:iCs/>
        </w:rPr>
        <w:t>Vitamina D3, Cálcio e Colágeno</w:t>
      </w:r>
      <w:bookmarkEnd w:id="92"/>
      <w:r>
        <w:rPr>
          <w:bCs/>
          <w:iCs/>
        </w:rPr>
        <w:t xml:space="preserve"> </w:t>
      </w:r>
    </w:p>
    <w:p w14:paraId="71B64DF6" w14:textId="77777777" w:rsidR="00CD65C2" w:rsidRPr="00D1428E" w:rsidRDefault="00FA41FC">
      <w:pPr>
        <w:pStyle w:val="Corpo"/>
        <w:spacing w:after="120"/>
        <w:jc w:val="center"/>
        <w:rPr>
          <w:rFonts w:hint="eastAsia"/>
          <w:b/>
          <w:bCs/>
          <w:color w:val="0070C0"/>
          <w:sz w:val="40"/>
        </w:rPr>
      </w:pPr>
      <w:r w:rsidRPr="00D1428E">
        <w:rPr>
          <w:b/>
          <w:bCs/>
          <w:color w:val="0070C0"/>
          <w:sz w:val="40"/>
        </w:rPr>
        <w:t>Promove Diminuiçao da Renovação Óssea e Previne o Declínio da Densidade Mineral Óssea</w:t>
      </w:r>
    </w:p>
    <w:p w14:paraId="79D9C1E3" w14:textId="77777777" w:rsidR="00CD65C2" w:rsidRDefault="00CD65C2">
      <w:pPr>
        <w:pStyle w:val="Corpo"/>
        <w:spacing w:after="120"/>
        <w:rPr>
          <w:rFonts w:hint="eastAsia"/>
          <w:color w:val="404040" w:themeColor="text1" w:themeTint="BF"/>
          <w:sz w:val="24"/>
        </w:rPr>
      </w:pPr>
    </w:p>
    <w:p w14:paraId="31F0147B" w14:textId="3432CA00" w:rsidR="00CD65C2" w:rsidRDefault="00FA41FC">
      <w:pPr>
        <w:pStyle w:val="Corpo"/>
        <w:spacing w:line="276" w:lineRule="auto"/>
        <w:rPr>
          <w:rFonts w:hint="eastAsia"/>
          <w:color w:val="404040" w:themeColor="text1" w:themeTint="BF"/>
          <w:sz w:val="24"/>
        </w:rPr>
      </w:pPr>
      <w:r>
        <w:rPr>
          <w:color w:val="404040" w:themeColor="text1" w:themeTint="BF"/>
          <w:sz w:val="24"/>
        </w:rPr>
        <w:t xml:space="preserve">Este estudo prospectivo e randomizado teve como objetivo avaliar os efeitos da suplementação de cálcio e vitamina D com e sem peptídeos de colágeno nas alterações na densidade mineral óssea volumétrica (DMOv), geometria óssea avaliada por tomografia computadorizada quantitativa periférica na tíbia, densidade mineral óssea areal (DMOa; avaliada por absorciometria radiológica de dupla energia na coluna lombar) e nos marcadores de remodelação óssea da coluna e do quadril ao longo de 12 meses </w:t>
      </w:r>
      <w:r>
        <w:rPr>
          <w:color w:val="404040" w:themeColor="text1" w:themeTint="BF"/>
          <w:sz w:val="24"/>
        </w:rPr>
        <w:fldChar w:fldCharType="begin">
          <w:fldData xml:space="preserve">PEVuZE5vdGU+PENpdGU+PEF1dGhvcj5MYW1wcm9wb3Vsb3UtQWRhbWlkb3U8L0F1dGhvcj48WWVh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</w:fldData>
        </w:fldChar>
      </w:r>
      <w:r>
        <w:rPr>
          <w:color w:val="404040" w:themeColor="text1" w:themeTint="BF"/>
          <w:sz w:val="24"/>
        </w:rPr>
        <w:instrText xml:space="preserve"> ADDIN EN.CITE </w:instrText>
      </w:r>
      <w:r>
        <w:rPr>
          <w:color w:val="404040" w:themeColor="text1" w:themeTint="BF"/>
          <w:sz w:val="24"/>
        </w:rPr>
        <w:fldChar w:fldCharType="begin">
          <w:fldData xml:space="preserve">PEVuZE5vdGU+PENpdGU+PEF1dGhvcj5MYW1wcm9wb3Vsb3UtQWRhbWlkb3U8L0F1dGhvcj48WWVh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</w:fldData>
        </w:fldChar>
      </w:r>
      <w:r>
        <w:rPr>
          <w:color w:val="404040" w:themeColor="text1" w:themeTint="BF"/>
          <w:sz w:val="24"/>
        </w:rPr>
        <w:instrText xml:space="preserve"> ADDIN EN.CITE.DATA </w:instrText>
      </w:r>
      <w:r>
        <w:rPr>
          <w:color w:val="404040" w:themeColor="text1" w:themeTint="BF"/>
          <w:sz w:val="24"/>
        </w:rPr>
      </w:r>
      <w:r>
        <w:rPr>
          <w:color w:val="404040" w:themeColor="text1" w:themeTint="BF"/>
          <w:sz w:val="24"/>
        </w:rPr>
        <w:fldChar w:fldCharType="end"/>
      </w:r>
      <w:r>
        <w:rPr>
          <w:color w:val="404040" w:themeColor="text1" w:themeTint="BF"/>
          <w:sz w:val="24"/>
        </w:rPr>
      </w:r>
      <w:r>
        <w:rPr>
          <w:color w:val="404040" w:themeColor="text1" w:themeTint="BF"/>
          <w:sz w:val="24"/>
        </w:rPr>
        <w:fldChar w:fldCharType="separate"/>
      </w:r>
      <w:r>
        <w:rPr>
          <w:color w:val="404040" w:themeColor="text1" w:themeTint="BF"/>
          <w:sz w:val="24"/>
        </w:rPr>
        <w:t>(LAMPROPOULOU-ADAMIDOU; KARLAFTI; ARGYROU; MAKRIS</w:t>
      </w:r>
      <w:r>
        <w:rPr>
          <w:i/>
          <w:color w:val="404040" w:themeColor="text1" w:themeTint="BF"/>
          <w:sz w:val="24"/>
        </w:rPr>
        <w:t xml:space="preserve"> et al.</w:t>
      </w:r>
      <w:r>
        <w:rPr>
          <w:color w:val="404040" w:themeColor="text1" w:themeTint="BF"/>
          <w:sz w:val="24"/>
        </w:rPr>
        <w:t>, 2021)</w:t>
      </w:r>
      <w:r>
        <w:rPr>
          <w:color w:val="404040" w:themeColor="text1" w:themeTint="BF"/>
          <w:sz w:val="24"/>
        </w:rPr>
        <w:fldChar w:fldCharType="end"/>
      </w:r>
      <w:r>
        <w:rPr>
          <w:color w:val="404040" w:themeColor="text1" w:themeTint="BF"/>
          <w:sz w:val="24"/>
        </w:rPr>
        <w:t>.</w:t>
      </w:r>
    </w:p>
    <w:p w14:paraId="624E85A1"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44608" behindDoc="0" locked="0" layoutInCell="1" allowOverlap="1">
                <wp:simplePos x="0" y="0"/>
                <wp:positionH relativeFrom="margin">
                  <wp:posOffset>0</wp:posOffset>
                </wp:positionH>
                <wp:positionV relativeFrom="paragraph">
                  <wp:posOffset>151130</wp:posOffset>
                </wp:positionV>
                <wp:extent cx="5735955" cy="621030"/>
                <wp:effectExtent l="4445" t="5080" r="12700" b="8890"/>
                <wp:wrapNone/>
                <wp:docPr id="223" name="Caixa de texto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781" cy="621030"/>
                        </a:xfrm>
                        <a:prstGeom prst="rect">
                          <a:avLst/>
                        </a:prstGeom>
                        <a:solidFill>
                          <a:schemeClr val="bg1">
                            <a:lumMod val="100000"/>
                            <a:lumOff val="0"/>
                          </a:schemeClr>
                        </a:solidFill>
                        <a:ln w="9525">
                          <a:solidFill>
                            <a:srgbClr val="0070C0"/>
                          </a:solidFill>
                          <a:miter lim="800000"/>
                        </a:ln>
                      </wps:spPr>
                      <wps:txbx>
                        <w:txbxContent>
                          <w:p w14:paraId="0A83D7A4" w14:textId="77777777" w:rsidR="00FA41FC" w:rsidRDefault="00FA41FC">
                            <w:pPr>
                              <w:jc w:val="center"/>
                              <w:rPr>
                                <w:rFonts w:ascii="Swis721 Th BT" w:hAnsi="Swis721 Th BT"/>
                                <w:sz w:val="23"/>
                                <w:szCs w:val="23"/>
                              </w:rPr>
                            </w:pPr>
                            <w:r>
                              <w:rPr>
                                <w:rFonts w:ascii="Swis721 Th BT" w:hAnsi="Swis721 Th BT"/>
                                <w:sz w:val="23"/>
                                <w:szCs w:val="23"/>
                              </w:rPr>
                              <w:t>Para isso, 51 mulheres na pós-menopausa com osteopenia foram selecionadas para receberem:</w:t>
                            </w:r>
                          </w:p>
                          <w:p w14:paraId="7EF46C04"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223" o:spid="_x0000_s1144" type="#_x0000_t202" style="position:absolute;left:0;text-align:left;margin-left:0;margin-top:11.9pt;width:451.65pt;height:48.9pt;z-index:2518446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" fillcolor="white [3212]" strokecolor="#0070c0">
                <v:textbox>
                  <w:txbxContent>
                    <w:p w14:paraId="0A83D7A4" w14:textId="77777777" w:rsidR="00FA41FC" w:rsidRDefault="00FA41FC">
                      <w:pPr>
                        <w:jc w:val="center"/>
                        <w:rPr>
                          <w:rFonts w:ascii="Swis721 Th BT" w:hAnsi="Swis721 Th BT"/>
                          <w:sz w:val="23"/>
                          <w:szCs w:val="23"/>
                        </w:rPr>
                      </w:pPr>
                      <w:r>
                        <w:rPr>
                          <w:rFonts w:ascii="Swis721 Th BT" w:hAnsi="Swis721 Th BT"/>
                          <w:sz w:val="23"/>
                          <w:szCs w:val="23"/>
                        </w:rPr>
                        <w:t>Para isso, 51 mulheres na pós-menopausa com osteopenia foram selecionadas para receberem:</w:t>
                      </w:r>
                    </w:p>
                    <w:p w14:paraId="7EF46C04"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01E0D390" w14:textId="77777777" w:rsidR="00CD65C2" w:rsidRDefault="00CD65C2">
      <w:pPr>
        <w:pStyle w:val="Corpo"/>
        <w:rPr>
          <w:rFonts w:hint="eastAsia"/>
          <w:color w:val="404040" w:themeColor="text1" w:themeTint="BF"/>
        </w:rPr>
      </w:pPr>
    </w:p>
    <w:p w14:paraId="2920E367" w14:textId="77777777" w:rsidR="00CD65C2" w:rsidRDefault="00CD65C2">
      <w:pPr>
        <w:pStyle w:val="Corpo"/>
        <w:rPr>
          <w:rFonts w:hint="eastAsia"/>
          <w:color w:val="404040" w:themeColor="text1" w:themeTint="BF"/>
        </w:rPr>
      </w:pPr>
    </w:p>
    <w:p w14:paraId="6DC0A0B6"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843584" behindDoc="0" locked="0" layoutInCell="1" allowOverlap="1">
                <wp:simplePos x="0" y="0"/>
                <wp:positionH relativeFrom="column">
                  <wp:posOffset>3458845</wp:posOffset>
                </wp:positionH>
                <wp:positionV relativeFrom="paragraph">
                  <wp:posOffset>90170</wp:posOffset>
                </wp:positionV>
                <wp:extent cx="2264410" cy="1295400"/>
                <wp:effectExtent l="0" t="0" r="22225" b="19685"/>
                <wp:wrapNone/>
                <wp:docPr id="252" name="Caixa de texto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4228" cy="1295309"/>
                        </a:xfrm>
                        <a:prstGeom prst="rect">
                          <a:avLst/>
                        </a:prstGeom>
                        <a:solidFill>
                          <a:srgbClr val="0070C0"/>
                        </a:solidFill>
                        <a:ln w="9525">
                          <a:solidFill>
                            <a:srgbClr val="0070C0"/>
                          </a:solidFill>
                          <a:miter lim="800000"/>
                        </a:ln>
                      </wps:spPr>
                      <wps:txbx>
                        <w:txbxContent>
                          <w:p w14:paraId="717BA3F5"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2F4DD27C" w14:textId="77777777" w:rsidR="00FA41FC" w:rsidRDefault="00FA41FC">
                            <w:pPr>
                              <w:spacing w:after="0" w:line="240" w:lineRule="auto"/>
                              <w:jc w:val="center"/>
                              <w:rPr>
                                <w:rFonts w:ascii="Swis721 Th BT" w:hAnsi="Swis721 Th BT"/>
                                <w:bCs/>
                                <w:color w:val="FFFFFF" w:themeColor="background1"/>
                                <w:sz w:val="23"/>
                                <w:szCs w:val="23"/>
                              </w:rPr>
                            </w:pPr>
                          </w:p>
                          <w:p w14:paraId="5790A8DA"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Cálcio 500 mg</w:t>
                            </w:r>
                          </w:p>
                          <w:p w14:paraId="63AA89D0"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w:t>
                            </w:r>
                          </w:p>
                          <w:p w14:paraId="2075C981"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Vitamina D3 400 UI</w:t>
                            </w:r>
                          </w:p>
                          <w:p w14:paraId="61C024A4"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Diariamente</w:t>
                            </w:r>
                          </w:p>
                          <w:p w14:paraId="234A8C0F" w14:textId="77777777" w:rsidR="00FA41FC" w:rsidRDefault="00FA41FC">
                            <w:pPr>
                              <w:spacing w:after="0" w:line="240" w:lineRule="auto"/>
                              <w:jc w:val="center"/>
                              <w:rPr>
                                <w:rFonts w:ascii="Swis721 Th BT" w:hAnsi="Swis721 Th BT"/>
                                <w:b/>
                                <w:color w:val="FFFFFF" w:themeColor="background1"/>
                                <w:sz w:val="12"/>
                                <w:szCs w:val="12"/>
                              </w:rPr>
                            </w:pPr>
                          </w:p>
                          <w:p w14:paraId="7DEBE52D" w14:textId="77777777" w:rsidR="00FA41FC" w:rsidRDefault="00FA41FC">
                            <w:pPr>
                              <w:spacing w:after="0" w:line="240" w:lineRule="auto"/>
                              <w:jc w:val="center"/>
                              <w:rPr>
                                <w:rFonts w:ascii="Swis721 Th BT" w:hAnsi="Swis721 Th BT"/>
                                <w:b/>
                                <w:color w:val="FFFFFF" w:themeColor="background1"/>
                                <w:sz w:val="23"/>
                                <w:szCs w:val="23"/>
                              </w:rPr>
                            </w:pPr>
                          </w:p>
                          <w:p w14:paraId="5DC3E55C" w14:textId="77777777" w:rsidR="00FA41FC" w:rsidRDefault="00FA41FC">
                            <w:pPr>
                              <w:spacing w:after="0" w:line="240" w:lineRule="auto"/>
                              <w:jc w:val="center"/>
                              <w:rPr>
                                <w:rFonts w:ascii="Swis721 Th BT" w:hAnsi="Swis721 Th BT"/>
                                <w:b/>
                                <w:color w:val="FFFFFF" w:themeColor="background1"/>
                                <w:sz w:val="12"/>
                                <w:szCs w:val="12"/>
                              </w:rPr>
                            </w:pPr>
                          </w:p>
                          <w:p w14:paraId="3F42D78F" w14:textId="77777777" w:rsidR="00FA41FC" w:rsidRDefault="00FA41FC"/>
                        </w:txbxContent>
                      </wps:txbx>
                      <wps:bodyPr rot="0" vert="horz" wrap="square" lIns="91440" tIns="45720" rIns="91440" bIns="45720" anchor="t" anchorCtr="0" upright="1">
                        <a:noAutofit/>
                      </wps:bodyPr>
                    </wps:wsp>
                  </a:graphicData>
                </a:graphic>
              </wp:anchor>
            </w:drawing>
          </mc:Choice>
          <mc:Fallback>
            <w:pict>
              <v:shape id="Caixa de texto 252" o:spid="_x0000_s1145" type="#_x0000_t202" style="position:absolute;left:0;text-align:left;margin-left:272.35pt;margin-top:7.1pt;width:178.3pt;height:102pt;z-index:251843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" fillcolor="#0070c0" strokecolor="#0070c0">
                <v:textbox>
                  <w:txbxContent>
                    <w:p w14:paraId="717BA3F5"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2F4DD27C" w14:textId="77777777" w:rsidR="00FA41FC" w:rsidRDefault="00FA41FC">
                      <w:pPr>
                        <w:spacing w:after="0" w:line="240" w:lineRule="auto"/>
                        <w:jc w:val="center"/>
                        <w:rPr>
                          <w:rFonts w:ascii="Swis721 Th BT" w:hAnsi="Swis721 Th BT"/>
                          <w:bCs/>
                          <w:color w:val="FFFFFF" w:themeColor="background1"/>
                          <w:sz w:val="23"/>
                          <w:szCs w:val="23"/>
                        </w:rPr>
                      </w:pPr>
                    </w:p>
                    <w:p w14:paraId="5790A8DA"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Cálcio 500 mg</w:t>
                      </w:r>
                    </w:p>
                    <w:p w14:paraId="63AA89D0"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w:t>
                      </w:r>
                    </w:p>
                    <w:p w14:paraId="2075C981"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Vitamina D3 400 UI</w:t>
                      </w:r>
                    </w:p>
                    <w:p w14:paraId="61C024A4"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Diariamente</w:t>
                      </w:r>
                    </w:p>
                    <w:p w14:paraId="234A8C0F" w14:textId="77777777" w:rsidR="00FA41FC" w:rsidRDefault="00FA41FC">
                      <w:pPr>
                        <w:spacing w:after="0" w:line="240" w:lineRule="auto"/>
                        <w:jc w:val="center"/>
                        <w:rPr>
                          <w:rFonts w:ascii="Swis721 Th BT" w:hAnsi="Swis721 Th BT"/>
                          <w:b/>
                          <w:color w:val="FFFFFF" w:themeColor="background1"/>
                          <w:sz w:val="12"/>
                          <w:szCs w:val="12"/>
                        </w:rPr>
                      </w:pPr>
                    </w:p>
                    <w:p w14:paraId="7DEBE52D" w14:textId="77777777" w:rsidR="00FA41FC" w:rsidRDefault="00FA41FC">
                      <w:pPr>
                        <w:spacing w:after="0" w:line="240" w:lineRule="auto"/>
                        <w:jc w:val="center"/>
                        <w:rPr>
                          <w:rFonts w:ascii="Swis721 Th BT" w:hAnsi="Swis721 Th BT"/>
                          <w:b/>
                          <w:color w:val="FFFFFF" w:themeColor="background1"/>
                          <w:sz w:val="23"/>
                          <w:szCs w:val="23"/>
                        </w:rPr>
                      </w:pPr>
                    </w:p>
                    <w:p w14:paraId="5DC3E55C" w14:textId="77777777" w:rsidR="00FA41FC" w:rsidRDefault="00FA41FC">
                      <w:pPr>
                        <w:spacing w:after="0" w:line="240" w:lineRule="auto"/>
                        <w:jc w:val="center"/>
                        <w:rPr>
                          <w:rFonts w:ascii="Swis721 Th BT" w:hAnsi="Swis721 Th BT"/>
                          <w:b/>
                          <w:color w:val="FFFFFF" w:themeColor="background1"/>
                          <w:sz w:val="12"/>
                          <w:szCs w:val="12"/>
                        </w:rPr>
                      </w:pPr>
                    </w:p>
                    <w:p w14:paraId="3F42D78F" w14:textId="77777777" w:rsidR="00FA41FC" w:rsidRDefault="00FA41FC"/>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842560" behindDoc="0" locked="0" layoutInCell="1" allowOverlap="1">
                <wp:simplePos x="0" y="0"/>
                <wp:positionH relativeFrom="column">
                  <wp:posOffset>-1905</wp:posOffset>
                </wp:positionH>
                <wp:positionV relativeFrom="paragraph">
                  <wp:posOffset>79375</wp:posOffset>
                </wp:positionV>
                <wp:extent cx="2383790" cy="1306195"/>
                <wp:effectExtent l="0" t="0" r="16510" b="27305"/>
                <wp:wrapNone/>
                <wp:docPr id="254" name="Caixa de texto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3971" cy="1306286"/>
                        </a:xfrm>
                        <a:prstGeom prst="rect">
                          <a:avLst/>
                        </a:prstGeom>
                        <a:solidFill>
                          <a:srgbClr val="0070C0"/>
                        </a:solidFill>
                        <a:ln w="9525">
                          <a:solidFill>
                            <a:srgbClr val="0070C0"/>
                          </a:solidFill>
                          <a:miter lim="800000"/>
                        </a:ln>
                      </wps:spPr>
                      <wps:txbx>
                        <w:txbxContent>
                          <w:p w14:paraId="70A681D5"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iCs/>
                                <w:color w:val="FFFFFF" w:themeColor="background1"/>
                                <w:sz w:val="23"/>
                                <w:szCs w:val="23"/>
                              </w:rPr>
                              <w:t>Peptídeos de Colágeno 5g</w:t>
                            </w:r>
                          </w:p>
                          <w:p w14:paraId="3ECFA9B6"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w:t>
                            </w:r>
                          </w:p>
                          <w:p w14:paraId="3FAE8329"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Cálcio 500 mg</w:t>
                            </w:r>
                          </w:p>
                          <w:p w14:paraId="24EA7FC8"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w:t>
                            </w:r>
                          </w:p>
                          <w:p w14:paraId="5334E4DC"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Vitamina D3 400 UI</w:t>
                            </w:r>
                          </w:p>
                          <w:p w14:paraId="2F3CB785"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Diariamente</w:t>
                            </w:r>
                          </w:p>
                          <w:p w14:paraId="47593CDD"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254" o:spid="_x0000_s1146" type="#_x0000_t202" style="position:absolute;left:0;text-align:left;margin-left:-.15pt;margin-top:6.25pt;width:187.7pt;height:102.85pt;z-index:251842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" fillcolor="#0070c0" strokecolor="#0070c0">
                <v:textbox>
                  <w:txbxContent>
                    <w:p w14:paraId="70A681D5"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iCs/>
                          <w:color w:val="FFFFFF" w:themeColor="background1"/>
                          <w:sz w:val="23"/>
                          <w:szCs w:val="23"/>
                        </w:rPr>
                        <w:t>Peptídeos de Colágeno 5g</w:t>
                      </w:r>
                    </w:p>
                    <w:p w14:paraId="3ECFA9B6"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w:t>
                      </w:r>
                    </w:p>
                    <w:p w14:paraId="3FAE8329"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Cálcio 500 mg</w:t>
                      </w:r>
                    </w:p>
                    <w:p w14:paraId="24EA7FC8"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w:t>
                      </w:r>
                    </w:p>
                    <w:p w14:paraId="5334E4DC"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Vitamina D3 400 UI</w:t>
                      </w:r>
                    </w:p>
                    <w:p w14:paraId="2F3CB785"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Diariamente</w:t>
                      </w:r>
                    </w:p>
                    <w:p w14:paraId="47593CDD"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p>
    <w:p w14:paraId="4580B211" w14:textId="77777777" w:rsidR="00CD65C2" w:rsidRDefault="00CD65C2">
      <w:pPr>
        <w:pStyle w:val="Corpo"/>
        <w:rPr>
          <w:rFonts w:hint="eastAsia"/>
          <w:color w:val="404040" w:themeColor="text1" w:themeTint="BF"/>
        </w:rPr>
      </w:pPr>
    </w:p>
    <w:p w14:paraId="753C1076" w14:textId="77777777" w:rsidR="00CD65C2" w:rsidRDefault="00CD65C2">
      <w:pPr>
        <w:pStyle w:val="Corpo"/>
        <w:rPr>
          <w:rFonts w:hint="eastAsia"/>
          <w:color w:val="404040" w:themeColor="text1" w:themeTint="BF"/>
        </w:rPr>
      </w:pPr>
    </w:p>
    <w:p w14:paraId="1C507A5A" w14:textId="77777777" w:rsidR="00CD65C2" w:rsidRDefault="00CD65C2">
      <w:pPr>
        <w:pStyle w:val="Corpo"/>
        <w:rPr>
          <w:rFonts w:hint="eastAsia"/>
          <w:color w:val="404040" w:themeColor="text1" w:themeTint="BF"/>
        </w:rPr>
      </w:pPr>
    </w:p>
    <w:p w14:paraId="56728F5B" w14:textId="77777777" w:rsidR="00CD65C2" w:rsidRDefault="00CD65C2">
      <w:pPr>
        <w:pStyle w:val="Corpo"/>
        <w:rPr>
          <w:rFonts w:hint="eastAsia"/>
          <w:color w:val="404040" w:themeColor="text1" w:themeTint="BF"/>
        </w:rPr>
      </w:pPr>
    </w:p>
    <w:p w14:paraId="03F28CE6" w14:textId="77777777" w:rsidR="00CD65C2" w:rsidRDefault="00CD65C2">
      <w:pPr>
        <w:pStyle w:val="Corpo"/>
        <w:rPr>
          <w:rFonts w:hint="eastAsia"/>
          <w:color w:val="404040" w:themeColor="text1" w:themeTint="BF"/>
        </w:rPr>
      </w:pPr>
    </w:p>
    <w:p w14:paraId="0B140A2E" w14:textId="77777777" w:rsidR="00CD65C2" w:rsidRDefault="00CD65C2">
      <w:pPr>
        <w:pStyle w:val="Corpo"/>
        <w:rPr>
          <w:rFonts w:hint="eastAsia"/>
          <w:color w:val="404040" w:themeColor="text1" w:themeTint="BF"/>
        </w:rPr>
      </w:pPr>
    </w:p>
    <w:p w14:paraId="1AD74A26" w14:textId="77777777" w:rsidR="00CD65C2" w:rsidRDefault="00CD65C2">
      <w:pPr>
        <w:pStyle w:val="Corpo"/>
        <w:rPr>
          <w:rFonts w:hint="eastAsia"/>
          <w:color w:val="404040" w:themeColor="text1" w:themeTint="BF"/>
        </w:rPr>
      </w:pPr>
    </w:p>
    <w:p w14:paraId="50445990" w14:textId="1B7C3C84" w:rsidR="00CD65C2" w:rsidRDefault="00FA41FC">
      <w:pPr>
        <w:pStyle w:val="Corpo"/>
        <w:numPr>
          <w:ilvl w:val="0"/>
          <w:numId w:val="37"/>
        </w:numPr>
        <w:rPr>
          <w:rFonts w:hint="eastAsia"/>
          <w:color w:val="404040" w:themeColor="text1" w:themeTint="BF"/>
          <w:sz w:val="20"/>
          <w:szCs w:val="20"/>
        </w:rPr>
      </w:pPr>
      <w:r>
        <w:rPr>
          <w:color w:val="404040" w:themeColor="text1" w:themeTint="BF"/>
          <w:sz w:val="20"/>
          <w:szCs w:val="20"/>
        </w:rPr>
        <w:t>O desfecho primário foi a alteração do conteúdo mineral ósseo trabecular (CMO) e DMOv após 12 meses de suplementação nos grupos 1 e 2.</w:t>
      </w:r>
    </w:p>
    <w:p w14:paraId="692CC745" w14:textId="77777777" w:rsidR="00CD65C2" w:rsidRDefault="00CD65C2">
      <w:pPr>
        <w:pStyle w:val="Corpo"/>
        <w:rPr>
          <w:rFonts w:hint="eastAsia"/>
          <w:color w:val="404040" w:themeColor="text1" w:themeTint="BF"/>
        </w:rPr>
      </w:pPr>
    </w:p>
    <w:p w14:paraId="75E599B9"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0447517C" w14:textId="77777777" w:rsidR="00CD65C2" w:rsidRDefault="00CD65C2">
      <w:pPr>
        <w:pStyle w:val="Corpo"/>
        <w:rPr>
          <w:rFonts w:hint="eastAsia"/>
          <w:color w:val="404040" w:themeColor="text1" w:themeTint="BF"/>
          <w:sz w:val="16"/>
          <w:szCs w:val="16"/>
        </w:rPr>
      </w:pPr>
    </w:p>
    <w:p w14:paraId="3F0DBE84" w14:textId="5B6FFCB2" w:rsidR="00CD65C2" w:rsidRDefault="00FA41FC">
      <w:pPr>
        <w:pStyle w:val="Corpo"/>
        <w:numPr>
          <w:ilvl w:val="0"/>
          <w:numId w:val="5"/>
        </w:numPr>
        <w:spacing w:after="120" w:line="276" w:lineRule="auto"/>
        <w:ind w:left="357" w:hanging="357"/>
        <w:rPr>
          <w:rFonts w:hint="eastAsia"/>
          <w:bCs/>
          <w:color w:val="404040" w:themeColor="text1" w:themeTint="BF"/>
          <w:sz w:val="24"/>
        </w:rPr>
      </w:pPr>
      <w:r>
        <w:rPr>
          <w:bCs/>
          <w:color w:val="404040" w:themeColor="text1" w:themeTint="BF"/>
          <w:sz w:val="24"/>
        </w:rPr>
        <w:t>No local trabecular (4% do comprimento da tíbia), o grupo 1 teve um aumento significativo no CMO total em 1,96 ± 2,41% e área de seção transversal em 2,58 ± 3,91%, CMO trabecular em 5,24 ± 6,48%, área de seção transversal em 2,58 ± 3,91% e DMOv em 2,54 ± 3,43% e uma maior % de alteração desses parâmetros em 12 meses em comparação ao grupo 2;</w:t>
      </w:r>
    </w:p>
    <w:p w14:paraId="0D5297D6" w14:textId="77777777" w:rsidR="00CD65C2" w:rsidRDefault="00FA41FC">
      <w:pPr>
        <w:pStyle w:val="Corpo"/>
        <w:numPr>
          <w:ilvl w:val="0"/>
          <w:numId w:val="5"/>
        </w:numPr>
        <w:spacing w:after="120" w:line="276" w:lineRule="auto"/>
        <w:ind w:left="357" w:hanging="357"/>
        <w:rPr>
          <w:rFonts w:hint="eastAsia"/>
          <w:bCs/>
          <w:color w:val="404040" w:themeColor="text1" w:themeTint="BF"/>
          <w:sz w:val="24"/>
        </w:rPr>
      </w:pPr>
      <w:r>
        <w:rPr>
          <w:bCs/>
          <w:color w:val="404040" w:themeColor="text1" w:themeTint="BF"/>
          <w:sz w:val="24"/>
        </w:rPr>
        <w:t>No local cortical (38% do comprimento da tíbia), a DMOv total e cortical aumentou 1,01 ± 2,57% e 0,67 ± 1,71%;</w:t>
      </w:r>
    </w:p>
    <w:p w14:paraId="3497A3F7" w14:textId="5A0B9934" w:rsidR="00CD65C2" w:rsidRDefault="00FA41FC">
      <w:pPr>
        <w:pStyle w:val="Corpo"/>
        <w:numPr>
          <w:ilvl w:val="0"/>
          <w:numId w:val="5"/>
        </w:numPr>
        <w:spacing w:after="120" w:line="276" w:lineRule="auto"/>
        <w:ind w:left="357" w:hanging="357"/>
        <w:rPr>
          <w:rFonts w:hint="eastAsia"/>
          <w:bCs/>
          <w:color w:val="404040" w:themeColor="text1" w:themeTint="BF"/>
          <w:sz w:val="24"/>
        </w:rPr>
      </w:pPr>
      <w:r>
        <w:rPr>
          <w:bCs/>
          <w:color w:val="404040" w:themeColor="text1" w:themeTint="BF"/>
          <w:sz w:val="24"/>
        </w:rPr>
        <w:t>A média de DMOa na coluna foi maior (p = 0,01), enquanto os marcadores ósseos diminuíram no grupo 1 em comparação ao grupo 2.</w:t>
      </w:r>
    </w:p>
    <w:p w14:paraId="387A0F8D" w14:textId="77777777" w:rsidR="00CD65C2" w:rsidRDefault="00FA41FC">
      <w:pPr>
        <w:pStyle w:val="Ttulo1"/>
        <w:jc w:val="center"/>
        <w:rPr>
          <w:rFonts w:hint="eastAsia"/>
        </w:rPr>
      </w:pPr>
      <w:bookmarkStart w:id="93" w:name="_Toc165537243"/>
      <w:r>
        <w:t>Formulário</w:t>
      </w:r>
      <w:bookmarkEnd w:id="93"/>
    </w:p>
    <w:p w14:paraId="3DB35F60" w14:textId="77777777" w:rsidR="00CD65C2" w:rsidRDefault="00CD65C2">
      <w:pPr>
        <w:pStyle w:val="Corpo"/>
        <w:rPr>
          <w:rFonts w:hint="eastAsia"/>
          <w:b/>
          <w:i/>
          <w:color w:val="404040" w:themeColor="text1" w:themeTint="BF"/>
        </w:rPr>
      </w:pPr>
    </w:p>
    <w:p w14:paraId="255EC6D6" w14:textId="77777777" w:rsidR="00CD65C2" w:rsidRDefault="00CD65C2">
      <w:pPr>
        <w:pStyle w:val="Corpo"/>
        <w:rPr>
          <w:rFonts w:hint="eastAsia"/>
          <w:b/>
          <w:i/>
          <w:color w:val="404040" w:themeColor="text1" w:themeTint="BF"/>
        </w:rPr>
      </w:pPr>
    </w:p>
    <w:p w14:paraId="3FFEB4DE" w14:textId="77777777" w:rsidR="00CD65C2" w:rsidRDefault="00FA41FC">
      <w:pPr>
        <w:pStyle w:val="Corpo"/>
        <w:rPr>
          <w:rFonts w:hint="eastAsia"/>
          <w:b/>
          <w:bCs/>
          <w:i/>
          <w:iCs/>
          <w:color w:val="404040" w:themeColor="text1" w:themeTint="BF"/>
          <w:sz w:val="24"/>
        </w:rPr>
      </w:pPr>
      <w:r>
        <w:rPr>
          <w:b/>
          <w:bCs/>
          <w:i/>
          <w:iCs/>
          <w:color w:val="404040" w:themeColor="text1" w:themeTint="BF"/>
          <w:sz w:val="24"/>
        </w:rPr>
        <w:t>Suplementação de Cálcio, Vitamina D3 e Peptídeos de Colágeno é Eficaz em Mulheres na Pós-Menopausa com Osteopenia</w:t>
      </w:r>
    </w:p>
    <w:p w14:paraId="296D7A2C"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31E16028"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67F4B56F" w14:textId="77777777" w:rsidR="00CD65C2" w:rsidRDefault="00FA41FC">
            <w:pPr>
              <w:pStyle w:val="Corpo"/>
              <w:jc w:val="center"/>
              <w:rPr>
                <w:rFonts w:hint="eastAsia"/>
                <w:b/>
                <w:i/>
                <w:color w:val="FFFFFF" w:themeColor="background1"/>
              </w:rPr>
            </w:pPr>
            <w:r>
              <w:rPr>
                <w:b/>
                <w:color w:val="FFFFFF" w:themeColor="background1"/>
              </w:rPr>
              <w:t>Associação</w:t>
            </w:r>
          </w:p>
        </w:tc>
      </w:tr>
      <w:tr w:rsidR="00CD65C2" w14:paraId="689EBFCA"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E32A989" w14:textId="77777777" w:rsidR="00CD65C2" w:rsidRDefault="00FA41FC">
            <w:pPr>
              <w:pStyle w:val="Corpo"/>
              <w:rPr>
                <w:rFonts w:hint="eastAsia"/>
                <w:color w:val="404040" w:themeColor="text1" w:themeTint="BF"/>
              </w:rPr>
            </w:pPr>
            <w:r>
              <w:rPr>
                <w:color w:val="404040" w:themeColor="text1" w:themeTint="BF"/>
              </w:rPr>
              <w:t>Peptídeos Bioativos de Colágeno......... 5 g</w:t>
            </w:r>
          </w:p>
        </w:tc>
      </w:tr>
      <w:tr w:rsidR="00CD65C2" w14:paraId="3A7C054F"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D308C1D" w14:textId="77777777" w:rsidR="00CD65C2" w:rsidRDefault="00FA41FC">
            <w:pPr>
              <w:pStyle w:val="Corpo"/>
              <w:rPr>
                <w:rFonts w:hint="eastAsia"/>
                <w:color w:val="404040" w:themeColor="text1" w:themeTint="BF"/>
              </w:rPr>
            </w:pPr>
            <w:r>
              <w:rPr>
                <w:color w:val="404040" w:themeColor="text1" w:themeTint="BF"/>
              </w:rPr>
              <w:t>Cálcio ............................................500 mg</w:t>
            </w:r>
          </w:p>
        </w:tc>
      </w:tr>
      <w:tr w:rsidR="00CD65C2" w14:paraId="5230A97A"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2E47A32" w14:textId="77777777" w:rsidR="00CD65C2" w:rsidRDefault="00FA41FC">
            <w:pPr>
              <w:pStyle w:val="Corpo"/>
              <w:rPr>
                <w:rFonts w:hint="eastAsia"/>
                <w:color w:val="404040" w:themeColor="text1" w:themeTint="BF"/>
              </w:rPr>
            </w:pPr>
            <w:r>
              <w:rPr>
                <w:color w:val="404040" w:themeColor="text1" w:themeTint="BF"/>
              </w:rPr>
              <w:t>Vitamina D3......................................400 UI</w:t>
            </w:r>
          </w:p>
        </w:tc>
      </w:tr>
      <w:tr w:rsidR="00CD65C2" w14:paraId="235EDF6D"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FE29AF1" w14:textId="0A0151A3" w:rsidR="00CD65C2" w:rsidRDefault="00FA41FC">
            <w:pPr>
              <w:pStyle w:val="Corpo"/>
              <w:rPr>
                <w:rFonts w:hint="eastAsia"/>
                <w:color w:val="404040" w:themeColor="text1" w:themeTint="BF"/>
              </w:rPr>
            </w:pPr>
            <w:r>
              <w:rPr>
                <w:color w:val="404040" w:themeColor="text1" w:themeTint="BF"/>
              </w:rPr>
              <w:t>Excipiente q.s.p. ............................1 Sachê</w:t>
            </w:r>
          </w:p>
        </w:tc>
      </w:tr>
    </w:tbl>
    <w:p w14:paraId="09AE2434" w14:textId="77777777" w:rsidR="00CD65C2" w:rsidRDefault="00FA41FC">
      <w:pPr>
        <w:pStyle w:val="SemEspaamento"/>
        <w:ind w:right="4676"/>
        <w:jc w:val="center"/>
      </w:pPr>
      <w:r>
        <w:rPr>
          <w:rFonts w:ascii="Swis721 Th BT" w:eastAsia="MS Mincho" w:hAnsi="Swis721 Th BT"/>
          <w:color w:val="404040" w:themeColor="text1" w:themeTint="BF"/>
        </w:rPr>
        <w:t>Administrar 1 sachê ao dia ou conforme orientação médica.</w:t>
      </w:r>
    </w:p>
    <w:p w14:paraId="78AF9CEE" w14:textId="77777777" w:rsidR="00CD65C2" w:rsidRDefault="00CD65C2">
      <w:pPr>
        <w:pStyle w:val="SemEspaamento"/>
      </w:pPr>
    </w:p>
    <w:p w14:paraId="04243F97" w14:textId="77777777" w:rsidR="00CD65C2" w:rsidRDefault="00CD65C2">
      <w:pPr>
        <w:pStyle w:val="SemEspaamento"/>
      </w:pPr>
    </w:p>
    <w:p w14:paraId="7DA83155" w14:textId="77777777" w:rsidR="00CD65C2" w:rsidRDefault="00CD65C2">
      <w:pPr>
        <w:pStyle w:val="SemEspaamento"/>
      </w:pPr>
    </w:p>
    <w:p w14:paraId="387993E6" w14:textId="77777777" w:rsidR="00CD65C2" w:rsidRDefault="00CD65C2">
      <w:pPr>
        <w:pStyle w:val="SemEspaamento"/>
      </w:pPr>
    </w:p>
    <w:p w14:paraId="2B2BA883" w14:textId="77777777" w:rsidR="00CD65C2" w:rsidRDefault="00CD65C2">
      <w:pPr>
        <w:pStyle w:val="SemEspaamento"/>
      </w:pPr>
    </w:p>
    <w:p w14:paraId="44EC67C8" w14:textId="77777777" w:rsidR="00CD65C2" w:rsidRDefault="00CD65C2">
      <w:pPr>
        <w:pStyle w:val="SemEspaamento"/>
      </w:pPr>
    </w:p>
    <w:p w14:paraId="3C56345B" w14:textId="77777777" w:rsidR="00CD65C2" w:rsidRDefault="00CD65C2">
      <w:pPr>
        <w:pStyle w:val="SemEspaamento"/>
      </w:pPr>
    </w:p>
    <w:p w14:paraId="52235296" w14:textId="77777777" w:rsidR="00CD65C2" w:rsidRDefault="00CD65C2">
      <w:pPr>
        <w:pStyle w:val="SemEspaamento"/>
      </w:pPr>
    </w:p>
    <w:p w14:paraId="302421EE" w14:textId="77777777" w:rsidR="00CD65C2" w:rsidRDefault="00CD65C2">
      <w:pPr>
        <w:pStyle w:val="SemEspaamento"/>
      </w:pPr>
    </w:p>
    <w:p w14:paraId="75366E57" w14:textId="77777777" w:rsidR="00CD65C2" w:rsidRDefault="00CD65C2">
      <w:pPr>
        <w:pStyle w:val="SemEspaamento"/>
      </w:pPr>
    </w:p>
    <w:p w14:paraId="4433F95D" w14:textId="77777777" w:rsidR="00CD65C2" w:rsidRDefault="00CD65C2">
      <w:pPr>
        <w:pStyle w:val="SemEspaamento"/>
      </w:pPr>
    </w:p>
    <w:p w14:paraId="18F24512" w14:textId="77777777" w:rsidR="00CD65C2" w:rsidRDefault="00CD65C2">
      <w:pPr>
        <w:pStyle w:val="SemEspaamento"/>
      </w:pPr>
    </w:p>
    <w:p w14:paraId="215086AD" w14:textId="77777777" w:rsidR="00CD65C2" w:rsidRDefault="00CD65C2">
      <w:pPr>
        <w:pStyle w:val="SemEspaamento"/>
      </w:pPr>
    </w:p>
    <w:p w14:paraId="294B6B19" w14:textId="77777777" w:rsidR="00CD65C2" w:rsidRDefault="00CD65C2">
      <w:pPr>
        <w:pStyle w:val="SemEspaamento"/>
      </w:pPr>
    </w:p>
    <w:p w14:paraId="4D58662A" w14:textId="77777777" w:rsidR="00CD65C2" w:rsidRDefault="00CD65C2">
      <w:pPr>
        <w:pStyle w:val="SemEspaamento"/>
      </w:pPr>
    </w:p>
    <w:p w14:paraId="5354290E" w14:textId="77777777" w:rsidR="00CD65C2" w:rsidRDefault="00CD65C2">
      <w:pPr>
        <w:pStyle w:val="SemEspaamento"/>
      </w:pPr>
    </w:p>
    <w:p w14:paraId="5EB7E915" w14:textId="77777777" w:rsidR="00CD65C2" w:rsidRDefault="00CD65C2">
      <w:pPr>
        <w:pStyle w:val="SemEspaamento"/>
      </w:pPr>
    </w:p>
    <w:p w14:paraId="5075B327" w14:textId="77777777" w:rsidR="00CD65C2" w:rsidRDefault="00CD65C2">
      <w:pPr>
        <w:pStyle w:val="SemEspaamento"/>
      </w:pPr>
    </w:p>
    <w:p w14:paraId="4E66C7EB" w14:textId="77777777" w:rsidR="00CD65C2" w:rsidRDefault="00CD65C2">
      <w:pPr>
        <w:pStyle w:val="SemEspaamento"/>
      </w:pPr>
    </w:p>
    <w:p w14:paraId="581059A9" w14:textId="77777777" w:rsidR="00CD65C2" w:rsidRDefault="00CD65C2">
      <w:pPr>
        <w:pStyle w:val="SemEspaamento"/>
      </w:pPr>
    </w:p>
    <w:p w14:paraId="064C99B1" w14:textId="77777777" w:rsidR="00CD65C2" w:rsidRDefault="00CD65C2">
      <w:pPr>
        <w:pStyle w:val="SemEspaamento"/>
      </w:pPr>
    </w:p>
    <w:p w14:paraId="43B0C0FD" w14:textId="77777777" w:rsidR="00CD65C2" w:rsidRDefault="00CD65C2">
      <w:pPr>
        <w:pStyle w:val="SemEspaamento"/>
      </w:pPr>
    </w:p>
    <w:p w14:paraId="6EE891C2" w14:textId="77777777" w:rsidR="00CD65C2" w:rsidRDefault="00CD65C2">
      <w:pPr>
        <w:pStyle w:val="SemEspaamento"/>
      </w:pPr>
    </w:p>
    <w:p w14:paraId="6B2CB63C" w14:textId="77777777" w:rsidR="00CD65C2" w:rsidRDefault="00CD65C2">
      <w:pPr>
        <w:pStyle w:val="SemEspaamento"/>
      </w:pPr>
    </w:p>
    <w:p w14:paraId="2D581841" w14:textId="77777777" w:rsidR="00CD65C2" w:rsidRDefault="00CD65C2">
      <w:pPr>
        <w:pStyle w:val="SemEspaamento"/>
      </w:pPr>
    </w:p>
    <w:p w14:paraId="27A74437" w14:textId="77777777" w:rsidR="00CD65C2" w:rsidRDefault="00CD65C2">
      <w:pPr>
        <w:pStyle w:val="SemEspaamento"/>
      </w:pPr>
    </w:p>
    <w:p w14:paraId="56F0BA36" w14:textId="77777777" w:rsidR="00CD65C2" w:rsidRDefault="00CD65C2">
      <w:pPr>
        <w:pStyle w:val="SemEspaamento"/>
      </w:pPr>
    </w:p>
    <w:p w14:paraId="6C24875A" w14:textId="77777777" w:rsidR="00CD65C2" w:rsidRDefault="00FA41FC">
      <w:pPr>
        <w:pStyle w:val="Ttulo1"/>
        <w:jc w:val="center"/>
        <w:rPr>
          <w:rFonts w:hint="eastAsia"/>
        </w:rPr>
      </w:pPr>
      <w:bookmarkStart w:id="94" w:name="_Toc165537244"/>
      <w:r>
        <w:rPr>
          <w:bCs/>
          <w:iCs/>
        </w:rPr>
        <w:t>Peptídeos de Colágeno</w:t>
      </w:r>
      <w:bookmarkEnd w:id="94"/>
      <w:r>
        <w:rPr>
          <w:bCs/>
          <w:iCs/>
        </w:rPr>
        <w:t xml:space="preserve"> </w:t>
      </w:r>
    </w:p>
    <w:p w14:paraId="50696A73" w14:textId="77777777" w:rsidR="00CD65C2" w:rsidRDefault="00FA41FC">
      <w:pPr>
        <w:pStyle w:val="Subtitulocorpo"/>
        <w:rPr>
          <w:rFonts w:hint="eastAsia"/>
        </w:rPr>
      </w:pPr>
      <w:r>
        <w:t>Aumentam a DMO e Marcadores da Formação Óssea em Mulheres com Osteoporose</w:t>
      </w:r>
    </w:p>
    <w:p w14:paraId="7725A733" w14:textId="77777777" w:rsidR="00CD65C2" w:rsidRDefault="00CD65C2">
      <w:pPr>
        <w:pStyle w:val="Corpo"/>
        <w:spacing w:after="120"/>
        <w:rPr>
          <w:rFonts w:hint="eastAsia"/>
          <w:color w:val="404040" w:themeColor="text1" w:themeTint="BF"/>
          <w:sz w:val="24"/>
        </w:rPr>
      </w:pPr>
    </w:p>
    <w:p w14:paraId="7A8C3F2B" w14:textId="77777777" w:rsidR="00CD65C2" w:rsidRDefault="00FA41FC">
      <w:pPr>
        <w:pStyle w:val="Corpo"/>
        <w:rPr>
          <w:rFonts w:hint="eastAsia"/>
          <w:color w:val="404040" w:themeColor="text1" w:themeTint="BF"/>
          <w:sz w:val="24"/>
        </w:rPr>
      </w:pPr>
      <w:r>
        <w:rPr>
          <w:color w:val="404040" w:themeColor="text1" w:themeTint="BF"/>
          <w:sz w:val="24"/>
        </w:rPr>
        <w:t xml:space="preserve">O objetivo deste estudo conduzido por Konig </w:t>
      </w:r>
      <w:r>
        <w:rPr>
          <w:i/>
          <w:color w:val="404040" w:themeColor="text1" w:themeTint="BF"/>
          <w:sz w:val="24"/>
        </w:rPr>
        <w:t>et al.</w:t>
      </w:r>
      <w:r>
        <w:rPr>
          <w:color w:val="404040" w:themeColor="text1" w:themeTint="BF"/>
          <w:sz w:val="24"/>
        </w:rPr>
        <w:t xml:space="preserve"> (2018) foi investigar os efeitos da administração oral de peptídeos de colágeno na Densidade Mineral Óssea (DMO).</w:t>
      </w:r>
    </w:p>
    <w:p w14:paraId="71604755"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47680" behindDoc="0" locked="0" layoutInCell="1" allowOverlap="1">
                <wp:simplePos x="0" y="0"/>
                <wp:positionH relativeFrom="margin">
                  <wp:posOffset>-1905</wp:posOffset>
                </wp:positionH>
                <wp:positionV relativeFrom="paragraph">
                  <wp:posOffset>147320</wp:posOffset>
                </wp:positionV>
                <wp:extent cx="5735955" cy="696595"/>
                <wp:effectExtent l="0" t="0" r="17780" b="27305"/>
                <wp:wrapNone/>
                <wp:docPr id="739657676" name="Caixa de texto 739657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781" cy="696686"/>
                        </a:xfrm>
                        <a:prstGeom prst="rect">
                          <a:avLst/>
                        </a:prstGeom>
                        <a:solidFill>
                          <a:schemeClr val="bg1">
                            <a:lumMod val="100000"/>
                            <a:lumOff val="0"/>
                          </a:schemeClr>
                        </a:solidFill>
                        <a:ln w="9525">
                          <a:solidFill>
                            <a:srgbClr val="0070C0"/>
                          </a:solidFill>
                          <a:miter lim="800000"/>
                        </a:ln>
                      </wps:spPr>
                      <wps:txbx>
                        <w:txbxContent>
                          <w:p w14:paraId="39DDA0FC" w14:textId="5BA4A687" w:rsidR="00FA41FC" w:rsidRDefault="00FA41FC">
                            <w:pPr>
                              <w:jc w:val="center"/>
                              <w:rPr>
                                <w:rFonts w:ascii="Swis721 Th BT" w:hAnsi="Swis721 Th BT"/>
                                <w:sz w:val="23"/>
                                <w:szCs w:val="23"/>
                              </w:rPr>
                            </w:pPr>
                            <w:r>
                              <w:rPr>
                                <w:rFonts w:ascii="Swis721 Th BT" w:hAnsi="Swis721 Th BT"/>
                                <w:sz w:val="23"/>
                                <w:szCs w:val="23"/>
                              </w:rPr>
                              <w:t>Assim, 131 mulheres pós-menopausadas foram selecionadas para participarem deste estudo clínico, randomizado, placebo-controlado e duplo-cego. Elas foram randomizadas em dois grupos para receberem por 12 meses a seguinte posologia:</w:t>
                            </w:r>
                          </w:p>
                          <w:p w14:paraId="0675BFA3"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676" o:spid="_x0000_s1147" type="#_x0000_t202" style="position:absolute;left:0;text-align:left;margin-left:-.15pt;margin-top:11.6pt;width:451.65pt;height:54.85pt;z-index:2518476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" fillcolor="white [3212]" strokecolor="#0070c0">
                <v:textbox>
                  <w:txbxContent>
                    <w:p w14:paraId="39DDA0FC" w14:textId="5BA4A687" w:rsidR="00FA41FC" w:rsidRDefault="00FA41FC">
                      <w:pPr>
                        <w:jc w:val="center"/>
                        <w:rPr>
                          <w:rFonts w:ascii="Swis721 Th BT" w:hAnsi="Swis721 Th BT"/>
                          <w:sz w:val="23"/>
                          <w:szCs w:val="23"/>
                        </w:rPr>
                      </w:pPr>
                      <w:r>
                        <w:rPr>
                          <w:rFonts w:ascii="Swis721 Th BT" w:hAnsi="Swis721 Th BT"/>
                          <w:sz w:val="23"/>
                          <w:szCs w:val="23"/>
                        </w:rPr>
                        <w:t>Assim, 131 mulheres pós-menopausadas foram selecionadas para participarem deste estudo clínico, randomizado, placebo-controlado e duplo-cego. Elas foram randomizadas em dois grupos para receberem por 12 meses a seguinte posologia:</w:t>
                      </w:r>
                    </w:p>
                    <w:p w14:paraId="0675BFA3"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6E458CC1" w14:textId="77777777" w:rsidR="00CD65C2" w:rsidRDefault="00CD65C2">
      <w:pPr>
        <w:pStyle w:val="Corpo"/>
        <w:rPr>
          <w:rFonts w:hint="eastAsia"/>
          <w:color w:val="404040" w:themeColor="text1" w:themeTint="BF"/>
        </w:rPr>
      </w:pPr>
    </w:p>
    <w:p w14:paraId="7D35BF52" w14:textId="77777777" w:rsidR="00CD65C2" w:rsidRDefault="00CD65C2">
      <w:pPr>
        <w:pStyle w:val="Corpo"/>
        <w:rPr>
          <w:rFonts w:hint="eastAsia"/>
          <w:color w:val="404040" w:themeColor="text1" w:themeTint="BF"/>
        </w:rPr>
      </w:pPr>
    </w:p>
    <w:p w14:paraId="11F9ACB2"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848704" behindDoc="0" locked="0" layoutInCell="1" allowOverlap="1">
                <wp:simplePos x="0" y="0"/>
                <wp:positionH relativeFrom="column">
                  <wp:posOffset>4594860</wp:posOffset>
                </wp:positionH>
                <wp:positionV relativeFrom="paragraph">
                  <wp:posOffset>169545</wp:posOffset>
                </wp:positionV>
                <wp:extent cx="226695" cy="138430"/>
                <wp:effectExtent l="0" t="0" r="1905" b="0"/>
                <wp:wrapNone/>
                <wp:docPr id="739657682" name="Triângulo isósceles 739657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682" o:spid="_x0000_s1026" o:spt="5" type="#_x0000_t5" style="position:absolute;left:0pt;flip:y;margin-left:361.8pt;margin-top:13.35pt;height:10.9pt;width:17.85pt;z-index:251848704;mso-width-relative:page;mso-height-relative:page;" fillcolor="#D9D9D9 [3212]" filled="t" stroked="f" coordsize="21600,21600" o:gfxdata="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ElaQk7ZAAAACQEAAA8AAAAAAAAAAQAgAAAAIgAAAGRycy9kb3ducmV2LnhtbFBLAQIUABQA&#10;AAAIAIdO4kAb8VhCYQIAALMEAAAOAAAAAAAAAAEAIAAAACgBAABkcnMvZTJvRG9jLnhtbFBLBQYA&#10;AAAABgAGAFkBAAD7BQ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849728" behindDoc="0" locked="0" layoutInCell="1" allowOverlap="1">
                <wp:simplePos x="0" y="0"/>
                <wp:positionH relativeFrom="column">
                  <wp:posOffset>805180</wp:posOffset>
                </wp:positionH>
                <wp:positionV relativeFrom="paragraph">
                  <wp:posOffset>169545</wp:posOffset>
                </wp:positionV>
                <wp:extent cx="226695" cy="138430"/>
                <wp:effectExtent l="0" t="0" r="1905" b="0"/>
                <wp:wrapNone/>
                <wp:docPr id="739657684" name="Triângulo isósceles 739657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684" o:spid="_x0000_s1026" o:spt="5" type="#_x0000_t5" style="position:absolute;left:0pt;flip:y;margin-left:63.4pt;margin-top:13.35pt;height:10.9pt;width:17.85pt;z-index:251849728;mso-width-relative:page;mso-height-relative:page;" fillcolor="#D9D9D9 [3212]" filled="t" stroked="f" coordsize="21600,21600" o:gfxdata="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gI9pL1wAAAAkBAAAPAAAAAAAAAAEAIAAAACIAAABkcnMvZG93bnJldi54bWxQSwECFAAUAAAA&#10;CACHTuJAqhI4D2ECAACzBAAADgAAAAAAAAABACAAAAAmAQAAZHJzL2Uyb0RvYy54bWxQSwUGAAAA&#10;AAYABgBZAQAA+QUAAAAA&#10;" adj="10800">
                <v:fill on="t" focussize="0,0"/>
                <v:stroke on="f"/>
                <v:imagedata o:title=""/>
                <o:lock v:ext="edit" aspectratio="f"/>
              </v:shape>
            </w:pict>
          </mc:Fallback>
        </mc:AlternateContent>
      </w:r>
    </w:p>
    <w:p w14:paraId="3262DE8A" w14:textId="77777777" w:rsidR="00CD65C2" w:rsidRDefault="00CD65C2">
      <w:pPr>
        <w:pStyle w:val="Corpo"/>
        <w:rPr>
          <w:rFonts w:hint="eastAsia"/>
          <w:color w:val="404040" w:themeColor="text1" w:themeTint="BF"/>
        </w:rPr>
      </w:pPr>
    </w:p>
    <w:p w14:paraId="16001E9D"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846656" behindDoc="0" locked="0" layoutInCell="1" allowOverlap="1">
                <wp:simplePos x="0" y="0"/>
                <wp:positionH relativeFrom="column">
                  <wp:posOffset>3752850</wp:posOffset>
                </wp:positionH>
                <wp:positionV relativeFrom="paragraph">
                  <wp:posOffset>87630</wp:posOffset>
                </wp:positionV>
                <wp:extent cx="1969770" cy="990600"/>
                <wp:effectExtent l="0" t="0" r="11430" b="19685"/>
                <wp:wrapNone/>
                <wp:docPr id="739657678" name="Caixa de texto 739657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861" cy="990509"/>
                        </a:xfrm>
                        <a:prstGeom prst="rect">
                          <a:avLst/>
                        </a:prstGeom>
                        <a:solidFill>
                          <a:srgbClr val="0070C0"/>
                        </a:solidFill>
                        <a:ln w="9525">
                          <a:solidFill>
                            <a:srgbClr val="0070C0"/>
                          </a:solidFill>
                          <a:miter lim="800000"/>
                        </a:ln>
                      </wps:spPr>
                      <wps:txbx>
                        <w:txbxContent>
                          <w:p w14:paraId="54376FE5"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6DCC8F56" w14:textId="77777777" w:rsidR="00FA41FC" w:rsidRDefault="00FA41FC">
                            <w:pPr>
                              <w:spacing w:after="0" w:line="240" w:lineRule="auto"/>
                              <w:jc w:val="center"/>
                              <w:rPr>
                                <w:rFonts w:ascii="Swis721 Th BT" w:hAnsi="Swis721 Th BT"/>
                                <w:bCs/>
                                <w:color w:val="FFFFFF" w:themeColor="background1"/>
                                <w:sz w:val="23"/>
                                <w:szCs w:val="23"/>
                              </w:rPr>
                            </w:pPr>
                          </w:p>
                          <w:p w14:paraId="5BA3CCB4"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14:paraId="35F0F5F9" w14:textId="77777777" w:rsidR="00FA41FC" w:rsidRDefault="00FA41FC">
                            <w:pPr>
                              <w:spacing w:after="0" w:line="240" w:lineRule="auto"/>
                              <w:jc w:val="center"/>
                              <w:rPr>
                                <w:rFonts w:ascii="Swis721 Th BT" w:hAnsi="Swis721 Th BT"/>
                                <w:b/>
                                <w:color w:val="FFFFFF" w:themeColor="background1"/>
                                <w:sz w:val="12"/>
                                <w:szCs w:val="12"/>
                              </w:rPr>
                            </w:pPr>
                          </w:p>
                          <w:p w14:paraId="78193077" w14:textId="77777777" w:rsidR="00FA41FC" w:rsidRDefault="00FA41FC">
                            <w:pPr>
                              <w:spacing w:after="0" w:line="240" w:lineRule="auto"/>
                              <w:jc w:val="center"/>
                              <w:rPr>
                                <w:rFonts w:ascii="Swis721 Th BT" w:hAnsi="Swis721 Th BT"/>
                                <w:b/>
                                <w:color w:val="FFFFFF" w:themeColor="background1"/>
                                <w:sz w:val="23"/>
                                <w:szCs w:val="23"/>
                              </w:rPr>
                            </w:pPr>
                          </w:p>
                          <w:p w14:paraId="79652B5B" w14:textId="77777777" w:rsidR="00FA41FC" w:rsidRDefault="00FA41FC">
                            <w:pPr>
                              <w:spacing w:after="0" w:line="240" w:lineRule="auto"/>
                              <w:jc w:val="center"/>
                              <w:rPr>
                                <w:rFonts w:ascii="Swis721 Th BT" w:hAnsi="Swis721 Th BT"/>
                                <w:b/>
                                <w:color w:val="FFFFFF" w:themeColor="background1"/>
                                <w:sz w:val="12"/>
                                <w:szCs w:val="12"/>
                              </w:rPr>
                            </w:pPr>
                          </w:p>
                          <w:p w14:paraId="393D3214" w14:textId="77777777" w:rsidR="00FA41FC" w:rsidRDefault="00FA41FC"/>
                        </w:txbxContent>
                      </wps:txbx>
                      <wps:bodyPr rot="0" vert="horz" wrap="square" lIns="91440" tIns="45720" rIns="91440" bIns="45720" anchor="t" anchorCtr="0" upright="1">
                        <a:noAutofit/>
                      </wps:bodyPr>
                    </wps:wsp>
                  </a:graphicData>
                </a:graphic>
              </wp:anchor>
            </w:drawing>
          </mc:Choice>
          <mc:Fallback>
            <w:pict>
              <v:shape id="Caixa de texto 739657678" o:spid="_x0000_s1148" type="#_x0000_t202" style="position:absolute;left:0;text-align:left;margin-left:295.5pt;margin-top:6.9pt;width:155.1pt;height:78pt;z-index:251846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" fillcolor="#0070c0" strokecolor="#0070c0">
                <v:textbox>
                  <w:txbxContent>
                    <w:p w14:paraId="54376FE5"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6DCC8F56" w14:textId="77777777" w:rsidR="00FA41FC" w:rsidRDefault="00FA41FC">
                      <w:pPr>
                        <w:spacing w:after="0" w:line="240" w:lineRule="auto"/>
                        <w:jc w:val="center"/>
                        <w:rPr>
                          <w:rFonts w:ascii="Swis721 Th BT" w:hAnsi="Swis721 Th BT"/>
                          <w:bCs/>
                          <w:color w:val="FFFFFF" w:themeColor="background1"/>
                          <w:sz w:val="23"/>
                          <w:szCs w:val="23"/>
                        </w:rPr>
                      </w:pPr>
                    </w:p>
                    <w:p w14:paraId="5BA3CCB4"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14:paraId="35F0F5F9" w14:textId="77777777" w:rsidR="00FA41FC" w:rsidRDefault="00FA41FC">
                      <w:pPr>
                        <w:spacing w:after="0" w:line="240" w:lineRule="auto"/>
                        <w:jc w:val="center"/>
                        <w:rPr>
                          <w:rFonts w:ascii="Swis721 Th BT" w:hAnsi="Swis721 Th BT"/>
                          <w:b/>
                          <w:color w:val="FFFFFF" w:themeColor="background1"/>
                          <w:sz w:val="12"/>
                          <w:szCs w:val="12"/>
                        </w:rPr>
                      </w:pPr>
                    </w:p>
                    <w:p w14:paraId="78193077" w14:textId="77777777" w:rsidR="00FA41FC" w:rsidRDefault="00FA41FC">
                      <w:pPr>
                        <w:spacing w:after="0" w:line="240" w:lineRule="auto"/>
                        <w:jc w:val="center"/>
                        <w:rPr>
                          <w:rFonts w:ascii="Swis721 Th BT" w:hAnsi="Swis721 Th BT"/>
                          <w:b/>
                          <w:color w:val="FFFFFF" w:themeColor="background1"/>
                          <w:sz w:val="23"/>
                          <w:szCs w:val="23"/>
                        </w:rPr>
                      </w:pPr>
                    </w:p>
                    <w:p w14:paraId="79652B5B" w14:textId="77777777" w:rsidR="00FA41FC" w:rsidRDefault="00FA41FC">
                      <w:pPr>
                        <w:spacing w:after="0" w:line="240" w:lineRule="auto"/>
                        <w:jc w:val="center"/>
                        <w:rPr>
                          <w:rFonts w:ascii="Swis721 Th BT" w:hAnsi="Swis721 Th BT"/>
                          <w:b/>
                          <w:color w:val="FFFFFF" w:themeColor="background1"/>
                          <w:sz w:val="12"/>
                          <w:szCs w:val="12"/>
                        </w:rPr>
                      </w:pPr>
                    </w:p>
                    <w:p w14:paraId="393D3214" w14:textId="77777777" w:rsidR="00FA41FC" w:rsidRDefault="00FA41FC"/>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845632" behindDoc="0" locked="0" layoutInCell="1" allowOverlap="1">
                <wp:simplePos x="0" y="0"/>
                <wp:positionH relativeFrom="column">
                  <wp:posOffset>-1905</wp:posOffset>
                </wp:positionH>
                <wp:positionV relativeFrom="paragraph">
                  <wp:posOffset>76835</wp:posOffset>
                </wp:positionV>
                <wp:extent cx="1915795" cy="1001395"/>
                <wp:effectExtent l="0" t="0" r="27305" b="27305"/>
                <wp:wrapNone/>
                <wp:docPr id="739657679" name="Caixa de texto 739657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885" cy="1001486"/>
                        </a:xfrm>
                        <a:prstGeom prst="rect">
                          <a:avLst/>
                        </a:prstGeom>
                        <a:solidFill>
                          <a:srgbClr val="0070C0"/>
                        </a:solidFill>
                        <a:ln w="9525">
                          <a:solidFill>
                            <a:srgbClr val="0070C0"/>
                          </a:solidFill>
                          <a:miter lim="800000"/>
                        </a:ln>
                      </wps:spPr>
                      <wps:txbx>
                        <w:txbxContent>
                          <w:p w14:paraId="373F9D27"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p>
                          <w:p w14:paraId="1E7CB4A4"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Peptídeos de Colágeno 5g</w:t>
                            </w:r>
                          </w:p>
                          <w:p w14:paraId="312AB864"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Diariamente</w:t>
                            </w:r>
                          </w:p>
                          <w:p w14:paraId="4EF0B2BD"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739657679" o:spid="_x0000_s1149" type="#_x0000_t202" style="position:absolute;left:0;text-align:left;margin-left:-.15pt;margin-top:6.05pt;width:150.85pt;height:78.85pt;z-index:251845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" fillcolor="#0070c0" strokecolor="#0070c0">
                <v:textbox>
                  <w:txbxContent>
                    <w:p w14:paraId="373F9D27"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p>
                    <w:p w14:paraId="1E7CB4A4"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Peptídeos de Colágeno 5g</w:t>
                      </w:r>
                    </w:p>
                    <w:p w14:paraId="312AB864"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Diariamente</w:t>
                      </w:r>
                    </w:p>
                    <w:p w14:paraId="4EF0B2BD"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p>
    <w:p w14:paraId="0305D168" w14:textId="77777777" w:rsidR="00CD65C2" w:rsidRDefault="00CD65C2">
      <w:pPr>
        <w:pStyle w:val="Corpo"/>
        <w:rPr>
          <w:rFonts w:hint="eastAsia"/>
          <w:color w:val="404040" w:themeColor="text1" w:themeTint="BF"/>
        </w:rPr>
      </w:pPr>
    </w:p>
    <w:p w14:paraId="113F46F8" w14:textId="77777777" w:rsidR="00CD65C2" w:rsidRDefault="00CD65C2">
      <w:pPr>
        <w:pStyle w:val="Corpo"/>
        <w:rPr>
          <w:rFonts w:hint="eastAsia"/>
          <w:color w:val="404040" w:themeColor="text1" w:themeTint="BF"/>
        </w:rPr>
      </w:pPr>
    </w:p>
    <w:p w14:paraId="439256D0" w14:textId="77777777" w:rsidR="00CD65C2" w:rsidRDefault="00CD65C2">
      <w:pPr>
        <w:pStyle w:val="Corpo"/>
        <w:rPr>
          <w:rFonts w:hint="eastAsia"/>
          <w:color w:val="404040" w:themeColor="text1" w:themeTint="BF"/>
        </w:rPr>
      </w:pPr>
    </w:p>
    <w:p w14:paraId="60193550" w14:textId="77777777" w:rsidR="00CD65C2" w:rsidRDefault="00CD65C2">
      <w:pPr>
        <w:pStyle w:val="Corpo"/>
        <w:rPr>
          <w:rFonts w:hint="eastAsia"/>
          <w:color w:val="404040" w:themeColor="text1" w:themeTint="BF"/>
        </w:rPr>
      </w:pPr>
    </w:p>
    <w:p w14:paraId="421F3067" w14:textId="77777777" w:rsidR="00CD65C2" w:rsidRDefault="00CD65C2">
      <w:pPr>
        <w:pStyle w:val="Corpo"/>
        <w:rPr>
          <w:rFonts w:hint="eastAsia"/>
          <w:color w:val="404040" w:themeColor="text1" w:themeTint="BF"/>
        </w:rPr>
      </w:pPr>
    </w:p>
    <w:p w14:paraId="692E1E7D" w14:textId="3BACE2D2" w:rsidR="00CD65C2" w:rsidRDefault="00FA41FC">
      <w:pPr>
        <w:pStyle w:val="Corpo"/>
        <w:numPr>
          <w:ilvl w:val="1"/>
          <w:numId w:val="4"/>
        </w:numPr>
        <w:rPr>
          <w:rFonts w:hint="eastAsia"/>
          <w:color w:val="404040" w:themeColor="text1" w:themeTint="BF"/>
          <w:sz w:val="20"/>
          <w:szCs w:val="20"/>
        </w:rPr>
      </w:pPr>
      <w:r>
        <w:rPr>
          <w:color w:val="404040" w:themeColor="text1" w:themeTint="BF"/>
          <w:sz w:val="20"/>
          <w:szCs w:val="20"/>
        </w:rPr>
        <w:t>Foram analisadas as alterações na DMO da coluna vertebral e do colo do fêmur após os 12 meses de tratamento. Os níveis plasmáticos dos seguintes marcadores do metabolismo ósseo foram analisados: pró-peptídeo amino terminal do colágeno tipo 1 e telopeptídeo C-terminal.</w:t>
      </w:r>
    </w:p>
    <w:p w14:paraId="29549D6B" w14:textId="77777777" w:rsidR="00CD65C2" w:rsidRDefault="00CD65C2">
      <w:pPr>
        <w:pStyle w:val="Corpo"/>
        <w:rPr>
          <w:rFonts w:hint="eastAsia"/>
          <w:color w:val="404040" w:themeColor="text1" w:themeTint="BF"/>
        </w:rPr>
      </w:pPr>
    </w:p>
    <w:p w14:paraId="2E27DCF3"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4A543044" w14:textId="77777777" w:rsidR="00CD65C2" w:rsidRDefault="00CD65C2">
      <w:pPr>
        <w:pStyle w:val="Corpo"/>
        <w:rPr>
          <w:rFonts w:hint="eastAsia"/>
          <w:color w:val="404040" w:themeColor="text1" w:themeTint="BF"/>
          <w:sz w:val="16"/>
          <w:szCs w:val="16"/>
        </w:rPr>
      </w:pPr>
    </w:p>
    <w:p w14:paraId="1ACC8050" w14:textId="77777777" w:rsidR="00CD65C2" w:rsidRDefault="00FA41FC">
      <w:pPr>
        <w:pStyle w:val="Corpo"/>
        <w:numPr>
          <w:ilvl w:val="0"/>
          <w:numId w:val="5"/>
        </w:numPr>
        <w:spacing w:after="0"/>
        <w:ind w:left="357" w:hanging="357"/>
        <w:rPr>
          <w:rFonts w:hint="eastAsia"/>
          <w:color w:val="404040" w:themeColor="text1" w:themeTint="BF"/>
          <w:sz w:val="24"/>
        </w:rPr>
      </w:pPr>
      <w:r>
        <w:rPr>
          <w:color w:val="404040" w:themeColor="text1" w:themeTint="BF"/>
          <w:sz w:val="24"/>
        </w:rPr>
        <w:t>De acordo com os resultados, o grupo de mulheres tratadas com os peptídeos de colágeno apresentou um aumento significativo na DMO do colo do fêmur (p = 0,003) e da coluna vertebral (p = 0,030) quando comparado com o grupo controle;</w:t>
      </w:r>
    </w:p>
    <w:p w14:paraId="32634E36" w14:textId="77777777" w:rsidR="00CD65C2" w:rsidRDefault="00CD65C2">
      <w:pPr>
        <w:pStyle w:val="Corpo"/>
        <w:spacing w:after="0"/>
        <w:ind w:left="357"/>
        <w:rPr>
          <w:rFonts w:hint="eastAsia"/>
          <w:color w:val="404040" w:themeColor="text1" w:themeTint="BF"/>
          <w:sz w:val="10"/>
          <w:szCs w:val="10"/>
        </w:rPr>
      </w:pPr>
    </w:p>
    <w:p w14:paraId="26BC3C98" w14:textId="728664EF" w:rsidR="00CD65C2" w:rsidRDefault="00FA41FC">
      <w:pPr>
        <w:pStyle w:val="Corpo"/>
        <w:numPr>
          <w:ilvl w:val="0"/>
          <w:numId w:val="5"/>
        </w:numPr>
        <w:spacing w:after="0"/>
        <w:ind w:left="357" w:hanging="357"/>
        <w:rPr>
          <w:rFonts w:hint="eastAsia"/>
          <w:color w:val="404040" w:themeColor="text1" w:themeTint="BF"/>
          <w:sz w:val="24"/>
        </w:rPr>
      </w:pPr>
      <w:r>
        <w:rPr>
          <w:color w:val="404040" w:themeColor="text1" w:themeTint="BF"/>
          <w:sz w:val="24"/>
        </w:rPr>
        <w:t>O pró-peptídeo amino terminal do colágeno tipo 1 aumentou de maneira significativa no grupo 1 (p = 0,07). Já o telopeptídeo C terminal aumentou significativamente no grupo placebo (p = 0,011).</w:t>
      </w:r>
    </w:p>
    <w:p w14:paraId="1E6D57EE" w14:textId="77777777" w:rsidR="00CD65C2" w:rsidRDefault="00CD65C2">
      <w:pPr>
        <w:pStyle w:val="PargrafodaLista"/>
        <w:rPr>
          <w:sz w:val="24"/>
        </w:rPr>
      </w:pPr>
    </w:p>
    <w:p w14:paraId="63D30E97"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32E39B7C"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60D0BBB6" w14:textId="77777777" w:rsidR="00CD65C2" w:rsidRDefault="00FA41FC">
      <w:pPr>
        <w:spacing w:after="0" w:line="240" w:lineRule="auto"/>
        <w:jc w:val="center"/>
        <w:rPr>
          <w:rFonts w:ascii="Swis721 Th BT" w:hAnsi="Swis721 Th BT"/>
          <w:b/>
          <w:i/>
          <w:sz w:val="23"/>
          <w:szCs w:val="23"/>
        </w:rPr>
      </w:pPr>
      <w:r>
        <w:rPr>
          <w:rFonts w:ascii="Swis721 Th BT" w:hAnsi="Swis721 Th BT"/>
          <w:b/>
          <w:i/>
          <w:sz w:val="23"/>
          <w:szCs w:val="23"/>
        </w:rPr>
        <w:t>Os dados mostram que a ingestão diária de peptídeos de colágeno em mulheres pós-menopausadas com osteoporose promove aumento significativo da DMO. Além disso, a suplementação de peptídeos de colágeno foi associada com um perfil favorável aos biomarcadores da formação óssea em relação aos relacionados com a degradação óssea.</w:t>
      </w:r>
    </w:p>
    <w:p w14:paraId="42BE22E3" w14:textId="77777777" w:rsidR="00CD65C2" w:rsidRDefault="00CD65C2">
      <w:pPr>
        <w:pStyle w:val="Corpo"/>
        <w:spacing w:after="0"/>
        <w:rPr>
          <w:rFonts w:hint="eastAsia"/>
          <w:color w:val="404040" w:themeColor="text1" w:themeTint="BF"/>
          <w:sz w:val="24"/>
        </w:rPr>
      </w:pPr>
    </w:p>
    <w:p w14:paraId="134D3C47" w14:textId="77777777" w:rsidR="00CD65C2" w:rsidRDefault="00CD65C2">
      <w:pPr>
        <w:pStyle w:val="Corpo"/>
        <w:spacing w:after="0"/>
        <w:rPr>
          <w:rFonts w:hint="eastAsia"/>
          <w:color w:val="404040" w:themeColor="text1" w:themeTint="BF"/>
          <w:sz w:val="24"/>
        </w:rPr>
      </w:pPr>
    </w:p>
    <w:p w14:paraId="150E3328" w14:textId="77777777" w:rsidR="00CD65C2" w:rsidRDefault="00CD65C2">
      <w:pPr>
        <w:pStyle w:val="Corpo"/>
        <w:spacing w:after="0"/>
        <w:rPr>
          <w:rFonts w:hint="eastAsia"/>
          <w:color w:val="404040" w:themeColor="text1" w:themeTint="BF"/>
          <w:sz w:val="24"/>
        </w:rPr>
      </w:pPr>
    </w:p>
    <w:p w14:paraId="5CCD4452" w14:textId="77777777" w:rsidR="00CD65C2" w:rsidRDefault="00FA41FC">
      <w:pPr>
        <w:pStyle w:val="Ttulo1"/>
        <w:jc w:val="center"/>
        <w:rPr>
          <w:rFonts w:hint="eastAsia"/>
        </w:rPr>
      </w:pPr>
      <w:bookmarkStart w:id="95" w:name="_Toc165537245"/>
      <w:r>
        <w:t>Formulário</w:t>
      </w:r>
      <w:bookmarkEnd w:id="95"/>
    </w:p>
    <w:p w14:paraId="49C2DFDF" w14:textId="77777777" w:rsidR="00CD65C2" w:rsidRDefault="00CD65C2">
      <w:pPr>
        <w:pStyle w:val="Corpo"/>
        <w:rPr>
          <w:rFonts w:hint="eastAsia"/>
          <w:b/>
          <w:i/>
          <w:color w:val="404040" w:themeColor="text1" w:themeTint="BF"/>
        </w:rPr>
      </w:pPr>
    </w:p>
    <w:p w14:paraId="54133EEF" w14:textId="77777777" w:rsidR="00CD65C2" w:rsidRDefault="00CD65C2">
      <w:pPr>
        <w:pStyle w:val="Corpo"/>
        <w:rPr>
          <w:rFonts w:hint="eastAsia"/>
          <w:b/>
          <w:i/>
          <w:color w:val="404040" w:themeColor="text1" w:themeTint="BF"/>
        </w:rPr>
      </w:pPr>
    </w:p>
    <w:p w14:paraId="01623743" w14:textId="77777777" w:rsidR="00CD65C2" w:rsidRDefault="00FA41FC">
      <w:pPr>
        <w:pStyle w:val="Corpo"/>
        <w:rPr>
          <w:rFonts w:hint="eastAsia"/>
          <w:b/>
          <w:bCs/>
          <w:i/>
          <w:iCs/>
          <w:color w:val="404040" w:themeColor="text1" w:themeTint="BF"/>
          <w:sz w:val="24"/>
        </w:rPr>
      </w:pPr>
      <w:r>
        <w:rPr>
          <w:b/>
          <w:bCs/>
          <w:i/>
          <w:iCs/>
          <w:color w:val="404040" w:themeColor="text1" w:themeTint="BF"/>
          <w:sz w:val="24"/>
        </w:rPr>
        <w:t>Peptídeos de Colágeno na Osteoporose</w:t>
      </w:r>
    </w:p>
    <w:p w14:paraId="2FEEB00D"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49769C44"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72E4AABA" w14:textId="77777777" w:rsidR="00CD65C2" w:rsidRDefault="00FA41FC">
            <w:pPr>
              <w:pStyle w:val="Corpo"/>
              <w:jc w:val="center"/>
              <w:rPr>
                <w:rFonts w:hint="eastAsia"/>
                <w:b/>
                <w:color w:val="FFFFFF" w:themeColor="background1"/>
              </w:rPr>
            </w:pPr>
            <w:r>
              <w:rPr>
                <w:b/>
                <w:color w:val="FFFFFF" w:themeColor="background1"/>
                <w:sz w:val="22"/>
              </w:rPr>
              <w:t>Sachês de Peptídeo de Colágeno</w:t>
            </w:r>
          </w:p>
        </w:tc>
      </w:tr>
      <w:tr w:rsidR="00CD65C2" w14:paraId="00ECC84F"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655B424" w14:textId="77777777" w:rsidR="00CD65C2" w:rsidRDefault="00FA41FC">
            <w:pPr>
              <w:pStyle w:val="Corpo"/>
              <w:rPr>
                <w:rFonts w:hint="eastAsia"/>
                <w:color w:val="404040" w:themeColor="text1" w:themeTint="BF"/>
              </w:rPr>
            </w:pPr>
            <w:r>
              <w:rPr>
                <w:color w:val="404040" w:themeColor="text1" w:themeTint="BF"/>
              </w:rPr>
              <w:t>Peptídeos de colágeno.....................5,0 g</w:t>
            </w:r>
          </w:p>
        </w:tc>
      </w:tr>
      <w:tr w:rsidR="00CD65C2" w14:paraId="5B7D5DD4"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6CD4283" w14:textId="28DB0C14" w:rsidR="00CD65C2" w:rsidRDefault="00FA41FC">
            <w:pPr>
              <w:pStyle w:val="Corpo"/>
              <w:rPr>
                <w:rFonts w:hint="eastAsia"/>
                <w:color w:val="404040" w:themeColor="text1" w:themeTint="BF"/>
              </w:rPr>
            </w:pPr>
            <w:r>
              <w:rPr>
                <w:color w:val="404040" w:themeColor="text1" w:themeTint="BF"/>
              </w:rPr>
              <w:t>Excipiente q.s.p. ..........................1 Sachê</w:t>
            </w:r>
          </w:p>
        </w:tc>
      </w:tr>
    </w:tbl>
    <w:p w14:paraId="738562DE" w14:textId="77777777" w:rsidR="00CD65C2" w:rsidRDefault="00FA41FC">
      <w:pPr>
        <w:pStyle w:val="Corpo"/>
        <w:ind w:right="4960"/>
        <w:jc w:val="center"/>
        <w:rPr>
          <w:rFonts w:hint="eastAsia"/>
          <w:color w:val="404040" w:themeColor="text1" w:themeTint="BF"/>
          <w:sz w:val="22"/>
          <w:szCs w:val="22"/>
        </w:rPr>
      </w:pPr>
      <w:r>
        <w:rPr>
          <w:color w:val="404040" w:themeColor="text1" w:themeTint="BF"/>
          <w:sz w:val="22"/>
          <w:szCs w:val="22"/>
        </w:rPr>
        <w:t>Administrar 1 sachê ao dia ou conforme orientação médica.</w:t>
      </w:r>
    </w:p>
    <w:p w14:paraId="5F2EE6DE" w14:textId="77777777" w:rsidR="00CD65C2" w:rsidRDefault="00CD65C2">
      <w:pPr>
        <w:pStyle w:val="SemEspaamento"/>
      </w:pPr>
    </w:p>
    <w:p w14:paraId="255BB52E" w14:textId="77777777" w:rsidR="00CD65C2" w:rsidRDefault="00CD65C2">
      <w:pPr>
        <w:pStyle w:val="SemEspaamento"/>
      </w:pPr>
    </w:p>
    <w:p w14:paraId="4A427A14" w14:textId="77777777" w:rsidR="00CD65C2" w:rsidRDefault="00CD65C2">
      <w:pPr>
        <w:pStyle w:val="SemEspaamento"/>
      </w:pPr>
    </w:p>
    <w:p w14:paraId="73523F55" w14:textId="77777777" w:rsidR="00CD65C2" w:rsidRDefault="00CD65C2">
      <w:pPr>
        <w:pStyle w:val="SemEspaamento"/>
      </w:pPr>
    </w:p>
    <w:p w14:paraId="35549990" w14:textId="77777777" w:rsidR="00CD65C2" w:rsidRDefault="00CD65C2">
      <w:pPr>
        <w:pStyle w:val="SemEspaamento"/>
      </w:pPr>
    </w:p>
    <w:p w14:paraId="0994028E" w14:textId="77777777" w:rsidR="00CD65C2" w:rsidRDefault="00CD65C2">
      <w:pPr>
        <w:pStyle w:val="SemEspaamento"/>
      </w:pPr>
    </w:p>
    <w:p w14:paraId="0E32C1E1" w14:textId="77777777" w:rsidR="00CD65C2" w:rsidRDefault="00CD65C2">
      <w:pPr>
        <w:pStyle w:val="SemEspaamento"/>
      </w:pPr>
    </w:p>
    <w:p w14:paraId="4C44825F" w14:textId="77777777" w:rsidR="00CD65C2" w:rsidRDefault="00CD65C2">
      <w:pPr>
        <w:pStyle w:val="SemEspaamento"/>
      </w:pPr>
    </w:p>
    <w:p w14:paraId="7B4A41BD" w14:textId="77777777" w:rsidR="00CD65C2" w:rsidRDefault="00CD65C2">
      <w:pPr>
        <w:pStyle w:val="SemEspaamento"/>
      </w:pPr>
    </w:p>
    <w:p w14:paraId="6AC8D795" w14:textId="77777777" w:rsidR="00CD65C2" w:rsidRDefault="00CD65C2">
      <w:pPr>
        <w:pStyle w:val="SemEspaamento"/>
      </w:pPr>
    </w:p>
    <w:p w14:paraId="36036CEF" w14:textId="77777777" w:rsidR="00CD65C2" w:rsidRDefault="00CD65C2">
      <w:pPr>
        <w:pStyle w:val="SemEspaamento"/>
      </w:pPr>
    </w:p>
    <w:p w14:paraId="3C76E5C4" w14:textId="77777777" w:rsidR="00CD65C2" w:rsidRDefault="00CD65C2">
      <w:pPr>
        <w:pStyle w:val="SemEspaamento"/>
      </w:pPr>
    </w:p>
    <w:p w14:paraId="38595AFB" w14:textId="77777777" w:rsidR="00CD65C2" w:rsidRDefault="00CD65C2">
      <w:pPr>
        <w:pStyle w:val="SemEspaamento"/>
      </w:pPr>
    </w:p>
    <w:p w14:paraId="570433A9" w14:textId="77777777" w:rsidR="00CD65C2" w:rsidRDefault="00CD65C2">
      <w:pPr>
        <w:pStyle w:val="SemEspaamento"/>
      </w:pPr>
    </w:p>
    <w:p w14:paraId="573ECA7C" w14:textId="77777777" w:rsidR="00CD65C2" w:rsidRDefault="00CD65C2">
      <w:pPr>
        <w:pStyle w:val="SemEspaamento"/>
      </w:pPr>
    </w:p>
    <w:p w14:paraId="1EEAED10" w14:textId="77777777" w:rsidR="00CD65C2" w:rsidRDefault="00CD65C2">
      <w:pPr>
        <w:pStyle w:val="SemEspaamento"/>
      </w:pPr>
    </w:p>
    <w:p w14:paraId="35953583" w14:textId="77777777" w:rsidR="00CD65C2" w:rsidRDefault="00CD65C2">
      <w:pPr>
        <w:pStyle w:val="SemEspaamento"/>
      </w:pPr>
    </w:p>
    <w:p w14:paraId="3832ACFF" w14:textId="77777777" w:rsidR="00CD65C2" w:rsidRDefault="00CD65C2">
      <w:pPr>
        <w:pStyle w:val="SemEspaamento"/>
      </w:pPr>
    </w:p>
    <w:p w14:paraId="0B237447" w14:textId="77777777" w:rsidR="00CD65C2" w:rsidRDefault="00CD65C2">
      <w:pPr>
        <w:pStyle w:val="SemEspaamento"/>
      </w:pPr>
    </w:p>
    <w:p w14:paraId="6A307FC3" w14:textId="77777777" w:rsidR="00CD65C2" w:rsidRDefault="00CD65C2">
      <w:pPr>
        <w:pStyle w:val="SemEspaamento"/>
      </w:pPr>
    </w:p>
    <w:p w14:paraId="61A24FFA" w14:textId="77777777" w:rsidR="00CD65C2" w:rsidRDefault="00CD65C2">
      <w:pPr>
        <w:pStyle w:val="SemEspaamento"/>
      </w:pPr>
    </w:p>
    <w:p w14:paraId="2AE3187E" w14:textId="77777777" w:rsidR="00CD65C2" w:rsidRDefault="00CD65C2">
      <w:pPr>
        <w:pStyle w:val="SemEspaamento"/>
      </w:pPr>
    </w:p>
    <w:p w14:paraId="652F581D" w14:textId="77777777" w:rsidR="00CD65C2" w:rsidRDefault="00CD65C2">
      <w:pPr>
        <w:pStyle w:val="SemEspaamento"/>
      </w:pPr>
    </w:p>
    <w:p w14:paraId="64542F2B" w14:textId="77777777" w:rsidR="00CD65C2" w:rsidRDefault="00CD65C2">
      <w:pPr>
        <w:pStyle w:val="SemEspaamento"/>
      </w:pPr>
    </w:p>
    <w:p w14:paraId="0CA26E46" w14:textId="77777777" w:rsidR="00CD65C2" w:rsidRDefault="00CD65C2">
      <w:pPr>
        <w:pStyle w:val="SemEspaamento"/>
      </w:pPr>
    </w:p>
    <w:p w14:paraId="4E6D2B40" w14:textId="77777777" w:rsidR="00CD65C2" w:rsidRDefault="00CD65C2">
      <w:pPr>
        <w:pStyle w:val="SemEspaamento"/>
      </w:pPr>
    </w:p>
    <w:p w14:paraId="4D211C74" w14:textId="77777777" w:rsidR="00CD65C2" w:rsidRDefault="00CD65C2">
      <w:pPr>
        <w:pStyle w:val="SemEspaamento"/>
      </w:pPr>
    </w:p>
    <w:p w14:paraId="0A4D5EB1" w14:textId="77777777" w:rsidR="00CD65C2" w:rsidRDefault="00CD65C2">
      <w:pPr>
        <w:pStyle w:val="SemEspaamento"/>
      </w:pPr>
    </w:p>
    <w:p w14:paraId="553669E4" w14:textId="77777777" w:rsidR="00CD65C2" w:rsidRDefault="00CD65C2">
      <w:pPr>
        <w:pStyle w:val="SemEspaamento"/>
      </w:pPr>
    </w:p>
    <w:p w14:paraId="23893582" w14:textId="77777777" w:rsidR="00CD65C2" w:rsidRDefault="00CD65C2">
      <w:pPr>
        <w:pStyle w:val="SemEspaamento"/>
      </w:pPr>
    </w:p>
    <w:p w14:paraId="61D6825C" w14:textId="77777777" w:rsidR="00CD65C2" w:rsidRDefault="00FA41FC">
      <w:pPr>
        <w:pStyle w:val="Ttulo1"/>
        <w:jc w:val="center"/>
        <w:rPr>
          <w:rFonts w:hint="eastAsia"/>
        </w:rPr>
      </w:pPr>
      <w:bookmarkStart w:id="96" w:name="_Toc165537246"/>
      <w:r>
        <w:rPr>
          <w:bCs/>
          <w:iCs/>
        </w:rPr>
        <w:t>Vitamina K2</w:t>
      </w:r>
      <w:bookmarkEnd w:id="96"/>
    </w:p>
    <w:p w14:paraId="7D53DDDB" w14:textId="77777777" w:rsidR="00CD65C2" w:rsidRPr="00D1428E" w:rsidRDefault="00FA41FC">
      <w:pPr>
        <w:pStyle w:val="Corpo"/>
        <w:spacing w:after="120"/>
        <w:jc w:val="center"/>
        <w:rPr>
          <w:rFonts w:hint="eastAsia"/>
          <w:b/>
          <w:bCs/>
          <w:color w:val="0070C0"/>
          <w:sz w:val="40"/>
          <w:szCs w:val="22"/>
        </w:rPr>
      </w:pPr>
      <w:r w:rsidRPr="00D1428E">
        <w:rPr>
          <w:b/>
          <w:bCs/>
          <w:color w:val="0070C0"/>
          <w:sz w:val="40"/>
          <w:szCs w:val="22"/>
        </w:rPr>
        <w:t>Melhora os Marcadores Ósseos na Pós-Menopausa</w:t>
      </w:r>
    </w:p>
    <w:p w14:paraId="157323FB" w14:textId="77777777" w:rsidR="00CD65C2" w:rsidRDefault="00CD65C2">
      <w:pPr>
        <w:pStyle w:val="Corpo"/>
        <w:spacing w:after="120"/>
        <w:rPr>
          <w:rFonts w:hint="eastAsia"/>
          <w:color w:val="404040" w:themeColor="text1" w:themeTint="BF"/>
          <w:sz w:val="24"/>
        </w:rPr>
      </w:pPr>
    </w:p>
    <w:p w14:paraId="7D380CC0" w14:textId="77777777" w:rsidR="00CD65C2" w:rsidRDefault="00CD65C2">
      <w:pPr>
        <w:pStyle w:val="Corpo"/>
        <w:spacing w:after="120"/>
        <w:rPr>
          <w:rFonts w:hint="eastAsia"/>
          <w:color w:val="404040" w:themeColor="text1" w:themeTint="BF"/>
          <w:sz w:val="24"/>
        </w:rPr>
      </w:pPr>
    </w:p>
    <w:p w14:paraId="6A4E2745" w14:textId="77777777" w:rsidR="00CD65C2" w:rsidRDefault="00FA41FC">
      <w:pPr>
        <w:pStyle w:val="Corpo"/>
        <w:spacing w:after="120"/>
        <w:rPr>
          <w:rFonts w:hint="eastAsia"/>
          <w:color w:val="404040" w:themeColor="text1" w:themeTint="BF"/>
          <w:sz w:val="24"/>
        </w:rPr>
      </w:pPr>
      <w:r>
        <w:rPr>
          <w:color w:val="404040" w:themeColor="text1" w:themeTint="BF"/>
          <w:sz w:val="24"/>
        </w:rPr>
        <w:t xml:space="preserve">Este estudo teve como objetivo avaliar os efeitos da suplementação de vitamina K2 na manutenção da densidade mineral óssea (DMO) e na redução da incidência de fraturas em mulheres na pós-menopausa com osteoporose em um acompanhamento de longo prazo </w:t>
      </w:r>
      <w:r>
        <w:rPr>
          <w:color w:val="404040" w:themeColor="text1" w:themeTint="BF"/>
          <w:sz w:val="24"/>
        </w:rPr>
        <w:fldChar w:fldCharType="begin">
          <w:fldData xml:space="preserve">PEVuZE5vdGU+PENpdGU+PEF1dGhvcj5aaG91PC9BdXRob3I+PFllYXI+MjAyMjwvWWVhcj48SURU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</w:fldData>
        </w:fldChar>
      </w:r>
      <w:r>
        <w:rPr>
          <w:color w:val="404040" w:themeColor="text1" w:themeTint="BF"/>
          <w:sz w:val="24"/>
        </w:rPr>
        <w:instrText xml:space="preserve"> ADDIN EN.CITE </w:instrText>
      </w:r>
      <w:r>
        <w:rPr>
          <w:color w:val="404040" w:themeColor="text1" w:themeTint="BF"/>
          <w:sz w:val="24"/>
        </w:rPr>
        <w:fldChar w:fldCharType="begin">
          <w:fldData xml:space="preserve">PEVuZE5vdGU+PENpdGU+PEF1dGhvcj5aaG91PC9BdXRob3I+PFllYXI+MjAyMjwvWWVhcj48SURU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</w:fldData>
        </w:fldChar>
      </w:r>
      <w:r>
        <w:rPr>
          <w:color w:val="404040" w:themeColor="text1" w:themeTint="BF"/>
          <w:sz w:val="24"/>
        </w:rPr>
        <w:instrText xml:space="preserve"> ADDIN EN.CITE.DATA </w:instrText>
      </w:r>
      <w:r>
        <w:rPr>
          <w:color w:val="404040" w:themeColor="text1" w:themeTint="BF"/>
          <w:sz w:val="24"/>
        </w:rPr>
      </w:r>
      <w:r>
        <w:rPr>
          <w:color w:val="404040" w:themeColor="text1" w:themeTint="BF"/>
          <w:sz w:val="24"/>
        </w:rPr>
        <w:fldChar w:fldCharType="end"/>
      </w:r>
      <w:r>
        <w:rPr>
          <w:color w:val="404040" w:themeColor="text1" w:themeTint="BF"/>
          <w:sz w:val="24"/>
        </w:rPr>
      </w:r>
      <w:r>
        <w:rPr>
          <w:color w:val="404040" w:themeColor="text1" w:themeTint="BF"/>
          <w:sz w:val="24"/>
        </w:rPr>
        <w:fldChar w:fldCharType="separate"/>
      </w:r>
      <w:r>
        <w:rPr>
          <w:color w:val="404040" w:themeColor="text1" w:themeTint="BF"/>
          <w:sz w:val="24"/>
        </w:rPr>
        <w:t>(ZHOU; HAN; ZHANG; WU, 2022)</w:t>
      </w:r>
      <w:r>
        <w:rPr>
          <w:color w:val="404040" w:themeColor="text1" w:themeTint="BF"/>
          <w:sz w:val="24"/>
        </w:rPr>
        <w:fldChar w:fldCharType="end"/>
      </w:r>
      <w:r>
        <w:rPr>
          <w:color w:val="404040" w:themeColor="text1" w:themeTint="BF"/>
          <w:sz w:val="24"/>
        </w:rPr>
        <w:t>.</w:t>
      </w:r>
    </w:p>
    <w:p w14:paraId="53457648"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50752" behindDoc="0" locked="0" layoutInCell="1" allowOverlap="1">
                <wp:simplePos x="0" y="0"/>
                <wp:positionH relativeFrom="margin">
                  <wp:posOffset>-1905</wp:posOffset>
                </wp:positionH>
                <wp:positionV relativeFrom="paragraph">
                  <wp:posOffset>142875</wp:posOffset>
                </wp:positionV>
                <wp:extent cx="5735955" cy="554990"/>
                <wp:effectExtent l="0" t="0" r="17780" b="16510"/>
                <wp:wrapNone/>
                <wp:docPr id="739657686" name="Caixa de texto 739657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781" cy="555171"/>
                        </a:xfrm>
                        <a:prstGeom prst="rect">
                          <a:avLst/>
                        </a:prstGeom>
                        <a:solidFill>
                          <a:schemeClr val="bg1">
                            <a:lumMod val="100000"/>
                            <a:lumOff val="0"/>
                          </a:schemeClr>
                        </a:solidFill>
                        <a:ln w="9525">
                          <a:solidFill>
                            <a:srgbClr val="0070C0"/>
                          </a:solidFill>
                          <a:miter lim="800000"/>
                        </a:ln>
                      </wps:spPr>
                      <wps:txbx>
                        <w:txbxContent>
                          <w:p w14:paraId="4F7B8E81" w14:textId="77777777" w:rsidR="00FA41FC" w:rsidRDefault="00FA41FC">
                            <w:pPr>
                              <w:jc w:val="center"/>
                              <w:rPr>
                                <w:rFonts w:ascii="Swis721 Th BT" w:hAnsi="Swis721 Th BT"/>
                                <w:sz w:val="23"/>
                                <w:szCs w:val="23"/>
                              </w:rPr>
                            </w:pPr>
                            <w:r>
                              <w:rPr>
                                <w:rFonts w:ascii="Swis721 Th BT" w:hAnsi="Swis721 Th BT"/>
                                <w:sz w:val="23"/>
                                <w:szCs w:val="23"/>
                              </w:rPr>
                              <w:t>Esta meta-análise e revisão sistemática contou com nove estudos controlados e randomizados (ECRs) com 6.853 participantes que preencheram os critérios de inclusão.</w:t>
                            </w:r>
                          </w:p>
                          <w:p w14:paraId="5216D0FD"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686" o:spid="_x0000_s1150" type="#_x0000_t202" style="position:absolute;left:0;text-align:left;margin-left:-.15pt;margin-top:11.25pt;width:451.65pt;height:43.7pt;z-index:2518507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" fillcolor="white [3212]" strokecolor="#0070c0">
                <v:textbox>
                  <w:txbxContent>
                    <w:p w14:paraId="4F7B8E81" w14:textId="77777777" w:rsidR="00FA41FC" w:rsidRDefault="00FA41FC">
                      <w:pPr>
                        <w:jc w:val="center"/>
                        <w:rPr>
                          <w:rFonts w:ascii="Swis721 Th BT" w:hAnsi="Swis721 Th BT"/>
                          <w:sz w:val="23"/>
                          <w:szCs w:val="23"/>
                        </w:rPr>
                      </w:pPr>
                      <w:r>
                        <w:rPr>
                          <w:rFonts w:ascii="Swis721 Th BT" w:hAnsi="Swis721 Th BT"/>
                          <w:sz w:val="23"/>
                          <w:szCs w:val="23"/>
                        </w:rPr>
                        <w:t>Esta meta-análise e revisão sistemática contou com nove estudos controlados e randomizados (ECRs) com 6.853 participantes que preencheram os critérios de inclusão.</w:t>
                      </w:r>
                    </w:p>
                    <w:p w14:paraId="5216D0FD"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505C69DA" w14:textId="77777777" w:rsidR="00CD65C2" w:rsidRDefault="00CD65C2">
      <w:pPr>
        <w:pStyle w:val="Corpo"/>
        <w:rPr>
          <w:rFonts w:hint="eastAsia"/>
          <w:color w:val="404040" w:themeColor="text1" w:themeTint="BF"/>
        </w:rPr>
      </w:pPr>
    </w:p>
    <w:p w14:paraId="0455B846" w14:textId="77777777" w:rsidR="00CD65C2" w:rsidRDefault="00CD65C2">
      <w:pPr>
        <w:pStyle w:val="Corpo"/>
        <w:rPr>
          <w:rFonts w:hint="eastAsia"/>
          <w:color w:val="404040" w:themeColor="text1" w:themeTint="BF"/>
        </w:rPr>
      </w:pPr>
    </w:p>
    <w:p w14:paraId="678B145E" w14:textId="77777777" w:rsidR="00CD65C2" w:rsidRDefault="00CD65C2">
      <w:pPr>
        <w:pStyle w:val="Corpo"/>
        <w:rPr>
          <w:rFonts w:hint="eastAsia"/>
          <w:color w:val="404040" w:themeColor="text1" w:themeTint="BF"/>
        </w:rPr>
      </w:pPr>
    </w:p>
    <w:p w14:paraId="5D994A2A"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5CBF1C4D" w14:textId="77777777" w:rsidR="00CD65C2" w:rsidRDefault="00CD65C2">
      <w:pPr>
        <w:pStyle w:val="Corpo"/>
        <w:rPr>
          <w:rFonts w:hint="eastAsia"/>
          <w:color w:val="404040" w:themeColor="text1" w:themeTint="BF"/>
          <w:sz w:val="16"/>
          <w:szCs w:val="16"/>
        </w:rPr>
      </w:pPr>
    </w:p>
    <w:p w14:paraId="2AAD9728" w14:textId="77777777" w:rsidR="00CD65C2" w:rsidRDefault="00FA41FC">
      <w:pPr>
        <w:pStyle w:val="PargrafodaLista"/>
        <w:numPr>
          <w:ilvl w:val="0"/>
          <w:numId w:val="38"/>
        </w:numPr>
        <w:rPr>
          <w:rFonts w:ascii="Swis721 Th BT" w:eastAsia="MS Mincho" w:hAnsi="Swis721 Th BT" w:hint="eastAsia"/>
          <w:bCs/>
          <w:iCs/>
          <w:color w:val="404040" w:themeColor="text1" w:themeTint="BF"/>
          <w:sz w:val="24"/>
          <w:szCs w:val="24"/>
        </w:rPr>
      </w:pPr>
      <w:r>
        <w:rPr>
          <w:rFonts w:ascii="Swis721 Th BT" w:eastAsia="MS Mincho" w:hAnsi="Swis721 Th BT"/>
          <w:bCs/>
          <w:iCs/>
          <w:color w:val="404040" w:themeColor="text1" w:themeTint="BF"/>
          <w:sz w:val="24"/>
          <w:szCs w:val="24"/>
        </w:rPr>
        <w:t>A vitamina K2 foi associada a uma alteração percentual significativamente aumentada de DMO lombar e DMO do antebraço (WMD 2,17 [1,59-2,76] e WMD 1,57 [1,15-1,99]);</w:t>
      </w:r>
    </w:p>
    <w:p w14:paraId="608CA38F" w14:textId="77777777" w:rsidR="00CD65C2" w:rsidRDefault="00FA41FC">
      <w:pPr>
        <w:pStyle w:val="PargrafodaLista"/>
        <w:numPr>
          <w:ilvl w:val="0"/>
          <w:numId w:val="38"/>
        </w:numPr>
        <w:rPr>
          <w:rFonts w:ascii="Swis721 Th BT" w:eastAsia="MS Mincho" w:hAnsi="Swis721 Th BT" w:hint="eastAsia"/>
          <w:bCs/>
          <w:iCs/>
          <w:color w:val="404040" w:themeColor="text1" w:themeTint="BF"/>
          <w:sz w:val="24"/>
          <w:szCs w:val="24"/>
        </w:rPr>
      </w:pPr>
      <w:r>
        <w:rPr>
          <w:rFonts w:ascii="Swis721 Th BT" w:eastAsia="MS Mincho" w:hAnsi="Swis721 Th BT"/>
          <w:bCs/>
          <w:iCs/>
          <w:color w:val="404040" w:themeColor="text1" w:themeTint="BF"/>
          <w:sz w:val="24"/>
          <w:szCs w:val="24"/>
        </w:rPr>
        <w:t>Houve diferenças significativas na redução da osteocalcina subcarboxilada (WMD -0,96 [-0,70 a 0,21]) e aumento da osteocalcina (WMD 26,52 [17,06-35,98]);</w:t>
      </w:r>
    </w:p>
    <w:p w14:paraId="0E6B907A" w14:textId="77777777" w:rsidR="00CD65C2" w:rsidRDefault="00FA41FC">
      <w:pPr>
        <w:pStyle w:val="PargrafodaLista"/>
        <w:numPr>
          <w:ilvl w:val="0"/>
          <w:numId w:val="38"/>
        </w:numPr>
        <w:rPr>
          <w:rFonts w:ascii="Swis721 Th BT" w:eastAsia="MS Mincho" w:hAnsi="Swis721 Th BT" w:hint="eastAsia"/>
          <w:bCs/>
          <w:iCs/>
          <w:color w:val="404040" w:themeColor="text1" w:themeTint="BF"/>
          <w:sz w:val="24"/>
          <w:szCs w:val="24"/>
        </w:rPr>
      </w:pPr>
      <w:r>
        <w:rPr>
          <w:rFonts w:ascii="Swis721 Th BT" w:eastAsia="MS Mincho" w:hAnsi="Swis721 Th BT"/>
          <w:bCs/>
          <w:iCs/>
          <w:color w:val="404040" w:themeColor="text1" w:themeTint="BF"/>
          <w:sz w:val="24"/>
          <w:szCs w:val="24"/>
        </w:rPr>
        <w:t>A análise de reações adversas mostrou que parecia haver maiores taxas de reações adversas no grupo de vitamina K2 (RR = 1,33 [1,11-1,59]), mas nenhum evento adverso grave relacionado à suplementação dessa vitamina.</w:t>
      </w:r>
    </w:p>
    <w:p w14:paraId="4F923E88" w14:textId="77777777" w:rsidR="00CD65C2" w:rsidRDefault="00CD65C2">
      <w:pPr>
        <w:pStyle w:val="PargrafodaLista"/>
        <w:rPr>
          <w:sz w:val="24"/>
        </w:rPr>
      </w:pPr>
    </w:p>
    <w:p w14:paraId="3875D9AC"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1C2C7567"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70A0A2B1" w14:textId="77777777" w:rsidR="00CD65C2" w:rsidRDefault="00FA41FC">
      <w:pPr>
        <w:pStyle w:val="Corpo"/>
        <w:jc w:val="center"/>
        <w:rPr>
          <w:rFonts w:hint="eastAsia"/>
          <w:b/>
          <w:bCs/>
          <w:i/>
          <w:color w:val="404040" w:themeColor="text1" w:themeTint="BF"/>
          <w:szCs w:val="23"/>
        </w:rPr>
      </w:pPr>
      <w:r>
        <w:rPr>
          <w:b/>
          <w:bCs/>
          <w:i/>
          <w:iCs/>
          <w:color w:val="404040" w:themeColor="text1" w:themeTint="BF"/>
          <w:szCs w:val="23"/>
        </w:rPr>
        <w:t>De acordo com os pesquisadores, esta meta-análise e revisão sistemática pareceu apoiar a hipótese de que a vitamina K2 desempenha um papel importante na manutenção e melhora da DMO, diminuindo a uc-OC e aumentando a OC significativamente em um seguimento de longo prazo. A suplementação de vitamina K2 é benéfica e segura no tratamento da osteoporose para mulheres na pós-menopausa.</w:t>
      </w:r>
    </w:p>
    <w:p w14:paraId="5D8E5BEE" w14:textId="77777777" w:rsidR="00CD65C2" w:rsidRDefault="00CD65C2">
      <w:pPr>
        <w:pStyle w:val="Corpo"/>
        <w:spacing w:after="0"/>
        <w:rPr>
          <w:rFonts w:hint="eastAsia"/>
          <w:color w:val="404040" w:themeColor="text1" w:themeTint="BF"/>
          <w:sz w:val="24"/>
        </w:rPr>
      </w:pPr>
    </w:p>
    <w:p w14:paraId="3969AE93" w14:textId="77777777" w:rsidR="00CD65C2" w:rsidRDefault="00CD65C2">
      <w:pPr>
        <w:pStyle w:val="Corpo"/>
        <w:spacing w:after="0"/>
        <w:rPr>
          <w:rFonts w:hint="eastAsia"/>
          <w:color w:val="404040" w:themeColor="text1" w:themeTint="BF"/>
          <w:sz w:val="24"/>
        </w:rPr>
      </w:pPr>
    </w:p>
    <w:p w14:paraId="265B1392" w14:textId="77777777" w:rsidR="00CD65C2" w:rsidRDefault="00CD65C2">
      <w:pPr>
        <w:pStyle w:val="Corpo"/>
        <w:spacing w:after="0"/>
        <w:rPr>
          <w:rFonts w:hint="eastAsia"/>
          <w:color w:val="404040" w:themeColor="text1" w:themeTint="BF"/>
          <w:sz w:val="24"/>
        </w:rPr>
      </w:pPr>
    </w:p>
    <w:p w14:paraId="0F0A9D89" w14:textId="77777777" w:rsidR="00CD65C2" w:rsidRDefault="00CD65C2">
      <w:pPr>
        <w:pStyle w:val="Corpo"/>
        <w:spacing w:after="0"/>
        <w:rPr>
          <w:rFonts w:hint="eastAsia"/>
          <w:color w:val="404040" w:themeColor="text1" w:themeTint="BF"/>
          <w:sz w:val="24"/>
        </w:rPr>
      </w:pPr>
    </w:p>
    <w:p w14:paraId="254A4DEA" w14:textId="77777777" w:rsidR="00CD65C2" w:rsidRDefault="00CD65C2">
      <w:pPr>
        <w:pStyle w:val="Corpo"/>
        <w:spacing w:after="0"/>
        <w:rPr>
          <w:rFonts w:hint="eastAsia"/>
          <w:color w:val="404040" w:themeColor="text1" w:themeTint="BF"/>
          <w:sz w:val="24"/>
        </w:rPr>
      </w:pPr>
    </w:p>
    <w:p w14:paraId="2E9BC5E0" w14:textId="77777777" w:rsidR="00CD65C2" w:rsidRDefault="00FA41FC">
      <w:pPr>
        <w:pStyle w:val="Ttulo1"/>
        <w:jc w:val="center"/>
        <w:rPr>
          <w:rFonts w:hint="eastAsia"/>
        </w:rPr>
      </w:pPr>
      <w:bookmarkStart w:id="97" w:name="_Toc165537247"/>
      <w:r>
        <w:t>Formulário</w:t>
      </w:r>
      <w:bookmarkEnd w:id="97"/>
    </w:p>
    <w:p w14:paraId="2903013C" w14:textId="77777777" w:rsidR="00CD65C2" w:rsidRDefault="00CD65C2">
      <w:pPr>
        <w:pStyle w:val="Corpo"/>
        <w:rPr>
          <w:rFonts w:hint="eastAsia"/>
          <w:b/>
          <w:i/>
          <w:color w:val="404040" w:themeColor="text1" w:themeTint="BF"/>
        </w:rPr>
      </w:pPr>
    </w:p>
    <w:p w14:paraId="735332FC" w14:textId="77777777" w:rsidR="00CD65C2" w:rsidRDefault="00CD65C2">
      <w:pPr>
        <w:pStyle w:val="Corpo"/>
        <w:rPr>
          <w:rFonts w:hint="eastAsia"/>
          <w:b/>
          <w:i/>
          <w:color w:val="404040" w:themeColor="text1" w:themeTint="BF"/>
        </w:rPr>
      </w:pPr>
    </w:p>
    <w:p w14:paraId="59D7E5BB" w14:textId="77777777" w:rsidR="00CD65C2" w:rsidRDefault="00FA41FC">
      <w:pPr>
        <w:pStyle w:val="Corpo"/>
        <w:rPr>
          <w:rFonts w:hint="eastAsia"/>
          <w:b/>
          <w:bCs/>
          <w:i/>
          <w:iCs/>
          <w:color w:val="404040" w:themeColor="text1" w:themeTint="BF"/>
          <w:sz w:val="24"/>
        </w:rPr>
      </w:pPr>
      <w:r>
        <w:rPr>
          <w:b/>
          <w:bCs/>
          <w:i/>
          <w:iCs/>
          <w:color w:val="404040" w:themeColor="text1" w:themeTint="BF"/>
          <w:sz w:val="24"/>
        </w:rPr>
        <w:t>Vitamina K2 Melhora os Marcadores Ósseos na Pós-Menopausa</w:t>
      </w:r>
    </w:p>
    <w:p w14:paraId="4A951E42"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5D7D5AA7"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55B6B652" w14:textId="77777777" w:rsidR="00CD65C2" w:rsidRDefault="00FA41FC">
            <w:pPr>
              <w:pStyle w:val="Corpo"/>
              <w:jc w:val="center"/>
              <w:rPr>
                <w:rFonts w:hint="eastAsia"/>
                <w:b/>
                <w:color w:val="FFFFFF" w:themeColor="background1"/>
              </w:rPr>
            </w:pPr>
            <w:r>
              <w:rPr>
                <w:b/>
                <w:color w:val="FFFFFF" w:themeColor="background1"/>
                <w:sz w:val="22"/>
              </w:rPr>
              <w:t>Cápsulas de Vitamina K2</w:t>
            </w:r>
          </w:p>
        </w:tc>
      </w:tr>
      <w:tr w:rsidR="00CD65C2" w14:paraId="329E18C4"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D0BA3F7" w14:textId="77777777" w:rsidR="00CD65C2" w:rsidRDefault="00FA41FC">
            <w:pPr>
              <w:pStyle w:val="Corpo"/>
              <w:rPr>
                <w:rFonts w:hint="eastAsia"/>
                <w:color w:val="404040" w:themeColor="text1" w:themeTint="BF"/>
              </w:rPr>
            </w:pPr>
            <w:r>
              <w:rPr>
                <w:color w:val="404040" w:themeColor="text1" w:themeTint="BF"/>
              </w:rPr>
              <w:t>Vitamina K2...........................45 a 120 mcg</w:t>
            </w:r>
          </w:p>
        </w:tc>
      </w:tr>
      <w:tr w:rsidR="00CD65C2" w14:paraId="1B77A763"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628EF77" w14:textId="766B1A6D" w:rsidR="00CD65C2" w:rsidRDefault="00FA41FC">
            <w:pPr>
              <w:pStyle w:val="Corpo"/>
              <w:rPr>
                <w:rFonts w:hint="eastAsia"/>
                <w:color w:val="404040" w:themeColor="text1" w:themeTint="BF"/>
              </w:rPr>
            </w:pPr>
            <w:r>
              <w:rPr>
                <w:color w:val="404040" w:themeColor="text1" w:themeTint="BF"/>
              </w:rPr>
              <w:t>Excipiente q.s.p. .......................1 Cápsula</w:t>
            </w:r>
          </w:p>
        </w:tc>
      </w:tr>
    </w:tbl>
    <w:p w14:paraId="585D3DE1" w14:textId="77777777" w:rsidR="00CD65C2" w:rsidRDefault="00FA41FC">
      <w:pPr>
        <w:pStyle w:val="SemEspaamento"/>
        <w:ind w:right="4676"/>
        <w:jc w:val="center"/>
      </w:pPr>
      <w:r>
        <w:rPr>
          <w:rFonts w:ascii="Swis721 Th BT" w:eastAsia="MS Mincho" w:hAnsi="Swis721 Th BT"/>
          <w:color w:val="404040" w:themeColor="text1" w:themeTint="BF"/>
        </w:rPr>
        <w:t>Administrar 1 cápsula ao dia ou conforme orientação médica.</w:t>
      </w:r>
    </w:p>
    <w:p w14:paraId="0C1BD46E" w14:textId="77777777" w:rsidR="00CD65C2" w:rsidRDefault="00CD65C2">
      <w:pPr>
        <w:pStyle w:val="SemEspaamento"/>
      </w:pPr>
    </w:p>
    <w:p w14:paraId="22B144D2" w14:textId="77777777" w:rsidR="00CD65C2" w:rsidRDefault="00CD65C2">
      <w:pPr>
        <w:pStyle w:val="SemEspaamento"/>
      </w:pPr>
    </w:p>
    <w:p w14:paraId="05AA035C" w14:textId="77777777" w:rsidR="00CD65C2" w:rsidRDefault="00CD65C2">
      <w:pPr>
        <w:pStyle w:val="SemEspaamento"/>
      </w:pPr>
    </w:p>
    <w:p w14:paraId="664F9671" w14:textId="77777777" w:rsidR="00CD65C2" w:rsidRDefault="00CD65C2">
      <w:pPr>
        <w:pStyle w:val="SemEspaamento"/>
      </w:pPr>
    </w:p>
    <w:p w14:paraId="164B6BD5" w14:textId="77777777" w:rsidR="00CD65C2" w:rsidRDefault="00CD65C2">
      <w:pPr>
        <w:pStyle w:val="SemEspaamento"/>
      </w:pPr>
    </w:p>
    <w:p w14:paraId="66748ABE" w14:textId="77777777" w:rsidR="00CD65C2" w:rsidRDefault="00CD65C2">
      <w:pPr>
        <w:pStyle w:val="SemEspaamento"/>
      </w:pPr>
    </w:p>
    <w:p w14:paraId="1FFB75FD" w14:textId="77777777" w:rsidR="00CD65C2" w:rsidRDefault="00CD65C2">
      <w:pPr>
        <w:pStyle w:val="SemEspaamento"/>
      </w:pPr>
    </w:p>
    <w:p w14:paraId="0CEA3205" w14:textId="77777777" w:rsidR="00CD65C2" w:rsidRDefault="00CD65C2">
      <w:pPr>
        <w:pStyle w:val="SemEspaamento"/>
      </w:pPr>
    </w:p>
    <w:p w14:paraId="0F8DABC2" w14:textId="77777777" w:rsidR="00CD65C2" w:rsidRDefault="00CD65C2">
      <w:pPr>
        <w:pStyle w:val="SemEspaamento"/>
      </w:pPr>
    </w:p>
    <w:p w14:paraId="4902DEF5" w14:textId="77777777" w:rsidR="00CD65C2" w:rsidRDefault="00CD65C2">
      <w:pPr>
        <w:pStyle w:val="SemEspaamento"/>
      </w:pPr>
    </w:p>
    <w:p w14:paraId="0E3040A9" w14:textId="77777777" w:rsidR="00CD65C2" w:rsidRDefault="00CD65C2">
      <w:pPr>
        <w:pStyle w:val="SemEspaamento"/>
      </w:pPr>
    </w:p>
    <w:p w14:paraId="6C2D5D32" w14:textId="77777777" w:rsidR="00CD65C2" w:rsidRDefault="00CD65C2">
      <w:pPr>
        <w:pStyle w:val="SemEspaamento"/>
      </w:pPr>
    </w:p>
    <w:p w14:paraId="235D4426" w14:textId="77777777" w:rsidR="00CD65C2" w:rsidRDefault="00CD65C2">
      <w:pPr>
        <w:pStyle w:val="SemEspaamento"/>
      </w:pPr>
    </w:p>
    <w:p w14:paraId="4C0C1862" w14:textId="77777777" w:rsidR="00CD65C2" w:rsidRDefault="00CD65C2">
      <w:pPr>
        <w:pStyle w:val="SemEspaamento"/>
      </w:pPr>
    </w:p>
    <w:p w14:paraId="07103262" w14:textId="77777777" w:rsidR="00CD65C2" w:rsidRDefault="00CD65C2">
      <w:pPr>
        <w:pStyle w:val="SemEspaamento"/>
      </w:pPr>
    </w:p>
    <w:p w14:paraId="136997B8" w14:textId="77777777" w:rsidR="00CD65C2" w:rsidRDefault="00CD65C2">
      <w:pPr>
        <w:pStyle w:val="SemEspaamento"/>
      </w:pPr>
    </w:p>
    <w:p w14:paraId="54EE3792" w14:textId="77777777" w:rsidR="00CD65C2" w:rsidRDefault="00CD65C2">
      <w:pPr>
        <w:pStyle w:val="SemEspaamento"/>
      </w:pPr>
    </w:p>
    <w:p w14:paraId="51D6D20D" w14:textId="77777777" w:rsidR="00CD65C2" w:rsidRDefault="00CD65C2">
      <w:pPr>
        <w:pStyle w:val="SemEspaamento"/>
      </w:pPr>
    </w:p>
    <w:p w14:paraId="394519C9" w14:textId="77777777" w:rsidR="00CD65C2" w:rsidRDefault="00CD65C2">
      <w:pPr>
        <w:pStyle w:val="SemEspaamento"/>
      </w:pPr>
    </w:p>
    <w:p w14:paraId="2AFAFE6D" w14:textId="77777777" w:rsidR="00CD65C2" w:rsidRDefault="00CD65C2">
      <w:pPr>
        <w:pStyle w:val="SemEspaamento"/>
      </w:pPr>
    </w:p>
    <w:p w14:paraId="79FF5D3B" w14:textId="77777777" w:rsidR="00CD65C2" w:rsidRDefault="00CD65C2">
      <w:pPr>
        <w:pStyle w:val="SemEspaamento"/>
      </w:pPr>
    </w:p>
    <w:p w14:paraId="54A8A521" w14:textId="77777777" w:rsidR="00CD65C2" w:rsidRDefault="00CD65C2">
      <w:pPr>
        <w:pStyle w:val="SemEspaamento"/>
      </w:pPr>
    </w:p>
    <w:p w14:paraId="64D3D733" w14:textId="77777777" w:rsidR="00CD65C2" w:rsidRDefault="00CD65C2">
      <w:pPr>
        <w:pStyle w:val="SemEspaamento"/>
      </w:pPr>
    </w:p>
    <w:p w14:paraId="2DF3B52B" w14:textId="77777777" w:rsidR="00CD65C2" w:rsidRDefault="00CD65C2">
      <w:pPr>
        <w:pStyle w:val="SemEspaamento"/>
      </w:pPr>
    </w:p>
    <w:p w14:paraId="7979ECD6" w14:textId="77777777" w:rsidR="00CD65C2" w:rsidRDefault="00CD65C2">
      <w:pPr>
        <w:pStyle w:val="SemEspaamento"/>
      </w:pPr>
    </w:p>
    <w:p w14:paraId="557FD31D" w14:textId="77777777" w:rsidR="00CD65C2" w:rsidRDefault="00CD65C2">
      <w:pPr>
        <w:pStyle w:val="SemEspaamento"/>
      </w:pPr>
    </w:p>
    <w:p w14:paraId="23D2E5AA" w14:textId="77777777" w:rsidR="00CD65C2" w:rsidRDefault="00CD65C2">
      <w:pPr>
        <w:pStyle w:val="SemEspaamento"/>
      </w:pPr>
    </w:p>
    <w:p w14:paraId="6CC17456" w14:textId="77777777" w:rsidR="00CD65C2" w:rsidRDefault="00CD65C2">
      <w:pPr>
        <w:pStyle w:val="SemEspaamento"/>
      </w:pPr>
    </w:p>
    <w:p w14:paraId="5498EF51" w14:textId="77777777" w:rsidR="00CD65C2" w:rsidRDefault="00CD65C2">
      <w:pPr>
        <w:pStyle w:val="SemEspaamento"/>
      </w:pPr>
    </w:p>
    <w:p w14:paraId="0A21DBCF" w14:textId="77777777" w:rsidR="00CD65C2" w:rsidRDefault="00CD65C2">
      <w:pPr>
        <w:pStyle w:val="SemEspaamento"/>
      </w:pPr>
    </w:p>
    <w:p w14:paraId="4FFA3E75" w14:textId="77777777" w:rsidR="00CD65C2" w:rsidRDefault="00CD65C2">
      <w:pPr>
        <w:pStyle w:val="SemEspaamento"/>
      </w:pPr>
    </w:p>
    <w:p w14:paraId="4E3AF96D" w14:textId="77777777" w:rsidR="00CD65C2" w:rsidRDefault="00CD65C2">
      <w:pPr>
        <w:pStyle w:val="SemEspaamento"/>
      </w:pPr>
    </w:p>
    <w:p w14:paraId="477FAC27" w14:textId="77777777" w:rsidR="00CD65C2" w:rsidRDefault="00FA41FC">
      <w:pPr>
        <w:pStyle w:val="Ttulo1"/>
        <w:jc w:val="center"/>
        <w:rPr>
          <w:rFonts w:hint="eastAsia"/>
        </w:rPr>
      </w:pPr>
      <w:bookmarkStart w:id="98" w:name="_Toc165537248"/>
      <w:r>
        <w:rPr>
          <w:bCs/>
          <w:iCs/>
        </w:rPr>
        <w:t>Licopeno</w:t>
      </w:r>
      <w:bookmarkEnd w:id="98"/>
    </w:p>
    <w:p w14:paraId="07FC410B" w14:textId="77777777" w:rsidR="00CD65C2" w:rsidRPr="00D1428E" w:rsidRDefault="00FA41FC">
      <w:pPr>
        <w:pStyle w:val="Corpo"/>
        <w:spacing w:after="120"/>
        <w:jc w:val="center"/>
        <w:rPr>
          <w:rFonts w:hint="eastAsia"/>
          <w:b/>
          <w:color w:val="0070C0"/>
          <w:sz w:val="40"/>
          <w:szCs w:val="22"/>
        </w:rPr>
      </w:pPr>
      <w:r w:rsidRPr="00D1428E">
        <w:rPr>
          <w:b/>
          <w:color w:val="0070C0"/>
          <w:sz w:val="40"/>
          <w:szCs w:val="22"/>
        </w:rPr>
        <w:t>Promove Alterações em Biomarcadores Associados a Proteção contra Osteoporose</w:t>
      </w:r>
    </w:p>
    <w:p w14:paraId="7357F38C" w14:textId="77777777" w:rsidR="00CD65C2" w:rsidRDefault="00CD65C2">
      <w:pPr>
        <w:pStyle w:val="Corpo"/>
        <w:spacing w:after="120"/>
        <w:rPr>
          <w:rFonts w:hint="eastAsia"/>
          <w:color w:val="404040" w:themeColor="text1" w:themeTint="BF"/>
          <w:sz w:val="24"/>
        </w:rPr>
      </w:pPr>
    </w:p>
    <w:p w14:paraId="102736AD" w14:textId="77777777" w:rsidR="00CD65C2" w:rsidRDefault="00CD65C2">
      <w:pPr>
        <w:pStyle w:val="Corpo"/>
        <w:spacing w:after="120"/>
        <w:rPr>
          <w:rFonts w:hint="eastAsia"/>
          <w:color w:val="404040" w:themeColor="text1" w:themeTint="BF"/>
          <w:sz w:val="24"/>
        </w:rPr>
      </w:pPr>
    </w:p>
    <w:p w14:paraId="4B694537" w14:textId="77777777" w:rsidR="00CD65C2" w:rsidRDefault="00FA41FC">
      <w:pPr>
        <w:pStyle w:val="Corpo"/>
        <w:spacing w:after="120"/>
        <w:rPr>
          <w:rFonts w:hint="eastAsia"/>
          <w:color w:val="404040" w:themeColor="text1" w:themeTint="BF"/>
          <w:sz w:val="24"/>
        </w:rPr>
      </w:pPr>
      <w:r>
        <w:rPr>
          <w:color w:val="404040" w:themeColor="text1" w:themeTint="BF"/>
          <w:sz w:val="24"/>
        </w:rPr>
        <w:t xml:space="preserve">Este estudo clínico, randomizado, duplo-cego, multicêntrico e placebo-controlado teve como objetivo avaliar o efeito da suplementação de licopeno em mulheres saudáveis na pós-menopausa através de marcadores bioquímicos para proteção cardiovascular e proteção da osteoporose </w:t>
      </w:r>
      <w:r>
        <w:rPr>
          <w:color w:val="404040" w:themeColor="text1" w:themeTint="BF"/>
          <w:sz w:val="24"/>
        </w:rPr>
        <w:fldChar w:fldCharType="begin">
          <w:fldData xml:space="preserve">PEVuZE5vdGU+PENpdGU+PEF1dGhvcj5NZWV0YTwvQXV0aG9yPjxZZWFyPjIwMjI8L1llYXI+PElE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</w:fldData>
        </w:fldChar>
      </w:r>
      <w:r>
        <w:rPr>
          <w:color w:val="404040" w:themeColor="text1" w:themeTint="BF"/>
          <w:sz w:val="24"/>
        </w:rPr>
        <w:instrText xml:space="preserve"> ADDIN EN.CITE </w:instrText>
      </w:r>
      <w:r>
        <w:rPr>
          <w:color w:val="404040" w:themeColor="text1" w:themeTint="BF"/>
          <w:sz w:val="24"/>
        </w:rPr>
        <w:fldChar w:fldCharType="begin">
          <w:fldData xml:space="preserve">PEVuZE5vdGU+PENpdGU+PEF1dGhvcj5NZWV0YTwvQXV0aG9yPjxZZWFyPjIwMjI8L1llYXI+PElE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</w:fldData>
        </w:fldChar>
      </w:r>
      <w:r>
        <w:rPr>
          <w:color w:val="404040" w:themeColor="text1" w:themeTint="BF"/>
          <w:sz w:val="24"/>
        </w:rPr>
        <w:instrText xml:space="preserve"> ADDIN EN.CITE.DATA </w:instrText>
      </w:r>
      <w:r>
        <w:rPr>
          <w:color w:val="404040" w:themeColor="text1" w:themeTint="BF"/>
          <w:sz w:val="24"/>
        </w:rPr>
      </w:r>
      <w:r>
        <w:rPr>
          <w:color w:val="404040" w:themeColor="text1" w:themeTint="BF"/>
          <w:sz w:val="24"/>
        </w:rPr>
        <w:fldChar w:fldCharType="end"/>
      </w:r>
      <w:r>
        <w:rPr>
          <w:color w:val="404040" w:themeColor="text1" w:themeTint="BF"/>
          <w:sz w:val="24"/>
        </w:rPr>
      </w:r>
      <w:r>
        <w:rPr>
          <w:color w:val="404040" w:themeColor="text1" w:themeTint="BF"/>
          <w:sz w:val="24"/>
        </w:rPr>
        <w:fldChar w:fldCharType="separate"/>
      </w:r>
      <w:r>
        <w:rPr>
          <w:color w:val="404040" w:themeColor="text1" w:themeTint="BF"/>
          <w:sz w:val="24"/>
        </w:rPr>
        <w:t>(MEETA; SHARMA; UNNI; KHANDELWAL</w:t>
      </w:r>
      <w:r>
        <w:rPr>
          <w:i/>
          <w:color w:val="404040" w:themeColor="text1" w:themeTint="BF"/>
          <w:sz w:val="24"/>
        </w:rPr>
        <w:t xml:space="preserve"> et al.</w:t>
      </w:r>
      <w:r>
        <w:rPr>
          <w:color w:val="404040" w:themeColor="text1" w:themeTint="BF"/>
          <w:sz w:val="24"/>
        </w:rPr>
        <w:t>, 2022)</w:t>
      </w:r>
      <w:r>
        <w:rPr>
          <w:color w:val="404040" w:themeColor="text1" w:themeTint="BF"/>
          <w:sz w:val="24"/>
        </w:rPr>
        <w:fldChar w:fldCharType="end"/>
      </w:r>
      <w:r>
        <w:rPr>
          <w:color w:val="404040" w:themeColor="text1" w:themeTint="BF"/>
          <w:sz w:val="24"/>
        </w:rPr>
        <w:t>.</w:t>
      </w:r>
    </w:p>
    <w:p w14:paraId="20913BEE"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53824" behindDoc="0" locked="0" layoutInCell="1" allowOverlap="1">
                <wp:simplePos x="0" y="0"/>
                <wp:positionH relativeFrom="margin">
                  <wp:posOffset>-1905</wp:posOffset>
                </wp:positionH>
                <wp:positionV relativeFrom="paragraph">
                  <wp:posOffset>142875</wp:posOffset>
                </wp:positionV>
                <wp:extent cx="5735955" cy="348615"/>
                <wp:effectExtent l="0" t="0" r="17780" b="13970"/>
                <wp:wrapNone/>
                <wp:docPr id="739657706" name="Caixa de texto 739657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781" cy="348343"/>
                        </a:xfrm>
                        <a:prstGeom prst="rect">
                          <a:avLst/>
                        </a:prstGeom>
                        <a:solidFill>
                          <a:schemeClr val="bg1">
                            <a:lumMod val="100000"/>
                            <a:lumOff val="0"/>
                          </a:schemeClr>
                        </a:solidFill>
                        <a:ln w="9525">
                          <a:solidFill>
                            <a:srgbClr val="0070C0"/>
                          </a:solidFill>
                          <a:miter lim="800000"/>
                        </a:ln>
                      </wps:spPr>
                      <wps:txbx>
                        <w:txbxContent>
                          <w:p w14:paraId="2700FB69" w14:textId="569582BA" w:rsidR="00FA41FC" w:rsidRDefault="00FA41FC">
                            <w:pPr>
                              <w:jc w:val="center"/>
                              <w:rPr>
                                <w:rFonts w:ascii="Swis721 Th BT" w:hAnsi="Swis721 Th BT"/>
                                <w:sz w:val="23"/>
                                <w:szCs w:val="23"/>
                              </w:rPr>
                            </w:pPr>
                            <w:r>
                              <w:rPr>
                                <w:rFonts w:ascii="Swis721 Th BT" w:hAnsi="Swis721 Th BT"/>
                                <w:sz w:val="23"/>
                                <w:szCs w:val="23"/>
                              </w:rPr>
                              <w:t>Assim, 198 mulheres foram selecionadas para receberem durante seis meses:</w:t>
                            </w:r>
                          </w:p>
                          <w:p w14:paraId="6BB9A74F"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706" o:spid="_x0000_s1151" type="#_x0000_t202" style="position:absolute;left:0;text-align:left;margin-left:-.15pt;margin-top:11.25pt;width:451.65pt;height:27.45pt;z-index:2518538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" fillcolor="white [3212]" strokecolor="#0070c0">
                <v:textbox>
                  <w:txbxContent>
                    <w:p w14:paraId="2700FB69" w14:textId="569582BA" w:rsidR="00FA41FC" w:rsidRDefault="00FA41FC">
                      <w:pPr>
                        <w:jc w:val="center"/>
                        <w:rPr>
                          <w:rFonts w:ascii="Swis721 Th BT" w:hAnsi="Swis721 Th BT"/>
                          <w:sz w:val="23"/>
                          <w:szCs w:val="23"/>
                        </w:rPr>
                      </w:pPr>
                      <w:r>
                        <w:rPr>
                          <w:rFonts w:ascii="Swis721 Th BT" w:hAnsi="Swis721 Th BT"/>
                          <w:sz w:val="23"/>
                          <w:szCs w:val="23"/>
                        </w:rPr>
                        <w:t>Assim, 198 mulheres foram selecionadas para receberem durante seis meses:</w:t>
                      </w:r>
                    </w:p>
                    <w:p w14:paraId="6BB9A74F"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4C547C6E"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854848" behindDoc="0" locked="0" layoutInCell="1" allowOverlap="1">
                <wp:simplePos x="0" y="0"/>
                <wp:positionH relativeFrom="column">
                  <wp:posOffset>4594860</wp:posOffset>
                </wp:positionH>
                <wp:positionV relativeFrom="paragraph">
                  <wp:posOffset>169545</wp:posOffset>
                </wp:positionV>
                <wp:extent cx="226695" cy="138430"/>
                <wp:effectExtent l="0" t="0" r="1905" b="0"/>
                <wp:wrapNone/>
                <wp:docPr id="739657707" name="Triângulo isósceles 739657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707" o:spid="_x0000_s1026" o:spt="5" type="#_x0000_t5" style="position:absolute;left:0pt;flip:y;margin-left:361.8pt;margin-top:13.35pt;height:10.9pt;width:17.85pt;z-index:251854848;mso-width-relative:page;mso-height-relative:page;" fillcolor="#D9D9D9 [3212]" filled="t" stroked="f" coordsize="21600,21600" o:gfxdata="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ElaQk7ZAAAACQEAAA8AAAAAAAAAAQAgAAAAIgAAAGRycy9kb3ducmV2LnhtbFBLAQIUABQA&#10;AAAIAIdO4kA0cmnKYQIAALMEAAAOAAAAAAAAAAEAIAAAACgBAABkcnMvZTJvRG9jLnhtbFBLBQYA&#10;AAAABgAGAFkBAAD7BQ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855872" behindDoc="0" locked="0" layoutInCell="1" allowOverlap="1">
                <wp:simplePos x="0" y="0"/>
                <wp:positionH relativeFrom="column">
                  <wp:posOffset>805180</wp:posOffset>
                </wp:positionH>
                <wp:positionV relativeFrom="paragraph">
                  <wp:posOffset>169545</wp:posOffset>
                </wp:positionV>
                <wp:extent cx="226695" cy="138430"/>
                <wp:effectExtent l="0" t="0" r="1905" b="0"/>
                <wp:wrapNone/>
                <wp:docPr id="739657708" name="Triângulo isósceles 739657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708" o:spid="_x0000_s1026" o:spt="5" type="#_x0000_t5" style="position:absolute;left:0pt;flip:y;margin-left:63.4pt;margin-top:13.35pt;height:10.9pt;width:17.85pt;z-index:251855872;mso-width-relative:page;mso-height-relative:page;" fillcolor="#D9D9D9 [3212]" filled="t" stroked="f" coordsize="21600,21600" o:gfxdata="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gI9pL1wAAAAkBAAAPAAAAAAAAAAEAIAAAACIAAABkcnMvZG93bnJldi54bWxQSwECFAAUAAAA&#10;CACHTuJArkegm2ECAACzBAAADgAAAAAAAAABACAAAAAmAQAAZHJzL2Uyb0RvYy54bWxQSwUGAAAA&#10;AAYABgBZAQAA+QUAAAAA&#10;" adj="10800">
                <v:fill on="t" focussize="0,0"/>
                <v:stroke on="f"/>
                <v:imagedata o:title=""/>
                <o:lock v:ext="edit" aspectratio="f"/>
              </v:shape>
            </w:pict>
          </mc:Fallback>
        </mc:AlternateContent>
      </w:r>
    </w:p>
    <w:p w14:paraId="6036762E" w14:textId="77777777" w:rsidR="00CD65C2" w:rsidRDefault="00CD65C2">
      <w:pPr>
        <w:pStyle w:val="Corpo"/>
        <w:rPr>
          <w:rFonts w:hint="eastAsia"/>
          <w:color w:val="404040" w:themeColor="text1" w:themeTint="BF"/>
        </w:rPr>
      </w:pPr>
    </w:p>
    <w:p w14:paraId="2460A3F8"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852800" behindDoc="0" locked="0" layoutInCell="1" allowOverlap="1">
                <wp:simplePos x="0" y="0"/>
                <wp:positionH relativeFrom="column">
                  <wp:posOffset>3752850</wp:posOffset>
                </wp:positionH>
                <wp:positionV relativeFrom="paragraph">
                  <wp:posOffset>87630</wp:posOffset>
                </wp:positionV>
                <wp:extent cx="1969770" cy="990600"/>
                <wp:effectExtent l="0" t="0" r="11430" b="19685"/>
                <wp:wrapNone/>
                <wp:docPr id="739657731" name="Caixa de texto 739657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861" cy="990509"/>
                        </a:xfrm>
                        <a:prstGeom prst="rect">
                          <a:avLst/>
                        </a:prstGeom>
                        <a:solidFill>
                          <a:srgbClr val="0070C0"/>
                        </a:solidFill>
                        <a:ln w="9525">
                          <a:solidFill>
                            <a:srgbClr val="0070C0"/>
                          </a:solidFill>
                          <a:miter lim="800000"/>
                        </a:ln>
                      </wps:spPr>
                      <wps:txbx>
                        <w:txbxContent>
                          <w:p w14:paraId="7118766D"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5284226A" w14:textId="77777777" w:rsidR="00FA41FC" w:rsidRDefault="00FA41FC">
                            <w:pPr>
                              <w:spacing w:after="0" w:line="240" w:lineRule="auto"/>
                              <w:jc w:val="center"/>
                              <w:rPr>
                                <w:rFonts w:ascii="Swis721 Th BT" w:hAnsi="Swis721 Th BT"/>
                                <w:bCs/>
                                <w:color w:val="FFFFFF" w:themeColor="background1"/>
                                <w:sz w:val="23"/>
                                <w:szCs w:val="23"/>
                              </w:rPr>
                            </w:pPr>
                          </w:p>
                          <w:p w14:paraId="32292F39"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14:paraId="71057B11" w14:textId="77777777" w:rsidR="00FA41FC" w:rsidRDefault="00FA41FC">
                            <w:pPr>
                              <w:spacing w:after="0" w:line="240" w:lineRule="auto"/>
                              <w:jc w:val="center"/>
                              <w:rPr>
                                <w:rFonts w:ascii="Swis721 Th BT" w:hAnsi="Swis721 Th BT"/>
                                <w:b/>
                                <w:color w:val="FFFFFF" w:themeColor="background1"/>
                                <w:sz w:val="12"/>
                                <w:szCs w:val="12"/>
                              </w:rPr>
                            </w:pPr>
                          </w:p>
                          <w:p w14:paraId="7A4F2173" w14:textId="77777777" w:rsidR="00FA41FC" w:rsidRDefault="00FA41FC">
                            <w:pPr>
                              <w:spacing w:after="0" w:line="240" w:lineRule="auto"/>
                              <w:jc w:val="center"/>
                              <w:rPr>
                                <w:rFonts w:ascii="Swis721 Th BT" w:hAnsi="Swis721 Th BT"/>
                                <w:b/>
                                <w:color w:val="FFFFFF" w:themeColor="background1"/>
                                <w:sz w:val="23"/>
                                <w:szCs w:val="23"/>
                              </w:rPr>
                            </w:pPr>
                          </w:p>
                          <w:p w14:paraId="48C336BB" w14:textId="77777777" w:rsidR="00FA41FC" w:rsidRDefault="00FA41FC">
                            <w:pPr>
                              <w:spacing w:after="0" w:line="240" w:lineRule="auto"/>
                              <w:jc w:val="center"/>
                              <w:rPr>
                                <w:rFonts w:ascii="Swis721 Th BT" w:hAnsi="Swis721 Th BT"/>
                                <w:b/>
                                <w:color w:val="FFFFFF" w:themeColor="background1"/>
                                <w:sz w:val="12"/>
                                <w:szCs w:val="12"/>
                              </w:rPr>
                            </w:pPr>
                          </w:p>
                          <w:p w14:paraId="04178AD0" w14:textId="77777777" w:rsidR="00FA41FC" w:rsidRDefault="00FA41FC"/>
                        </w:txbxContent>
                      </wps:txbx>
                      <wps:bodyPr rot="0" vert="horz" wrap="square" lIns="91440" tIns="45720" rIns="91440" bIns="45720" anchor="t" anchorCtr="0" upright="1">
                        <a:noAutofit/>
                      </wps:bodyPr>
                    </wps:wsp>
                  </a:graphicData>
                </a:graphic>
              </wp:anchor>
            </w:drawing>
          </mc:Choice>
          <mc:Fallback>
            <w:pict>
              <v:shape id="Caixa de texto 739657731" o:spid="_x0000_s1152" type="#_x0000_t202" style="position:absolute;left:0;text-align:left;margin-left:295.5pt;margin-top:6.9pt;width:155.1pt;height:78pt;z-index:251852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" fillcolor="#0070c0" strokecolor="#0070c0">
                <v:textbox>
                  <w:txbxContent>
                    <w:p w14:paraId="7118766D"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5284226A" w14:textId="77777777" w:rsidR="00FA41FC" w:rsidRDefault="00FA41FC">
                      <w:pPr>
                        <w:spacing w:after="0" w:line="240" w:lineRule="auto"/>
                        <w:jc w:val="center"/>
                        <w:rPr>
                          <w:rFonts w:ascii="Swis721 Th BT" w:hAnsi="Swis721 Th BT"/>
                          <w:bCs/>
                          <w:color w:val="FFFFFF" w:themeColor="background1"/>
                          <w:sz w:val="23"/>
                          <w:szCs w:val="23"/>
                        </w:rPr>
                      </w:pPr>
                    </w:p>
                    <w:p w14:paraId="32292F39"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14:paraId="71057B11" w14:textId="77777777" w:rsidR="00FA41FC" w:rsidRDefault="00FA41FC">
                      <w:pPr>
                        <w:spacing w:after="0" w:line="240" w:lineRule="auto"/>
                        <w:jc w:val="center"/>
                        <w:rPr>
                          <w:rFonts w:ascii="Swis721 Th BT" w:hAnsi="Swis721 Th BT"/>
                          <w:b/>
                          <w:color w:val="FFFFFF" w:themeColor="background1"/>
                          <w:sz w:val="12"/>
                          <w:szCs w:val="12"/>
                        </w:rPr>
                      </w:pPr>
                    </w:p>
                    <w:p w14:paraId="7A4F2173" w14:textId="77777777" w:rsidR="00FA41FC" w:rsidRDefault="00FA41FC">
                      <w:pPr>
                        <w:spacing w:after="0" w:line="240" w:lineRule="auto"/>
                        <w:jc w:val="center"/>
                        <w:rPr>
                          <w:rFonts w:ascii="Swis721 Th BT" w:hAnsi="Swis721 Th BT"/>
                          <w:b/>
                          <w:color w:val="FFFFFF" w:themeColor="background1"/>
                          <w:sz w:val="23"/>
                          <w:szCs w:val="23"/>
                        </w:rPr>
                      </w:pPr>
                    </w:p>
                    <w:p w14:paraId="48C336BB" w14:textId="77777777" w:rsidR="00FA41FC" w:rsidRDefault="00FA41FC">
                      <w:pPr>
                        <w:spacing w:after="0" w:line="240" w:lineRule="auto"/>
                        <w:jc w:val="center"/>
                        <w:rPr>
                          <w:rFonts w:ascii="Swis721 Th BT" w:hAnsi="Swis721 Th BT"/>
                          <w:b/>
                          <w:color w:val="FFFFFF" w:themeColor="background1"/>
                          <w:sz w:val="12"/>
                          <w:szCs w:val="12"/>
                        </w:rPr>
                      </w:pPr>
                    </w:p>
                    <w:p w14:paraId="04178AD0" w14:textId="77777777" w:rsidR="00FA41FC" w:rsidRDefault="00FA41FC"/>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851776" behindDoc="0" locked="0" layoutInCell="1" allowOverlap="1">
                <wp:simplePos x="0" y="0"/>
                <wp:positionH relativeFrom="column">
                  <wp:posOffset>-1905</wp:posOffset>
                </wp:positionH>
                <wp:positionV relativeFrom="paragraph">
                  <wp:posOffset>76835</wp:posOffset>
                </wp:positionV>
                <wp:extent cx="1915795" cy="1001395"/>
                <wp:effectExtent l="0" t="0" r="27305" b="27305"/>
                <wp:wrapNone/>
                <wp:docPr id="739657732" name="Caixa de texto 739657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885" cy="1001486"/>
                        </a:xfrm>
                        <a:prstGeom prst="rect">
                          <a:avLst/>
                        </a:prstGeom>
                        <a:solidFill>
                          <a:srgbClr val="0070C0"/>
                        </a:solidFill>
                        <a:ln w="9525">
                          <a:solidFill>
                            <a:srgbClr val="0070C0"/>
                          </a:solidFill>
                          <a:miter lim="800000"/>
                        </a:ln>
                      </wps:spPr>
                      <wps:txbx>
                        <w:txbxContent>
                          <w:p w14:paraId="74F5E3BF"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p>
                          <w:p w14:paraId="182F098E"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Licopeno</w:t>
                            </w:r>
                          </w:p>
                          <w:p w14:paraId="5F8E471A" w14:textId="77777777" w:rsidR="00FA41FC" w:rsidRDefault="00FA41FC">
                            <w:pPr>
                              <w:spacing w:after="0" w:line="240" w:lineRule="auto"/>
                              <w:jc w:val="center"/>
                              <w:rPr>
                                <w:rFonts w:ascii="Swis721 Th BT" w:hAnsi="Swis721 Th BT"/>
                                <w:b/>
                                <w:bCs/>
                                <w:iCs/>
                                <w:color w:val="FFFFFF" w:themeColor="background1"/>
                                <w:sz w:val="23"/>
                                <w:szCs w:val="23"/>
                              </w:rPr>
                            </w:pPr>
                            <w:r>
                              <w:rPr>
                                <w:rFonts w:ascii="Swis721 Th BT" w:hAnsi="Swis721 Th BT"/>
                                <w:bCs/>
                                <w:iCs/>
                                <w:color w:val="FFFFFF" w:themeColor="background1"/>
                                <w:sz w:val="23"/>
                                <w:szCs w:val="23"/>
                              </w:rPr>
                              <w:t>4 mg 2 vezes ao dia</w:t>
                            </w:r>
                          </w:p>
                          <w:p w14:paraId="704AAB53"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739657732" o:spid="_x0000_s1153" type="#_x0000_t202" style="position:absolute;left:0;text-align:left;margin-left:-.15pt;margin-top:6.05pt;width:150.85pt;height:78.85pt;z-index:251851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" fillcolor="#0070c0" strokecolor="#0070c0">
                <v:textbox>
                  <w:txbxContent>
                    <w:p w14:paraId="74F5E3BF"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p>
                    <w:p w14:paraId="182F098E"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Licopeno</w:t>
                      </w:r>
                    </w:p>
                    <w:p w14:paraId="5F8E471A" w14:textId="77777777" w:rsidR="00FA41FC" w:rsidRDefault="00FA41FC">
                      <w:pPr>
                        <w:spacing w:after="0" w:line="240" w:lineRule="auto"/>
                        <w:jc w:val="center"/>
                        <w:rPr>
                          <w:rFonts w:ascii="Swis721 Th BT" w:hAnsi="Swis721 Th BT"/>
                          <w:b/>
                          <w:bCs/>
                          <w:iCs/>
                          <w:color w:val="FFFFFF" w:themeColor="background1"/>
                          <w:sz w:val="23"/>
                          <w:szCs w:val="23"/>
                        </w:rPr>
                      </w:pPr>
                      <w:r>
                        <w:rPr>
                          <w:rFonts w:ascii="Swis721 Th BT" w:hAnsi="Swis721 Th BT"/>
                          <w:bCs/>
                          <w:iCs/>
                          <w:color w:val="FFFFFF" w:themeColor="background1"/>
                          <w:sz w:val="23"/>
                          <w:szCs w:val="23"/>
                        </w:rPr>
                        <w:t>4 mg 2 vezes ao dia</w:t>
                      </w:r>
                    </w:p>
                    <w:p w14:paraId="704AAB53"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p>
    <w:p w14:paraId="7B9B8B28" w14:textId="77777777" w:rsidR="00CD65C2" w:rsidRDefault="00CD65C2">
      <w:pPr>
        <w:pStyle w:val="Corpo"/>
        <w:rPr>
          <w:rFonts w:hint="eastAsia"/>
          <w:color w:val="404040" w:themeColor="text1" w:themeTint="BF"/>
        </w:rPr>
      </w:pPr>
    </w:p>
    <w:p w14:paraId="19366F0D" w14:textId="77777777" w:rsidR="00CD65C2" w:rsidRDefault="00CD65C2">
      <w:pPr>
        <w:pStyle w:val="Corpo"/>
        <w:rPr>
          <w:rFonts w:hint="eastAsia"/>
          <w:color w:val="404040" w:themeColor="text1" w:themeTint="BF"/>
        </w:rPr>
      </w:pPr>
    </w:p>
    <w:p w14:paraId="584F0064" w14:textId="77777777" w:rsidR="00CD65C2" w:rsidRDefault="00CD65C2">
      <w:pPr>
        <w:pStyle w:val="Corpo"/>
        <w:rPr>
          <w:rFonts w:hint="eastAsia"/>
          <w:color w:val="404040" w:themeColor="text1" w:themeTint="BF"/>
        </w:rPr>
      </w:pPr>
    </w:p>
    <w:p w14:paraId="69CEDEC8" w14:textId="77777777" w:rsidR="00CD65C2" w:rsidRDefault="00CD65C2">
      <w:pPr>
        <w:pStyle w:val="Corpo"/>
        <w:rPr>
          <w:rFonts w:hint="eastAsia"/>
          <w:color w:val="404040" w:themeColor="text1" w:themeTint="BF"/>
        </w:rPr>
      </w:pPr>
    </w:p>
    <w:p w14:paraId="4045926C" w14:textId="77777777" w:rsidR="00CD65C2" w:rsidRDefault="00CD65C2">
      <w:pPr>
        <w:pStyle w:val="Corpo"/>
        <w:rPr>
          <w:rFonts w:hint="eastAsia"/>
          <w:color w:val="404040" w:themeColor="text1" w:themeTint="BF"/>
        </w:rPr>
      </w:pPr>
    </w:p>
    <w:p w14:paraId="480F0510" w14:textId="77777777" w:rsidR="00CD65C2" w:rsidRDefault="00CD65C2">
      <w:pPr>
        <w:pStyle w:val="Corpo"/>
        <w:rPr>
          <w:rFonts w:hint="eastAsia"/>
          <w:color w:val="404040" w:themeColor="text1" w:themeTint="BF"/>
        </w:rPr>
      </w:pPr>
    </w:p>
    <w:p w14:paraId="034209C3" w14:textId="426FED26" w:rsidR="00CD65C2" w:rsidRDefault="00FA41FC">
      <w:pPr>
        <w:pStyle w:val="Corpo"/>
        <w:numPr>
          <w:ilvl w:val="0"/>
          <w:numId w:val="39"/>
        </w:numPr>
        <w:rPr>
          <w:rFonts w:hint="eastAsia"/>
          <w:color w:val="404040" w:themeColor="text1" w:themeTint="BF"/>
          <w:sz w:val="20"/>
          <w:szCs w:val="20"/>
        </w:rPr>
      </w:pPr>
      <w:r>
        <w:rPr>
          <w:color w:val="404040" w:themeColor="text1" w:themeTint="BF"/>
          <w:sz w:val="20"/>
          <w:szCs w:val="20"/>
        </w:rPr>
        <w:t>Níveis de licopeno, perfil lipídico, proteína C reativa de alta sensibilidade (PCR-as) e marcadores de renovação óssea (pró-peptídeo amino-terminal do colágeno tipo I [P1NP] e telopeptídeo C terminal do colágeno tipo I [</w:t>
      </w:r>
      <w:r>
        <w:rPr>
          <w:rFonts w:ascii="Calibri" w:hAnsi="Calibri" w:cs="Calibri"/>
          <w:color w:val="404040" w:themeColor="text1" w:themeTint="BF"/>
          <w:sz w:val="20"/>
          <w:szCs w:val="20"/>
        </w:rPr>
        <w:t>β</w:t>
      </w:r>
      <w:r>
        <w:rPr>
          <w:color w:val="404040" w:themeColor="text1" w:themeTint="BF"/>
          <w:sz w:val="20"/>
          <w:szCs w:val="20"/>
        </w:rPr>
        <w:t>-CTx]) foram medidos na linha de base e seis meses ap</w:t>
      </w:r>
      <w:r>
        <w:rPr>
          <w:rFonts w:cs="Swis721 Th BT"/>
          <w:color w:val="404040" w:themeColor="text1" w:themeTint="BF"/>
          <w:sz w:val="20"/>
          <w:szCs w:val="20"/>
        </w:rPr>
        <w:t>ó</w:t>
      </w:r>
      <w:r>
        <w:rPr>
          <w:color w:val="404040" w:themeColor="text1" w:themeTint="BF"/>
          <w:sz w:val="20"/>
          <w:szCs w:val="20"/>
        </w:rPr>
        <w:t>s a suplementa</w:t>
      </w:r>
      <w:r>
        <w:rPr>
          <w:rFonts w:cs="Swis721 Th BT"/>
          <w:color w:val="404040" w:themeColor="text1" w:themeTint="BF"/>
          <w:sz w:val="20"/>
          <w:szCs w:val="20"/>
        </w:rPr>
        <w:t>çã</w:t>
      </w:r>
      <w:r>
        <w:rPr>
          <w:color w:val="404040" w:themeColor="text1" w:themeTint="BF"/>
          <w:sz w:val="20"/>
          <w:szCs w:val="20"/>
        </w:rPr>
        <w:t>o com licopeno ou placebo.</w:t>
      </w:r>
    </w:p>
    <w:p w14:paraId="177D343E" w14:textId="77777777" w:rsidR="00CD65C2" w:rsidRDefault="00CD65C2">
      <w:pPr>
        <w:pStyle w:val="Corpo"/>
        <w:rPr>
          <w:rFonts w:hint="eastAsia"/>
          <w:color w:val="404040" w:themeColor="text1" w:themeTint="BF"/>
        </w:rPr>
      </w:pPr>
    </w:p>
    <w:p w14:paraId="3949DD0F"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61B24B35" w14:textId="77777777" w:rsidR="00CD65C2" w:rsidRDefault="00CD65C2">
      <w:pPr>
        <w:pStyle w:val="Corpo"/>
        <w:rPr>
          <w:rFonts w:hint="eastAsia"/>
          <w:color w:val="404040" w:themeColor="text1" w:themeTint="BF"/>
          <w:sz w:val="16"/>
          <w:szCs w:val="16"/>
        </w:rPr>
      </w:pPr>
    </w:p>
    <w:p w14:paraId="0FFC2A64" w14:textId="77777777" w:rsidR="00CD65C2" w:rsidRDefault="00FA41FC">
      <w:pPr>
        <w:pStyle w:val="PargrafodaLista"/>
        <w:numPr>
          <w:ilvl w:val="0"/>
          <w:numId w:val="37"/>
        </w:numPr>
        <w:rPr>
          <w:rFonts w:ascii="Swis721 Th BT" w:eastAsia="MS Mincho" w:hAnsi="Swis721 Th BT" w:hint="eastAsia"/>
          <w:bCs/>
          <w:color w:val="404040" w:themeColor="text1" w:themeTint="BF"/>
          <w:sz w:val="24"/>
          <w:szCs w:val="24"/>
        </w:rPr>
      </w:pPr>
      <w:r>
        <w:rPr>
          <w:rFonts w:ascii="Swis721 Th BT" w:eastAsia="MS Mincho" w:hAnsi="Swis721 Th BT"/>
          <w:bCs/>
          <w:color w:val="404040" w:themeColor="text1" w:themeTint="BF"/>
          <w:sz w:val="24"/>
          <w:szCs w:val="24"/>
        </w:rPr>
        <w:t xml:space="preserve">O grupo 1 apresentou aumento dos níveis de licopeno e P1NP, assim como uma queda não significativa nos níveis de </w:t>
      </w:r>
      <w:r>
        <w:rPr>
          <w:rFonts w:ascii="Calibri" w:eastAsia="MS Mincho" w:hAnsi="Calibri" w:cs="Calibri"/>
          <w:bCs/>
          <w:color w:val="404040" w:themeColor="text1" w:themeTint="BF"/>
          <w:sz w:val="24"/>
          <w:szCs w:val="24"/>
        </w:rPr>
        <w:t>β</w:t>
      </w:r>
      <w:r>
        <w:rPr>
          <w:rFonts w:ascii="Swis721 Th BT" w:eastAsia="MS Mincho" w:hAnsi="Swis721 Th BT"/>
          <w:bCs/>
          <w:color w:val="404040" w:themeColor="text1" w:themeTint="BF"/>
          <w:sz w:val="24"/>
          <w:szCs w:val="24"/>
        </w:rPr>
        <w:t>-CTx em mulheres saud</w:t>
      </w:r>
      <w:r>
        <w:rPr>
          <w:rFonts w:ascii="Swis721 Th BT" w:eastAsia="MS Mincho" w:hAnsi="Swis721 Th BT" w:cs="Swis721 Th BT"/>
          <w:bCs/>
          <w:color w:val="404040" w:themeColor="text1" w:themeTint="BF"/>
          <w:sz w:val="24"/>
          <w:szCs w:val="24"/>
        </w:rPr>
        <w:t>á</w:t>
      </w:r>
      <w:r>
        <w:rPr>
          <w:rFonts w:ascii="Swis721 Th BT" w:eastAsia="MS Mincho" w:hAnsi="Swis721 Th BT"/>
          <w:bCs/>
          <w:color w:val="404040" w:themeColor="text1" w:themeTint="BF"/>
          <w:sz w:val="24"/>
          <w:szCs w:val="24"/>
        </w:rPr>
        <w:t>veis na p</w:t>
      </w:r>
      <w:r>
        <w:rPr>
          <w:rFonts w:ascii="Swis721 Th BT" w:eastAsia="MS Mincho" w:hAnsi="Swis721 Th BT" w:cs="Swis721 Th BT"/>
          <w:bCs/>
          <w:color w:val="404040" w:themeColor="text1" w:themeTint="BF"/>
          <w:sz w:val="24"/>
          <w:szCs w:val="24"/>
        </w:rPr>
        <w:t>ó</w:t>
      </w:r>
      <w:r>
        <w:rPr>
          <w:rFonts w:ascii="Swis721 Th BT" w:eastAsia="MS Mincho" w:hAnsi="Swis721 Th BT"/>
          <w:bCs/>
          <w:color w:val="404040" w:themeColor="text1" w:themeTint="BF"/>
          <w:sz w:val="24"/>
          <w:szCs w:val="24"/>
        </w:rPr>
        <w:t>s-menopausa.</w:t>
      </w:r>
    </w:p>
    <w:p w14:paraId="57F2F4A6" w14:textId="77777777" w:rsidR="00CD65C2" w:rsidRDefault="00CD65C2">
      <w:pPr>
        <w:pStyle w:val="PargrafodaLista"/>
        <w:rPr>
          <w:sz w:val="24"/>
        </w:rPr>
      </w:pPr>
    </w:p>
    <w:p w14:paraId="1EA07899"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0D3F3577"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4CF2CC54" w14:textId="77777777" w:rsidR="00CD65C2" w:rsidRDefault="00FA41FC">
      <w:pPr>
        <w:pStyle w:val="Corpo"/>
        <w:jc w:val="center"/>
        <w:rPr>
          <w:rFonts w:hint="eastAsia"/>
          <w:b/>
          <w:i/>
          <w:color w:val="404040" w:themeColor="text1" w:themeTint="BF"/>
          <w:szCs w:val="23"/>
        </w:rPr>
      </w:pPr>
      <w:r>
        <w:rPr>
          <w:b/>
          <w:bCs/>
          <w:i/>
          <w:color w:val="404040" w:themeColor="text1" w:themeTint="BF"/>
          <w:szCs w:val="23"/>
        </w:rPr>
        <w:t>A suplementação de licopeno em mulheres na pós-menopausa pode conferir proteção contra a osteoporose, conforme demonstrado pela mudança direcional nos marcadores bioquímicos.</w:t>
      </w:r>
    </w:p>
    <w:p w14:paraId="1A0B072A" w14:textId="77777777" w:rsidR="00CD65C2" w:rsidRDefault="00CD65C2">
      <w:pPr>
        <w:pStyle w:val="Corpo"/>
        <w:spacing w:after="0"/>
        <w:rPr>
          <w:rFonts w:hint="eastAsia"/>
          <w:color w:val="404040" w:themeColor="text1" w:themeTint="BF"/>
          <w:sz w:val="24"/>
        </w:rPr>
      </w:pPr>
    </w:p>
    <w:p w14:paraId="341E8B3C" w14:textId="77777777" w:rsidR="00CD65C2" w:rsidRDefault="00CD65C2">
      <w:pPr>
        <w:pStyle w:val="Corpo"/>
        <w:spacing w:after="0"/>
        <w:rPr>
          <w:rFonts w:hint="eastAsia"/>
          <w:color w:val="404040" w:themeColor="text1" w:themeTint="BF"/>
          <w:sz w:val="24"/>
        </w:rPr>
      </w:pPr>
    </w:p>
    <w:p w14:paraId="12D04063" w14:textId="77777777" w:rsidR="00CD65C2" w:rsidRDefault="00CD65C2">
      <w:pPr>
        <w:pStyle w:val="Corpo"/>
        <w:spacing w:after="0"/>
        <w:rPr>
          <w:rFonts w:hint="eastAsia"/>
          <w:color w:val="404040" w:themeColor="text1" w:themeTint="BF"/>
          <w:sz w:val="24"/>
        </w:rPr>
      </w:pPr>
    </w:p>
    <w:p w14:paraId="5A42C34C" w14:textId="77777777" w:rsidR="00CD65C2" w:rsidRDefault="00FA41FC">
      <w:pPr>
        <w:pStyle w:val="Ttulo1"/>
        <w:jc w:val="center"/>
        <w:rPr>
          <w:rFonts w:hint="eastAsia"/>
        </w:rPr>
      </w:pPr>
      <w:bookmarkStart w:id="99" w:name="_Toc165537249"/>
      <w:r>
        <w:t>Formulário</w:t>
      </w:r>
      <w:bookmarkEnd w:id="99"/>
    </w:p>
    <w:p w14:paraId="4E4B1054" w14:textId="77777777" w:rsidR="00CD65C2" w:rsidRDefault="00CD65C2">
      <w:pPr>
        <w:pStyle w:val="Corpo"/>
        <w:rPr>
          <w:rFonts w:hint="eastAsia"/>
          <w:b/>
          <w:i/>
          <w:color w:val="404040" w:themeColor="text1" w:themeTint="BF"/>
        </w:rPr>
      </w:pPr>
    </w:p>
    <w:p w14:paraId="30BE3890" w14:textId="77777777" w:rsidR="00CD65C2" w:rsidRDefault="00CD65C2">
      <w:pPr>
        <w:pStyle w:val="Corpo"/>
        <w:rPr>
          <w:rFonts w:hint="eastAsia"/>
          <w:b/>
          <w:i/>
          <w:color w:val="404040" w:themeColor="text1" w:themeTint="BF"/>
        </w:rPr>
      </w:pPr>
    </w:p>
    <w:p w14:paraId="0C8CC22F" w14:textId="77777777" w:rsidR="00CD65C2" w:rsidRDefault="00FA41FC">
      <w:pPr>
        <w:pStyle w:val="Corpo"/>
        <w:rPr>
          <w:rFonts w:hint="eastAsia"/>
          <w:b/>
          <w:bCs/>
          <w:i/>
          <w:iCs/>
          <w:color w:val="404040" w:themeColor="text1" w:themeTint="BF"/>
          <w:sz w:val="24"/>
        </w:rPr>
      </w:pPr>
      <w:r>
        <w:rPr>
          <w:b/>
          <w:bCs/>
          <w:i/>
          <w:iCs/>
          <w:color w:val="404040" w:themeColor="text1" w:themeTint="BF"/>
          <w:sz w:val="24"/>
        </w:rPr>
        <w:t>Suplementação de Licopeno Previne a Osteoporose em Mulheres na Menopausa</w:t>
      </w:r>
    </w:p>
    <w:p w14:paraId="0F023EB3"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0713F79E"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642C004A" w14:textId="77777777" w:rsidR="00CD65C2" w:rsidRDefault="00FA41FC">
            <w:pPr>
              <w:pStyle w:val="Corpo"/>
              <w:jc w:val="center"/>
              <w:rPr>
                <w:rFonts w:hint="eastAsia"/>
                <w:b/>
                <w:color w:val="FFFFFF" w:themeColor="background1"/>
              </w:rPr>
            </w:pPr>
            <w:r>
              <w:rPr>
                <w:b/>
                <w:color w:val="FFFFFF" w:themeColor="background1"/>
                <w:sz w:val="22"/>
              </w:rPr>
              <w:t>Cápsulas de Licopeno</w:t>
            </w:r>
          </w:p>
        </w:tc>
      </w:tr>
      <w:tr w:rsidR="00CD65C2" w14:paraId="758A3111"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40F2EFC" w14:textId="77777777" w:rsidR="00CD65C2" w:rsidRDefault="00FA41FC">
            <w:pPr>
              <w:pStyle w:val="Corpo"/>
              <w:rPr>
                <w:rFonts w:hint="eastAsia"/>
                <w:color w:val="404040" w:themeColor="text1" w:themeTint="BF"/>
              </w:rPr>
            </w:pPr>
            <w:r>
              <w:rPr>
                <w:color w:val="404040" w:themeColor="text1" w:themeTint="BF"/>
              </w:rPr>
              <w:t>Licopeno.............................................4 mg</w:t>
            </w:r>
          </w:p>
        </w:tc>
      </w:tr>
      <w:tr w:rsidR="00CD65C2" w14:paraId="1AE3AAAF"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18949DE" w14:textId="5AE994AF" w:rsidR="00CD65C2" w:rsidRDefault="00FA41FC">
            <w:pPr>
              <w:pStyle w:val="Corpo"/>
              <w:rPr>
                <w:rFonts w:hint="eastAsia"/>
                <w:color w:val="404040" w:themeColor="text1" w:themeTint="BF"/>
              </w:rPr>
            </w:pPr>
            <w:r>
              <w:rPr>
                <w:color w:val="404040" w:themeColor="text1" w:themeTint="BF"/>
              </w:rPr>
              <w:t>Excipiente q.s.p. ........................1 Cápsula</w:t>
            </w:r>
          </w:p>
        </w:tc>
      </w:tr>
    </w:tbl>
    <w:p w14:paraId="2B17B7AB" w14:textId="4DF9DB29" w:rsidR="00CD65C2" w:rsidRDefault="00FA41FC">
      <w:pPr>
        <w:pStyle w:val="SemEspaamento"/>
        <w:ind w:right="4960"/>
        <w:jc w:val="center"/>
      </w:pPr>
      <w:r>
        <w:rPr>
          <w:rFonts w:ascii="Swis721 Th BT" w:eastAsia="MS Mincho" w:hAnsi="Swis721 Th BT"/>
          <w:color w:val="404040" w:themeColor="text1" w:themeTint="BF"/>
        </w:rPr>
        <w:t>Administrar 1 cápsula dus vezes ao dia ou conforme orientação médica.</w:t>
      </w:r>
    </w:p>
    <w:p w14:paraId="47EDE886" w14:textId="77777777" w:rsidR="00CD65C2" w:rsidRDefault="00CD65C2">
      <w:pPr>
        <w:pStyle w:val="SemEspaamento"/>
      </w:pPr>
    </w:p>
    <w:p w14:paraId="0CFE2883" w14:textId="77777777" w:rsidR="00CD65C2" w:rsidRDefault="00CD65C2">
      <w:pPr>
        <w:pStyle w:val="SemEspaamento"/>
      </w:pPr>
    </w:p>
    <w:p w14:paraId="0D64D62D" w14:textId="77777777" w:rsidR="00CD65C2" w:rsidRDefault="00CD65C2">
      <w:pPr>
        <w:pStyle w:val="SemEspaamento"/>
      </w:pPr>
    </w:p>
    <w:p w14:paraId="707932BE" w14:textId="77777777" w:rsidR="00CD65C2" w:rsidRDefault="00CD65C2">
      <w:pPr>
        <w:pStyle w:val="SemEspaamento"/>
      </w:pPr>
    </w:p>
    <w:p w14:paraId="749C9E47" w14:textId="77777777" w:rsidR="00CD65C2" w:rsidRDefault="00CD65C2">
      <w:pPr>
        <w:pStyle w:val="SemEspaamento"/>
      </w:pPr>
    </w:p>
    <w:p w14:paraId="3771025A" w14:textId="77777777" w:rsidR="00CD65C2" w:rsidRDefault="00CD65C2">
      <w:pPr>
        <w:pStyle w:val="SemEspaamento"/>
      </w:pPr>
    </w:p>
    <w:p w14:paraId="05741A94" w14:textId="77777777" w:rsidR="00CD65C2" w:rsidRDefault="00CD65C2">
      <w:pPr>
        <w:pStyle w:val="SemEspaamento"/>
      </w:pPr>
    </w:p>
    <w:p w14:paraId="522C581C" w14:textId="77777777" w:rsidR="00CD65C2" w:rsidRDefault="00CD65C2">
      <w:pPr>
        <w:pStyle w:val="SemEspaamento"/>
      </w:pPr>
    </w:p>
    <w:p w14:paraId="0A3D1ACB" w14:textId="77777777" w:rsidR="00CD65C2" w:rsidRDefault="00CD65C2">
      <w:pPr>
        <w:pStyle w:val="SemEspaamento"/>
      </w:pPr>
    </w:p>
    <w:p w14:paraId="65399172" w14:textId="77777777" w:rsidR="00CD65C2" w:rsidRDefault="00CD65C2">
      <w:pPr>
        <w:pStyle w:val="SemEspaamento"/>
      </w:pPr>
    </w:p>
    <w:p w14:paraId="6C8DA8FD" w14:textId="77777777" w:rsidR="00CD65C2" w:rsidRDefault="00CD65C2">
      <w:pPr>
        <w:pStyle w:val="SemEspaamento"/>
      </w:pPr>
    </w:p>
    <w:p w14:paraId="1198E54E" w14:textId="77777777" w:rsidR="00CD65C2" w:rsidRDefault="00CD65C2">
      <w:pPr>
        <w:pStyle w:val="SemEspaamento"/>
      </w:pPr>
    </w:p>
    <w:p w14:paraId="31A18A53" w14:textId="77777777" w:rsidR="00CD65C2" w:rsidRDefault="00CD65C2">
      <w:pPr>
        <w:pStyle w:val="SemEspaamento"/>
      </w:pPr>
    </w:p>
    <w:p w14:paraId="1D445358" w14:textId="77777777" w:rsidR="00CD65C2" w:rsidRDefault="00CD65C2">
      <w:pPr>
        <w:pStyle w:val="SemEspaamento"/>
      </w:pPr>
    </w:p>
    <w:p w14:paraId="613E0B7E" w14:textId="77777777" w:rsidR="00CD65C2" w:rsidRDefault="00CD65C2">
      <w:pPr>
        <w:pStyle w:val="SemEspaamento"/>
      </w:pPr>
    </w:p>
    <w:p w14:paraId="244BC747" w14:textId="77777777" w:rsidR="00CD65C2" w:rsidRDefault="00CD65C2">
      <w:pPr>
        <w:pStyle w:val="SemEspaamento"/>
      </w:pPr>
    </w:p>
    <w:p w14:paraId="0A28B4DB" w14:textId="77777777" w:rsidR="00CD65C2" w:rsidRDefault="00CD65C2">
      <w:pPr>
        <w:pStyle w:val="SemEspaamento"/>
      </w:pPr>
    </w:p>
    <w:p w14:paraId="56AEE2AA" w14:textId="77777777" w:rsidR="00CD65C2" w:rsidRDefault="00CD65C2">
      <w:pPr>
        <w:pStyle w:val="SemEspaamento"/>
      </w:pPr>
    </w:p>
    <w:p w14:paraId="0E3A7AF0" w14:textId="77777777" w:rsidR="00CD65C2" w:rsidRDefault="00CD65C2">
      <w:pPr>
        <w:pStyle w:val="SemEspaamento"/>
      </w:pPr>
    </w:p>
    <w:p w14:paraId="748B013B" w14:textId="77777777" w:rsidR="00CD65C2" w:rsidRDefault="00CD65C2">
      <w:pPr>
        <w:pStyle w:val="SemEspaamento"/>
      </w:pPr>
    </w:p>
    <w:p w14:paraId="13BB2F8B" w14:textId="77777777" w:rsidR="00CD65C2" w:rsidRDefault="00CD65C2">
      <w:pPr>
        <w:pStyle w:val="SemEspaamento"/>
      </w:pPr>
    </w:p>
    <w:p w14:paraId="0F1BABC2" w14:textId="77777777" w:rsidR="00CD65C2" w:rsidRDefault="00CD65C2">
      <w:pPr>
        <w:pStyle w:val="SemEspaamento"/>
      </w:pPr>
    </w:p>
    <w:p w14:paraId="3398F729" w14:textId="77777777" w:rsidR="00CD65C2" w:rsidRDefault="00CD65C2">
      <w:pPr>
        <w:pStyle w:val="SemEspaamento"/>
      </w:pPr>
    </w:p>
    <w:p w14:paraId="0E4EB6E4" w14:textId="77777777" w:rsidR="00CD65C2" w:rsidRDefault="00CD65C2">
      <w:pPr>
        <w:pStyle w:val="SemEspaamento"/>
      </w:pPr>
    </w:p>
    <w:p w14:paraId="7CCAF7E1" w14:textId="77777777" w:rsidR="00CD65C2" w:rsidRDefault="00CD65C2">
      <w:pPr>
        <w:pStyle w:val="SemEspaamento"/>
      </w:pPr>
    </w:p>
    <w:p w14:paraId="119475A4" w14:textId="77777777" w:rsidR="00CD65C2" w:rsidRDefault="00CD65C2">
      <w:pPr>
        <w:pStyle w:val="SemEspaamento"/>
      </w:pPr>
    </w:p>
    <w:p w14:paraId="0771D4A5" w14:textId="77777777" w:rsidR="00CD65C2" w:rsidRDefault="00CD65C2">
      <w:pPr>
        <w:pStyle w:val="SemEspaamento"/>
      </w:pPr>
    </w:p>
    <w:p w14:paraId="34F77D08" w14:textId="77777777" w:rsidR="00CD65C2" w:rsidRDefault="00CD65C2">
      <w:pPr>
        <w:pStyle w:val="SemEspaamento"/>
      </w:pPr>
    </w:p>
    <w:p w14:paraId="15847380" w14:textId="77777777" w:rsidR="00CD65C2" w:rsidRDefault="00CD65C2">
      <w:pPr>
        <w:pStyle w:val="SemEspaamento"/>
      </w:pPr>
    </w:p>
    <w:p w14:paraId="154FB5F1" w14:textId="77777777" w:rsidR="00CD65C2" w:rsidRDefault="00CD65C2">
      <w:pPr>
        <w:pStyle w:val="SemEspaamento"/>
      </w:pPr>
    </w:p>
    <w:p w14:paraId="2E039A1F" w14:textId="77777777" w:rsidR="00CD65C2" w:rsidRDefault="00CD65C2">
      <w:pPr>
        <w:pStyle w:val="SemEspaamento"/>
      </w:pPr>
    </w:p>
    <w:p w14:paraId="5B3C5A3F" w14:textId="77777777" w:rsidR="00CD65C2" w:rsidRDefault="00CD65C2">
      <w:pPr>
        <w:pStyle w:val="SemEspaamento"/>
      </w:pPr>
    </w:p>
    <w:p w14:paraId="355F0B90" w14:textId="77777777" w:rsidR="00CD65C2" w:rsidRDefault="00FA41FC">
      <w:pPr>
        <w:pStyle w:val="Ttulo1"/>
        <w:jc w:val="center"/>
        <w:rPr>
          <w:rFonts w:hint="eastAsia"/>
        </w:rPr>
      </w:pPr>
      <w:bookmarkStart w:id="100" w:name="_Toc165537250"/>
      <w:r>
        <w:rPr>
          <w:bCs/>
          <w:iCs/>
        </w:rPr>
        <w:t>Tocotrienóis</w:t>
      </w:r>
      <w:bookmarkEnd w:id="100"/>
    </w:p>
    <w:p w14:paraId="1A4B63A3" w14:textId="77777777" w:rsidR="00CD65C2" w:rsidRPr="00D1428E" w:rsidRDefault="00FA41FC">
      <w:pPr>
        <w:pStyle w:val="Corpo"/>
        <w:spacing w:after="120"/>
        <w:jc w:val="center"/>
        <w:rPr>
          <w:rFonts w:hint="eastAsia"/>
          <w:color w:val="0070C0"/>
          <w:sz w:val="24"/>
        </w:rPr>
      </w:pPr>
      <w:r w:rsidRPr="00D1428E">
        <w:rPr>
          <w:b/>
          <w:color w:val="0070C0"/>
          <w:sz w:val="40"/>
          <w:szCs w:val="22"/>
        </w:rPr>
        <w:t>São Eficazes na Saúde Óssea na Pós-Menopausa</w:t>
      </w:r>
    </w:p>
    <w:p w14:paraId="593A3343" w14:textId="77777777" w:rsidR="00CD65C2" w:rsidRDefault="00CD65C2">
      <w:pPr>
        <w:pStyle w:val="Corpo"/>
        <w:spacing w:after="120"/>
        <w:rPr>
          <w:rFonts w:hint="eastAsia"/>
          <w:color w:val="404040" w:themeColor="text1" w:themeTint="BF"/>
          <w:sz w:val="24"/>
        </w:rPr>
      </w:pPr>
    </w:p>
    <w:p w14:paraId="28CD8362" w14:textId="7345CD18" w:rsidR="00CD65C2" w:rsidRDefault="00FA41FC">
      <w:pPr>
        <w:pStyle w:val="Corpo"/>
        <w:spacing w:after="120"/>
        <w:rPr>
          <w:rFonts w:hint="eastAsia"/>
          <w:color w:val="404040" w:themeColor="text1" w:themeTint="BF"/>
          <w:sz w:val="24"/>
        </w:rPr>
      </w:pPr>
      <w:r>
        <w:rPr>
          <w:color w:val="404040" w:themeColor="text1" w:themeTint="BF"/>
          <w:sz w:val="24"/>
        </w:rPr>
        <w:t xml:space="preserve">Este estudo teve como objetivo avaliar os efeitos da suplementação de tocotrienóis nos marcadores ósseos (fosfatase alcalina específica do osso sérica (BALP), telopeptídeo N-terminal da urina [NTX], ligante do receptor do ativador do fator nuclear Kappa B solúvel [sRANKL] e osteoprotegerina sérica [OPG]), cálcio na urina e um biomarcador de estresse oxidativo (8-hidroxi-2'-desoxiguanosina [8-OHdG]) em mulheres na pós-menopausa com osteopenia </w:t>
      </w:r>
      <w:r>
        <w:rPr>
          <w:color w:val="404040" w:themeColor="text1" w:themeTint="BF"/>
          <w:sz w:val="24"/>
        </w:rPr>
        <w:fldChar w:fldCharType="begin">
          <w:fldData xml:space="preserve">PEVuZE5vdGU+PENpdGU+PEF1dGhvcj5TaGVuPC9BdXRob3I+PFllYXI+MjAxODwvWWVhcj48SURU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</w:fldData>
        </w:fldChar>
      </w:r>
      <w:r>
        <w:rPr>
          <w:color w:val="404040" w:themeColor="text1" w:themeTint="BF"/>
          <w:sz w:val="24"/>
        </w:rPr>
        <w:instrText xml:space="preserve"> ADDIN EN.CITE </w:instrText>
      </w:r>
      <w:r>
        <w:rPr>
          <w:color w:val="404040" w:themeColor="text1" w:themeTint="BF"/>
          <w:sz w:val="24"/>
        </w:rPr>
        <w:fldChar w:fldCharType="begin">
          <w:fldData xml:space="preserve">PEVuZE5vdGU+PENpdGU+PEF1dGhvcj5TaGVuPC9BdXRob3I+PFllYXI+MjAxODwvWWVhcj48SURU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</w:fldData>
        </w:fldChar>
      </w:r>
      <w:r>
        <w:rPr>
          <w:color w:val="404040" w:themeColor="text1" w:themeTint="BF"/>
          <w:sz w:val="24"/>
        </w:rPr>
        <w:instrText xml:space="preserve"> ADDIN EN.CITE.DATA </w:instrText>
      </w:r>
      <w:r>
        <w:rPr>
          <w:color w:val="404040" w:themeColor="text1" w:themeTint="BF"/>
          <w:sz w:val="24"/>
        </w:rPr>
      </w:r>
      <w:r>
        <w:rPr>
          <w:color w:val="404040" w:themeColor="text1" w:themeTint="BF"/>
          <w:sz w:val="24"/>
        </w:rPr>
        <w:fldChar w:fldCharType="end"/>
      </w:r>
      <w:r>
        <w:rPr>
          <w:color w:val="404040" w:themeColor="text1" w:themeTint="BF"/>
          <w:sz w:val="24"/>
        </w:rPr>
      </w:r>
      <w:r>
        <w:rPr>
          <w:color w:val="404040" w:themeColor="text1" w:themeTint="BF"/>
          <w:sz w:val="24"/>
        </w:rPr>
        <w:fldChar w:fldCharType="separate"/>
      </w:r>
      <w:r>
        <w:rPr>
          <w:color w:val="404040" w:themeColor="text1" w:themeTint="BF"/>
          <w:sz w:val="24"/>
        </w:rPr>
        <w:t>(SHEN; YANG; TOMISON; ROMERO</w:t>
      </w:r>
      <w:r>
        <w:rPr>
          <w:i/>
          <w:color w:val="404040" w:themeColor="text1" w:themeTint="BF"/>
          <w:sz w:val="24"/>
        </w:rPr>
        <w:t xml:space="preserve"> et al.</w:t>
      </w:r>
      <w:r>
        <w:rPr>
          <w:color w:val="404040" w:themeColor="text1" w:themeTint="BF"/>
          <w:sz w:val="24"/>
        </w:rPr>
        <w:t>, 2018)</w:t>
      </w:r>
      <w:r>
        <w:rPr>
          <w:color w:val="404040" w:themeColor="text1" w:themeTint="BF"/>
          <w:sz w:val="24"/>
        </w:rPr>
        <w:fldChar w:fldCharType="end"/>
      </w:r>
      <w:r>
        <w:rPr>
          <w:color w:val="404040" w:themeColor="text1" w:themeTint="BF"/>
          <w:sz w:val="24"/>
        </w:rPr>
        <w:t>.</w:t>
      </w:r>
      <w:r>
        <w:rPr>
          <w:color w:val="404040" w:themeColor="text1" w:themeTint="BF"/>
        </w:rPr>
        <w:t xml:space="preserve"> </w:t>
      </w:r>
    </w:p>
    <w:p w14:paraId="6F360B9C"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56896" behindDoc="0" locked="0" layoutInCell="1" allowOverlap="1">
                <wp:simplePos x="0" y="0"/>
                <wp:positionH relativeFrom="margin">
                  <wp:align>right</wp:align>
                </wp:positionH>
                <wp:positionV relativeFrom="paragraph">
                  <wp:posOffset>96520</wp:posOffset>
                </wp:positionV>
                <wp:extent cx="5743575" cy="518160"/>
                <wp:effectExtent l="0" t="0" r="28575" b="15240"/>
                <wp:wrapNone/>
                <wp:docPr id="739657742" name="Caixa de texto 739657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0070C0"/>
                          </a:solidFill>
                          <a:miter lim="800000"/>
                        </a:ln>
                      </wps:spPr>
                      <wps:txbx>
                        <w:txbxContent>
                          <w:p w14:paraId="3FD80D70" w14:textId="77777777" w:rsidR="00FA41FC" w:rsidRDefault="00FA41FC">
                            <w:pPr>
                              <w:jc w:val="center"/>
                              <w:rPr>
                                <w:rFonts w:ascii="Swis721 Th BT" w:hAnsi="Swis721 Th BT"/>
                                <w:sz w:val="23"/>
                                <w:szCs w:val="23"/>
                              </w:rPr>
                            </w:pPr>
                            <w:r>
                              <w:rPr>
                                <w:rFonts w:ascii="Swis721 Th BT" w:hAnsi="Swis721 Th BT"/>
                                <w:sz w:val="23"/>
                                <w:szCs w:val="23"/>
                              </w:rPr>
                              <w:t>Para isso, 89 mulheres (59,7 ± 6,8 anos, IMC 28,7 ± 5,7 kg/m</w:t>
                            </w:r>
                            <w:r>
                              <w:rPr>
                                <w:rFonts w:ascii="Swis721 Th BT" w:hAnsi="Swis721 Th BT"/>
                                <w:sz w:val="23"/>
                                <w:szCs w:val="23"/>
                                <w:vertAlign w:val="superscript"/>
                              </w:rPr>
                              <w:t>2</w:t>
                            </w:r>
                            <w:r>
                              <w:rPr>
                                <w:rFonts w:ascii="Swis721 Th BT" w:hAnsi="Swis721 Th BT"/>
                                <w:sz w:val="23"/>
                                <w:szCs w:val="23"/>
                              </w:rPr>
                              <w:t>) osteopênicas na pós-menopausa foram selecionadas para receberem:</w:t>
                            </w:r>
                          </w:p>
                        </w:txbxContent>
                      </wps:txbx>
                      <wps:bodyPr rot="0" vert="horz" wrap="square" lIns="91440" tIns="45720" rIns="91440" bIns="45720" anchor="t" anchorCtr="0" upright="1">
                        <a:noAutofit/>
                      </wps:bodyPr>
                    </wps:wsp>
                  </a:graphicData>
                </a:graphic>
              </wp:anchor>
            </w:drawing>
          </mc:Choice>
          <mc:Fallback>
            <w:pict>
              <v:shape id="Caixa de texto 739657742" o:spid="_x0000_s1154" type="#_x0000_t202" style="position:absolute;left:0;text-align:left;margin-left:401.05pt;margin-top:7.6pt;width:452.25pt;height:40.8pt;z-index:25185689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" fillcolor="white [3212]" strokecolor="#0070c0">
                <v:textbox>
                  <w:txbxContent>
                    <w:p w14:paraId="3FD80D70" w14:textId="77777777" w:rsidR="00FA41FC" w:rsidRDefault="00FA41FC">
                      <w:pPr>
                        <w:jc w:val="center"/>
                        <w:rPr>
                          <w:rFonts w:ascii="Swis721 Th BT" w:hAnsi="Swis721 Th BT"/>
                          <w:sz w:val="23"/>
                          <w:szCs w:val="23"/>
                        </w:rPr>
                      </w:pPr>
                      <w:r>
                        <w:rPr>
                          <w:rFonts w:ascii="Swis721 Th BT" w:hAnsi="Swis721 Th BT"/>
                          <w:sz w:val="23"/>
                          <w:szCs w:val="23"/>
                        </w:rPr>
                        <w:t>Para isso, 89 mulheres (59,7 ± 6,8 anos, IMC 28,7 ± 5,7 kg/m</w:t>
                      </w:r>
                      <w:r>
                        <w:rPr>
                          <w:rFonts w:ascii="Swis721 Th BT" w:hAnsi="Swis721 Th BT"/>
                          <w:sz w:val="23"/>
                          <w:szCs w:val="23"/>
                          <w:vertAlign w:val="superscript"/>
                        </w:rPr>
                        <w:t>2</w:t>
                      </w:r>
                      <w:r>
                        <w:rPr>
                          <w:rFonts w:ascii="Swis721 Th BT" w:hAnsi="Swis721 Th BT"/>
                          <w:sz w:val="23"/>
                          <w:szCs w:val="23"/>
                        </w:rPr>
                        <w:t>) osteopênicas na pós-menopausa foram selecionadas para receberem:</w:t>
                      </w:r>
                    </w:p>
                  </w:txbxContent>
                </v:textbox>
                <w10:wrap anchorx="margin"/>
              </v:shape>
            </w:pict>
          </mc:Fallback>
        </mc:AlternateContent>
      </w:r>
      <w:r>
        <w:rPr>
          <w:color w:val="404040" w:themeColor="text1" w:themeTint="BF"/>
          <w:sz w:val="24"/>
        </w:rPr>
        <w:br/>
      </w:r>
    </w:p>
    <w:p w14:paraId="5E88615F" w14:textId="77777777" w:rsidR="00CD65C2" w:rsidRDefault="00CD65C2">
      <w:pPr>
        <w:pStyle w:val="Corpo"/>
        <w:rPr>
          <w:rFonts w:hint="eastAsia"/>
          <w:color w:val="404040" w:themeColor="text1" w:themeTint="BF"/>
        </w:rPr>
      </w:pPr>
    </w:p>
    <w:p w14:paraId="40A45858" w14:textId="58B2DAFE"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862016" behindDoc="0" locked="0" layoutInCell="1" allowOverlap="1" wp14:editId="128DC8B7">
                <wp:simplePos x="0" y="0"/>
                <wp:positionH relativeFrom="margin">
                  <wp:posOffset>4067175</wp:posOffset>
                </wp:positionH>
                <wp:positionV relativeFrom="paragraph">
                  <wp:posOffset>213360</wp:posOffset>
                </wp:positionV>
                <wp:extent cx="1666875" cy="781685"/>
                <wp:effectExtent l="0" t="0" r="28575" b="18415"/>
                <wp:wrapNone/>
                <wp:docPr id="739657744" name="Caixa de texto 7396577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781685"/>
                        </a:xfrm>
                        <a:prstGeom prst="rect">
                          <a:avLst/>
                        </a:prstGeom>
                        <a:solidFill>
                          <a:srgbClr val="0070C0"/>
                        </a:solidFill>
                        <a:ln w="9525">
                          <a:solidFill>
                            <a:srgbClr val="0070C0"/>
                          </a:solidFill>
                          <a:miter lim="800000"/>
                        </a:ln>
                      </wps:spPr>
                      <wps:txbx>
                        <w:txbxContent>
                          <w:p w14:paraId="10BA37C4"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3</w:t>
                            </w:r>
                            <w:r>
                              <w:rPr>
                                <w:rFonts w:ascii="Swis721 Th BT" w:hAnsi="Swis721 Th BT"/>
                                <w:b/>
                                <w:color w:val="FFFFFF" w:themeColor="background1"/>
                                <w:sz w:val="23"/>
                                <w:szCs w:val="23"/>
                              </w:rPr>
                              <w:br/>
                            </w:r>
                            <w:r>
                              <w:rPr>
                                <w:rFonts w:ascii="Swis721 Th BT" w:hAnsi="Swis721 Th BT"/>
                                <w:color w:val="FFFFFF" w:themeColor="background1"/>
                                <w:sz w:val="23"/>
                                <w:szCs w:val="23"/>
                              </w:rPr>
                              <w:t>Tocotrienóis</w:t>
                            </w:r>
                          </w:p>
                          <w:p w14:paraId="52FA1459"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860 mg ao dia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739657744" o:spid="_x0000_s1155" type="#_x0000_t202" style="position:absolute;left:0;text-align:left;margin-left:320.25pt;margin-top:16.8pt;width:131.25pt;height:61.55pt;z-index:2518620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" fillcolor="#0070c0" strokecolor="#0070c0">
                <v:textbox>
                  <w:txbxContent>
                    <w:p w14:paraId="10BA37C4"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3</w:t>
                      </w:r>
                      <w:r>
                        <w:rPr>
                          <w:rFonts w:ascii="Swis721 Th BT" w:hAnsi="Swis721 Th BT"/>
                          <w:b/>
                          <w:color w:val="FFFFFF" w:themeColor="background1"/>
                          <w:sz w:val="23"/>
                          <w:szCs w:val="23"/>
                        </w:rPr>
                        <w:br/>
                      </w:r>
                      <w:r>
                        <w:rPr>
                          <w:rFonts w:ascii="Swis721 Th BT" w:hAnsi="Swis721 Th BT"/>
                          <w:color w:val="FFFFFF" w:themeColor="background1"/>
                          <w:sz w:val="23"/>
                          <w:szCs w:val="23"/>
                        </w:rPr>
                        <w:t>Tocotrienóis</w:t>
                      </w:r>
                    </w:p>
                    <w:p w14:paraId="52FA1459"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860 mg ao dia</w:t>
                      </w:r>
                      <w:r>
                        <w:rPr>
                          <w:rFonts w:ascii="Swis721 Th BT" w:hAnsi="Swis721 Th BT"/>
                          <w:color w:val="FFFFFF" w:themeColor="background1"/>
                          <w:szCs w:val="23"/>
                        </w:rPr>
                        <w:t xml:space="preserve"> </w:t>
                      </w:r>
                    </w:p>
                  </w:txbxContent>
                </v:textbox>
                <w10:wrap anchorx="margin"/>
              </v:shape>
            </w:pict>
          </mc:Fallback>
        </mc:AlternateContent>
      </w:r>
    </w:p>
    <w:p w14:paraId="5EEB725F"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859968" behindDoc="0" locked="0" layoutInCell="1" allowOverlap="1">
                <wp:simplePos x="0" y="0"/>
                <wp:positionH relativeFrom="margin">
                  <wp:posOffset>2038350</wp:posOffset>
                </wp:positionH>
                <wp:positionV relativeFrom="paragraph">
                  <wp:posOffset>18415</wp:posOffset>
                </wp:positionV>
                <wp:extent cx="1666875" cy="781685"/>
                <wp:effectExtent l="0" t="0" r="28575" b="18415"/>
                <wp:wrapNone/>
                <wp:docPr id="739657747" name="Caixa de texto 7396577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781685"/>
                        </a:xfrm>
                        <a:prstGeom prst="rect">
                          <a:avLst/>
                        </a:prstGeom>
                        <a:solidFill>
                          <a:srgbClr val="0070C0"/>
                        </a:solidFill>
                        <a:ln w="9525">
                          <a:solidFill>
                            <a:srgbClr val="0070C0"/>
                          </a:solidFill>
                          <a:miter lim="800000"/>
                        </a:ln>
                      </wps:spPr>
                      <wps:txbx>
                        <w:txbxContent>
                          <w:p w14:paraId="24A55B98"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Tocotrienóis</w:t>
                            </w:r>
                          </w:p>
                          <w:p w14:paraId="76B7A9C3"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430 mg ao dia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739657747" o:spid="_x0000_s1156" type="#_x0000_t202" style="position:absolute;left:0;text-align:left;margin-left:160.5pt;margin-top:1.45pt;width:131.25pt;height:61.55pt;z-index:2518599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" fillcolor="#0070c0" strokecolor="#0070c0">
                <v:textbox>
                  <w:txbxContent>
                    <w:p w14:paraId="24A55B98"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Tocotrienóis</w:t>
                      </w:r>
                    </w:p>
                    <w:p w14:paraId="76B7A9C3"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430 mg ao dia</w:t>
                      </w:r>
                      <w:r>
                        <w:rPr>
                          <w:rFonts w:ascii="Swis721 Th BT" w:hAnsi="Swis721 Th BT"/>
                          <w:color w:val="FFFFFF" w:themeColor="background1"/>
                          <w:szCs w:val="23"/>
                        </w:rPr>
                        <w:t xml:space="preserve"> </w:t>
                      </w:r>
                    </w:p>
                  </w:txbxContent>
                </v:textbox>
                <w10:wrap anchorx="margin"/>
              </v:shape>
            </w:pict>
          </mc:Fallback>
        </mc:AlternateContent>
      </w:r>
      <w:r>
        <w:rPr>
          <w:noProof/>
          <w:color w:val="404040" w:themeColor="text1" w:themeTint="BF"/>
          <w:lang w:eastAsia="pt-BR"/>
        </w:rPr>
        <mc:AlternateContent>
          <mc:Choice Requires="wps">
            <w:drawing>
              <wp:anchor distT="0" distB="0" distL="114300" distR="114300" simplePos="0" relativeHeight="251857920" behindDoc="0" locked="0" layoutInCell="1" allowOverlap="1">
                <wp:simplePos x="0" y="0"/>
                <wp:positionH relativeFrom="margin">
                  <wp:align>left</wp:align>
                </wp:positionH>
                <wp:positionV relativeFrom="paragraph">
                  <wp:posOffset>22860</wp:posOffset>
                </wp:positionV>
                <wp:extent cx="1666875" cy="781685"/>
                <wp:effectExtent l="0" t="0" r="28575" b="18415"/>
                <wp:wrapNone/>
                <wp:docPr id="739657748" name="Caixa de texto 739657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781685"/>
                        </a:xfrm>
                        <a:prstGeom prst="rect">
                          <a:avLst/>
                        </a:prstGeom>
                        <a:solidFill>
                          <a:srgbClr val="0070C0"/>
                        </a:solidFill>
                        <a:ln w="9525">
                          <a:solidFill>
                            <a:srgbClr val="0070C0"/>
                          </a:solidFill>
                          <a:miter lim="800000"/>
                        </a:ln>
                      </wps:spPr>
                      <wps:txbx>
                        <w:txbxContent>
                          <w:p w14:paraId="64A7D2AD"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739657748" o:spid="_x0000_s1157" type="#_x0000_t202" style="position:absolute;left:0;text-align:left;margin-left:0;margin-top:1.8pt;width:131.25pt;height:61.55pt;z-index:25185792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" fillcolor="#0070c0" strokecolor="#0070c0">
                <v:textbox>
                  <w:txbxContent>
                    <w:p w14:paraId="64A7D2AD"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v:textbox>
                <w10:wrap anchorx="margin"/>
              </v:shape>
            </w:pict>
          </mc:Fallback>
        </mc:AlternateContent>
      </w:r>
    </w:p>
    <w:p w14:paraId="154A1C9A" w14:textId="77777777" w:rsidR="00CD65C2" w:rsidRDefault="00CD65C2">
      <w:pPr>
        <w:pStyle w:val="Corpo"/>
        <w:rPr>
          <w:rFonts w:hint="eastAsia"/>
          <w:color w:val="404040" w:themeColor="text1" w:themeTint="BF"/>
        </w:rPr>
      </w:pPr>
    </w:p>
    <w:p w14:paraId="57380D0C" w14:textId="77777777" w:rsidR="00CD65C2" w:rsidRDefault="00CD65C2">
      <w:pPr>
        <w:pStyle w:val="Corpo"/>
        <w:rPr>
          <w:rFonts w:hint="eastAsia"/>
          <w:color w:val="404040" w:themeColor="text1" w:themeTint="BF"/>
        </w:rPr>
      </w:pPr>
    </w:p>
    <w:p w14:paraId="1C595BAE" w14:textId="77777777" w:rsidR="00CD65C2" w:rsidRDefault="00CD65C2">
      <w:pPr>
        <w:pStyle w:val="Corpo"/>
        <w:spacing w:before="120"/>
        <w:rPr>
          <w:rFonts w:hint="eastAsia"/>
          <w:color w:val="404040" w:themeColor="text1" w:themeTint="BF"/>
          <w:sz w:val="20"/>
        </w:rPr>
      </w:pPr>
    </w:p>
    <w:p w14:paraId="2B1EDF47" w14:textId="0F0D351E" w:rsidR="00CD65C2" w:rsidRDefault="00FA41FC">
      <w:pPr>
        <w:pStyle w:val="Corpo"/>
        <w:numPr>
          <w:ilvl w:val="0"/>
          <w:numId w:val="4"/>
        </w:numPr>
        <w:spacing w:before="120" w:after="0"/>
        <w:ind w:left="360"/>
        <w:rPr>
          <w:rFonts w:hint="eastAsia"/>
          <w:color w:val="404040" w:themeColor="text1" w:themeTint="BF"/>
          <w:sz w:val="20"/>
          <w:szCs w:val="23"/>
        </w:rPr>
      </w:pPr>
      <w:r>
        <w:rPr>
          <w:color w:val="404040" w:themeColor="text1" w:themeTint="BF"/>
          <w:sz w:val="20"/>
          <w:szCs w:val="23"/>
        </w:rPr>
        <w:t>Amostras de sangue e urina em jejum noturno foram coletadas no início do estudo, 6 e 12 semanas para análises de biomarcadores.</w:t>
      </w:r>
    </w:p>
    <w:p w14:paraId="5A68820E" w14:textId="77777777" w:rsidR="00CD65C2" w:rsidRDefault="00CD65C2">
      <w:pPr>
        <w:pStyle w:val="Corpo"/>
        <w:spacing w:after="120"/>
        <w:rPr>
          <w:rFonts w:hint="eastAsia"/>
          <w:color w:val="404040" w:themeColor="text1" w:themeTint="BF"/>
        </w:rPr>
      </w:pPr>
    </w:p>
    <w:p w14:paraId="76523610"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4AF101FE" w14:textId="77777777" w:rsidR="00CD65C2" w:rsidRDefault="00FA41FC">
      <w:pPr>
        <w:pStyle w:val="PargrafodaLista"/>
        <w:numPr>
          <w:ilvl w:val="0"/>
          <w:numId w:val="37"/>
        </w:numPr>
        <w:rPr>
          <w:rFonts w:ascii="Swis721 Th BT" w:eastAsia="MS Mincho" w:hAnsi="Swis721 Th BT" w:hint="eastAsia"/>
          <w:bCs/>
          <w:color w:val="404040" w:themeColor="text1" w:themeTint="BF"/>
          <w:sz w:val="24"/>
          <w:szCs w:val="24"/>
        </w:rPr>
      </w:pPr>
      <w:r>
        <w:rPr>
          <w:rFonts w:ascii="Swis721 Th BT" w:eastAsia="MS Mincho" w:hAnsi="Swis721 Th BT"/>
          <w:bCs/>
          <w:color w:val="404040" w:themeColor="text1" w:themeTint="BF"/>
          <w:sz w:val="24"/>
          <w:szCs w:val="24"/>
        </w:rPr>
        <w:t>Em relação ao grupo de placebo, houve diminuições marginais no nível de BALP sérico nos grupos suplementados com tocotrienóis durante o período de estudo de 12 semanas;</w:t>
      </w:r>
    </w:p>
    <w:p w14:paraId="1AE6429F" w14:textId="77777777" w:rsidR="00CD65C2" w:rsidRDefault="00FA41FC">
      <w:pPr>
        <w:pStyle w:val="PargrafodaLista"/>
        <w:numPr>
          <w:ilvl w:val="0"/>
          <w:numId w:val="37"/>
        </w:numPr>
        <w:rPr>
          <w:rFonts w:ascii="Swis721 Th BT" w:eastAsia="MS Mincho" w:hAnsi="Swis721 Th BT" w:hint="eastAsia"/>
          <w:bCs/>
          <w:color w:val="404040" w:themeColor="text1" w:themeTint="BF"/>
          <w:sz w:val="24"/>
          <w:szCs w:val="24"/>
        </w:rPr>
      </w:pPr>
      <w:r>
        <w:rPr>
          <w:rFonts w:ascii="Swis721 Th BT" w:eastAsia="MS Mincho" w:hAnsi="Swis721 Th BT"/>
          <w:bCs/>
          <w:color w:val="404040" w:themeColor="text1" w:themeTint="BF"/>
          <w:sz w:val="24"/>
          <w:szCs w:val="24"/>
        </w:rPr>
        <w:t xml:space="preserve">Foram observadas diminuições significativas nos níveis de NTX na urina, sRANKL sérico, proporção sRANKL/OPG e concentrações de 8-OHdG na urina e um aumento significativo na proporção BALP/NTX devido à suplementação de </w:t>
      </w:r>
      <w:bookmarkStart w:id="101" w:name="_Hlk87966261"/>
      <w:r>
        <w:rPr>
          <w:rFonts w:ascii="Swis721 Th BT" w:eastAsia="MS Mincho" w:hAnsi="Swis721 Th BT"/>
          <w:bCs/>
          <w:color w:val="404040" w:themeColor="text1" w:themeTint="BF"/>
          <w:sz w:val="24"/>
          <w:szCs w:val="24"/>
        </w:rPr>
        <w:t>tocotrienóis</w:t>
      </w:r>
      <w:bookmarkEnd w:id="101"/>
      <w:r>
        <w:rPr>
          <w:rFonts w:ascii="Swis721 Th BT" w:eastAsia="MS Mincho" w:hAnsi="Swis721 Th BT"/>
          <w:bCs/>
          <w:color w:val="404040" w:themeColor="text1" w:themeTint="BF"/>
          <w:sz w:val="24"/>
          <w:szCs w:val="24"/>
        </w:rPr>
        <w:t>;</w:t>
      </w:r>
    </w:p>
    <w:p w14:paraId="0E967CF8" w14:textId="77777777" w:rsidR="00CD65C2" w:rsidRDefault="00FA41FC">
      <w:pPr>
        <w:pStyle w:val="PargrafodaLista"/>
        <w:numPr>
          <w:ilvl w:val="0"/>
          <w:numId w:val="37"/>
        </w:numPr>
        <w:rPr>
          <w:rFonts w:ascii="Swis721 Th BT" w:eastAsia="MS Mincho" w:hAnsi="Swis721 Th BT" w:hint="eastAsia"/>
          <w:bCs/>
          <w:color w:val="404040" w:themeColor="text1" w:themeTint="BF"/>
          <w:sz w:val="24"/>
          <w:szCs w:val="24"/>
        </w:rPr>
      </w:pPr>
      <w:r>
        <w:rPr>
          <w:rFonts w:ascii="Swis721 Th BT" w:eastAsia="MS Mincho" w:hAnsi="Swis721 Th BT"/>
          <w:bCs/>
          <w:color w:val="404040" w:themeColor="text1" w:themeTint="BF"/>
          <w:sz w:val="24"/>
          <w:szCs w:val="24"/>
        </w:rPr>
        <w:t>A suplementação de tocotrienóis não afetou as concentrações séricas de OPG ou os níveis de cálcio na urina durante o período do estudo;</w:t>
      </w:r>
    </w:p>
    <w:p w14:paraId="3E44FA34" w14:textId="77777777" w:rsidR="00CD65C2" w:rsidRDefault="00FA41FC">
      <w:pPr>
        <w:pStyle w:val="PargrafodaLista"/>
        <w:numPr>
          <w:ilvl w:val="0"/>
          <w:numId w:val="37"/>
        </w:numPr>
        <w:rPr>
          <w:rFonts w:ascii="Swis721 Th BT" w:eastAsia="MS Mincho" w:hAnsi="Swis721 Th BT" w:hint="eastAsia"/>
          <w:bCs/>
          <w:color w:val="404040" w:themeColor="text1" w:themeTint="BF"/>
          <w:sz w:val="24"/>
          <w:szCs w:val="24"/>
        </w:rPr>
      </w:pPr>
      <w:r>
        <w:rPr>
          <w:rFonts w:ascii="Swis721 Th BT" w:eastAsia="MS Mincho" w:hAnsi="Swis721 Th BT"/>
          <w:bCs/>
          <w:color w:val="404040" w:themeColor="text1" w:themeTint="BF"/>
          <w:sz w:val="24"/>
          <w:szCs w:val="24"/>
        </w:rPr>
        <w:t>Não houve diferenças significativas no nível de NTX, razão BALP/NTX, nível de sRANKL e razão sRANKL/OPG entre os grupos 2 e 3.</w:t>
      </w:r>
    </w:p>
    <w:p w14:paraId="773F7AFF" w14:textId="77777777" w:rsidR="00CD65C2" w:rsidRDefault="00CD65C2">
      <w:pPr>
        <w:pStyle w:val="PargrafodaLista"/>
        <w:rPr>
          <w:sz w:val="24"/>
        </w:rPr>
      </w:pPr>
    </w:p>
    <w:p w14:paraId="595E8E3C"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1B83688B"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1B4E60AF" w14:textId="77777777" w:rsidR="00CD65C2" w:rsidRDefault="00FA41FC">
      <w:pPr>
        <w:pStyle w:val="Corpo"/>
        <w:spacing w:after="0"/>
        <w:jc w:val="center"/>
        <w:rPr>
          <w:rFonts w:hint="eastAsia"/>
          <w:b/>
          <w:bCs/>
          <w:i/>
          <w:color w:val="404040" w:themeColor="text1" w:themeTint="BF"/>
          <w:szCs w:val="23"/>
        </w:rPr>
      </w:pPr>
      <w:r>
        <w:rPr>
          <w:b/>
          <w:bCs/>
          <w:i/>
          <w:color w:val="404040" w:themeColor="text1" w:themeTint="BF"/>
          <w:szCs w:val="23"/>
        </w:rPr>
        <w:t>A suplementação de tocotrienóis durante 12 semanas diminuiu a reabsorção óssea e melhorou a taxa de renovação óssea por meio da supressão dos reguladores da remodelação óssea em mulheres na pós-menopausa com osteopenia. Esses efeitos osteoprotetores dos tocotrienóis podem ser, em parte, mediados por uma inibição do estresse oxidativo.</w:t>
      </w:r>
    </w:p>
    <w:p w14:paraId="28DFD84A" w14:textId="77777777" w:rsidR="00CD65C2" w:rsidRDefault="00FA41FC">
      <w:pPr>
        <w:pStyle w:val="Ttulo1"/>
        <w:jc w:val="center"/>
        <w:rPr>
          <w:rFonts w:hint="eastAsia"/>
        </w:rPr>
      </w:pPr>
      <w:bookmarkStart w:id="102" w:name="_Toc165537251"/>
      <w:r>
        <w:t>Formulário</w:t>
      </w:r>
      <w:bookmarkEnd w:id="102"/>
    </w:p>
    <w:p w14:paraId="2E7969FF" w14:textId="77777777" w:rsidR="00CD65C2" w:rsidRDefault="00CD65C2">
      <w:pPr>
        <w:pStyle w:val="Corpo"/>
        <w:rPr>
          <w:rFonts w:hint="eastAsia"/>
          <w:b/>
          <w:i/>
          <w:color w:val="404040" w:themeColor="text1" w:themeTint="BF"/>
        </w:rPr>
      </w:pPr>
    </w:p>
    <w:p w14:paraId="02E430AF" w14:textId="77777777" w:rsidR="00CD65C2" w:rsidRDefault="00CD65C2">
      <w:pPr>
        <w:pStyle w:val="Corpo"/>
        <w:rPr>
          <w:rFonts w:hint="eastAsia"/>
          <w:b/>
          <w:i/>
          <w:color w:val="404040" w:themeColor="text1" w:themeTint="BF"/>
        </w:rPr>
      </w:pPr>
    </w:p>
    <w:p w14:paraId="072C6346" w14:textId="77777777" w:rsidR="00CD65C2" w:rsidRDefault="00FA41FC">
      <w:pPr>
        <w:pStyle w:val="Corpo"/>
        <w:rPr>
          <w:rFonts w:hint="eastAsia"/>
          <w:b/>
          <w:i/>
          <w:color w:val="404040" w:themeColor="text1" w:themeTint="BF"/>
          <w:sz w:val="24"/>
        </w:rPr>
      </w:pPr>
      <w:r>
        <w:rPr>
          <w:b/>
          <w:i/>
          <w:color w:val="404040" w:themeColor="text1" w:themeTint="BF"/>
          <w:sz w:val="24"/>
        </w:rPr>
        <w:t>Diminuição da Reabsorção Óssea e Melhora da Taxa de Ronação em Mulheres na Pós-Menopausa</w:t>
      </w:r>
    </w:p>
    <w:p w14:paraId="4CE922AA"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05A451F9"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26E3A100" w14:textId="77777777" w:rsidR="00CD65C2" w:rsidRDefault="00FA41FC">
            <w:pPr>
              <w:pStyle w:val="Corpo"/>
              <w:jc w:val="center"/>
              <w:rPr>
                <w:rFonts w:hint="eastAsia"/>
                <w:b/>
                <w:color w:val="0070C0"/>
                <w14:textFill>
                  <w14:solidFill>
                    <w14:srgbClr w14:val="0070C0">
                      <w14:lumMod w14:val="75000"/>
                      <w14:lumOff w14:val="25000"/>
                    </w14:srgbClr>
                  </w14:solidFill>
                </w14:textFill>
              </w:rPr>
            </w:pPr>
            <w:r>
              <w:rPr>
                <w:b/>
                <w:color w:val="FFFFFF" w:themeColor="background1"/>
                <w:sz w:val="22"/>
              </w:rPr>
              <w:t>Cápsula com Tocotrienóis</w:t>
            </w:r>
          </w:p>
        </w:tc>
      </w:tr>
      <w:tr w:rsidR="00CD65C2" w14:paraId="158193CB"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BE97030" w14:textId="77777777" w:rsidR="00CD65C2" w:rsidRDefault="00FA41FC">
            <w:pPr>
              <w:pStyle w:val="Corpo"/>
              <w:rPr>
                <w:rFonts w:hint="eastAsia"/>
                <w:b/>
                <w:bCs/>
                <w:color w:val="404040" w:themeColor="text1" w:themeTint="BF"/>
              </w:rPr>
            </w:pPr>
            <w:r>
              <w:rPr>
                <w:color w:val="404040" w:themeColor="text1" w:themeTint="BF"/>
              </w:rPr>
              <w:t>Chronic</w:t>
            </w:r>
            <w:r>
              <w:rPr>
                <w:color w:val="404040" w:themeColor="text1" w:themeTint="BF"/>
                <w:vertAlign w:val="superscript"/>
              </w:rPr>
              <w:t>®</w:t>
            </w:r>
            <w:r>
              <w:rPr>
                <w:color w:val="404040" w:themeColor="text1" w:themeTint="BF"/>
              </w:rPr>
              <w:t>........................................430 mg</w:t>
            </w:r>
          </w:p>
        </w:tc>
      </w:tr>
      <w:tr w:rsidR="00CD65C2" w14:paraId="19F9063E"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70F889F" w14:textId="08BB7434" w:rsidR="00CD65C2" w:rsidRDefault="00FA41FC">
            <w:pPr>
              <w:pStyle w:val="Corpo"/>
              <w:rPr>
                <w:rFonts w:hint="eastAsia"/>
                <w:color w:val="404040" w:themeColor="text1" w:themeTint="BF"/>
              </w:rPr>
            </w:pPr>
            <w:r>
              <w:rPr>
                <w:color w:val="404040" w:themeColor="text1" w:themeTint="BF"/>
              </w:rPr>
              <w:t>Excipiente q.s.p. ........................1 Cápsula</w:t>
            </w:r>
          </w:p>
        </w:tc>
      </w:tr>
    </w:tbl>
    <w:p w14:paraId="01714122" w14:textId="77777777" w:rsidR="00CD65C2" w:rsidRDefault="00FA41FC">
      <w:pPr>
        <w:pStyle w:val="Corpo"/>
        <w:ind w:right="4676"/>
        <w:jc w:val="center"/>
        <w:rPr>
          <w:rFonts w:hint="eastAsia"/>
          <w:color w:val="404040" w:themeColor="text1" w:themeTint="BF"/>
          <w:sz w:val="22"/>
          <w:szCs w:val="22"/>
        </w:rPr>
      </w:pPr>
      <w:r>
        <w:rPr>
          <w:color w:val="404040" w:themeColor="text1" w:themeTint="BF"/>
          <w:sz w:val="22"/>
          <w:szCs w:val="22"/>
        </w:rPr>
        <w:t>Administrar 1 cápsula ao dia ou conforme orientação médica.</w:t>
      </w:r>
    </w:p>
    <w:p w14:paraId="70DC6933" w14:textId="77777777" w:rsidR="00CD65C2" w:rsidRDefault="00CD65C2">
      <w:pPr>
        <w:pStyle w:val="Corpo"/>
        <w:rPr>
          <w:rFonts w:hint="eastAsia"/>
          <w:b/>
          <w:i/>
          <w:color w:val="404040" w:themeColor="text1" w:themeTint="BF"/>
          <w:sz w:val="24"/>
        </w:rPr>
      </w:pPr>
    </w:p>
    <w:p w14:paraId="52BCBE0B" w14:textId="77777777" w:rsidR="00CD65C2" w:rsidRDefault="00FA41FC">
      <w:pPr>
        <w:pStyle w:val="Corpo"/>
        <w:rPr>
          <w:rFonts w:hint="eastAsia"/>
          <w:b/>
          <w:i/>
          <w:color w:val="404040" w:themeColor="text1" w:themeTint="BF"/>
          <w:sz w:val="24"/>
        </w:rPr>
      </w:pPr>
      <w:r>
        <w:rPr>
          <w:noProof/>
          <w:color w:val="404040" w:themeColor="text1" w:themeTint="BF"/>
          <w:sz w:val="16"/>
          <w:szCs w:val="16"/>
          <w:lang w:eastAsia="pt-BR"/>
        </w:rPr>
        <mc:AlternateContent>
          <mc:Choice Requires="wps">
            <w:drawing>
              <wp:anchor distT="0" distB="0" distL="114300" distR="114300" simplePos="0" relativeHeight="251864064" behindDoc="0" locked="0" layoutInCell="1" allowOverlap="1">
                <wp:simplePos x="0" y="0"/>
                <wp:positionH relativeFrom="margin">
                  <wp:posOffset>5080</wp:posOffset>
                </wp:positionH>
                <wp:positionV relativeFrom="paragraph">
                  <wp:posOffset>8255</wp:posOffset>
                </wp:positionV>
                <wp:extent cx="5753100" cy="581025"/>
                <wp:effectExtent l="0" t="0" r="0" b="9525"/>
                <wp:wrapNone/>
                <wp:docPr id="739657749" name="Caixa de texto 739657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581025"/>
                        </a:xfrm>
                        <a:prstGeom prst="rect">
                          <a:avLst/>
                        </a:prstGeom>
                        <a:solidFill>
                          <a:schemeClr val="bg2">
                            <a:lumMod val="100000"/>
                            <a:lumOff val="0"/>
                          </a:schemeClr>
                        </a:solidFill>
                        <a:ln>
                          <a:noFill/>
                        </a:ln>
                      </wps:spPr>
                      <wps:txbx>
                        <w:txbxContent>
                          <w:p w14:paraId="3CB981AD" w14:textId="77777777" w:rsidR="00FA41FC" w:rsidRDefault="00FA41FC">
                            <w:pPr>
                              <w:pStyle w:val="Corpo"/>
                              <w:spacing w:line="276" w:lineRule="auto"/>
                              <w:rPr>
                                <w:rFonts w:hint="eastAsia"/>
                                <w:color w:val="404040" w:themeColor="text1" w:themeTint="BF"/>
                                <w:sz w:val="18"/>
                                <w:szCs w:val="18"/>
                              </w:rPr>
                            </w:pPr>
                            <w:r>
                              <w:rPr>
                                <w:color w:val="404040" w:themeColor="text1" w:themeTint="BF"/>
                                <w:sz w:val="18"/>
                                <w:szCs w:val="18"/>
                              </w:rPr>
                              <w:t>O Chronic</w:t>
                            </w:r>
                            <w:r>
                              <w:rPr>
                                <w:color w:val="404040" w:themeColor="text1" w:themeTint="BF"/>
                                <w:sz w:val="18"/>
                                <w:szCs w:val="18"/>
                                <w:vertAlign w:val="superscript"/>
                              </w:rPr>
                              <w:t>®</w:t>
                            </w:r>
                            <w:r>
                              <w:rPr>
                                <w:color w:val="404040" w:themeColor="text1" w:themeTint="BF"/>
                                <w:sz w:val="18"/>
                                <w:szCs w:val="18"/>
                              </w:rPr>
                              <w:t xml:space="preserve"> é o extrato oleoso do urucum, composto de geranilgeraniol e delta-tocotrienol, com alta biodisponibilidade. Apresenta ação anti-inflamatória e promove homeostase celular entre osteoblastos e osteoclastos, estimulando a manutenção, reparo e construção do tecido ósseo.</w:t>
                            </w:r>
                          </w:p>
                        </w:txbxContent>
                      </wps:txbx>
                      <wps:bodyPr rot="0" vert="horz" wrap="square" lIns="91440" tIns="45720" rIns="91440" bIns="45720" anchor="t" anchorCtr="0" upright="1">
                        <a:noAutofit/>
                      </wps:bodyPr>
                    </wps:wsp>
                  </a:graphicData>
                </a:graphic>
              </wp:anchor>
            </w:drawing>
          </mc:Choice>
          <mc:Fallback>
            <w:pict>
              <v:shape id="Caixa de texto 739657749" o:spid="_x0000_s1158" type="#_x0000_t202" style="position:absolute;left:0;text-align:left;margin-left:.4pt;margin-top:.65pt;width:453pt;height:45.75pt;z-index:2518640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" fillcolor="#e7e6e6 [3214]" stroked="f">
                <v:textbox>
                  <w:txbxContent>
                    <w:p w14:paraId="3CB981AD" w14:textId="77777777" w:rsidR="00FA41FC" w:rsidRDefault="00FA41FC">
                      <w:pPr>
                        <w:pStyle w:val="Corpo"/>
                        <w:spacing w:line="276" w:lineRule="auto"/>
                        <w:rPr>
                          <w:rFonts w:hint="eastAsia"/>
                          <w:color w:val="404040" w:themeColor="text1" w:themeTint="BF"/>
                          <w:sz w:val="18"/>
                          <w:szCs w:val="18"/>
                        </w:rPr>
                      </w:pPr>
                      <w:r>
                        <w:rPr>
                          <w:color w:val="404040" w:themeColor="text1" w:themeTint="BF"/>
                          <w:sz w:val="18"/>
                          <w:szCs w:val="18"/>
                        </w:rPr>
                        <w:t>O Chronic</w:t>
                      </w:r>
                      <w:r>
                        <w:rPr>
                          <w:color w:val="404040" w:themeColor="text1" w:themeTint="BF"/>
                          <w:sz w:val="18"/>
                          <w:szCs w:val="18"/>
                          <w:vertAlign w:val="superscript"/>
                        </w:rPr>
                        <w:t>®</w:t>
                      </w:r>
                      <w:r>
                        <w:rPr>
                          <w:color w:val="404040" w:themeColor="text1" w:themeTint="BF"/>
                          <w:sz w:val="18"/>
                          <w:szCs w:val="18"/>
                        </w:rPr>
                        <w:t xml:space="preserve"> é o extrato oleoso do urucum, composto de geranilgeraniol e delta-tocotrienol, com alta biodisponibilidade. Apresenta ação anti-inflamatória e promove homeostase celular entre osteoblastos e osteoclastos, estimulando a manutenção, reparo e construção do tecido ósseo.</w:t>
                      </w:r>
                    </w:p>
                  </w:txbxContent>
                </v:textbox>
                <w10:wrap anchorx="margin"/>
              </v:shape>
            </w:pict>
          </mc:Fallback>
        </mc:AlternateContent>
      </w:r>
    </w:p>
    <w:p w14:paraId="33B08F3B" w14:textId="77777777" w:rsidR="00CD65C2" w:rsidRDefault="00CD65C2">
      <w:pPr>
        <w:pStyle w:val="Corpo"/>
        <w:rPr>
          <w:rFonts w:hint="eastAsia"/>
          <w:b/>
          <w:i/>
          <w:color w:val="404040" w:themeColor="text1" w:themeTint="BF"/>
          <w:sz w:val="24"/>
        </w:rPr>
      </w:pPr>
    </w:p>
    <w:p w14:paraId="1773ABEB" w14:textId="77777777" w:rsidR="00CD65C2" w:rsidRDefault="00CD65C2">
      <w:pPr>
        <w:pStyle w:val="Corpo"/>
        <w:rPr>
          <w:rFonts w:hint="eastAsia"/>
          <w:b/>
          <w:i/>
          <w:color w:val="404040" w:themeColor="text1" w:themeTint="BF"/>
          <w:sz w:val="24"/>
        </w:rPr>
      </w:pPr>
    </w:p>
    <w:p w14:paraId="4B9715E9" w14:textId="77777777" w:rsidR="00CD65C2" w:rsidRDefault="00CD65C2">
      <w:pPr>
        <w:pStyle w:val="SemEspaamento"/>
      </w:pPr>
    </w:p>
    <w:p w14:paraId="7E3066AE" w14:textId="77777777" w:rsidR="00CD65C2" w:rsidRDefault="00CD65C2">
      <w:pPr>
        <w:pStyle w:val="SemEspaamento"/>
      </w:pPr>
    </w:p>
    <w:p w14:paraId="21E015A7" w14:textId="77777777" w:rsidR="00CD65C2" w:rsidRDefault="00CD65C2">
      <w:pPr>
        <w:pStyle w:val="SemEspaamento"/>
      </w:pPr>
    </w:p>
    <w:p w14:paraId="2CAB65A3" w14:textId="77777777" w:rsidR="00CD65C2" w:rsidRDefault="00CD65C2">
      <w:pPr>
        <w:pStyle w:val="SemEspaamento"/>
      </w:pPr>
    </w:p>
    <w:p w14:paraId="4666DA02" w14:textId="77777777" w:rsidR="00CD65C2" w:rsidRDefault="00CD65C2">
      <w:pPr>
        <w:pStyle w:val="SemEspaamento"/>
      </w:pPr>
    </w:p>
    <w:p w14:paraId="72C6569D" w14:textId="77777777" w:rsidR="00CD65C2" w:rsidRDefault="00CD65C2">
      <w:pPr>
        <w:pStyle w:val="SemEspaamento"/>
      </w:pPr>
    </w:p>
    <w:p w14:paraId="3DF5C7B6" w14:textId="77777777" w:rsidR="00CD65C2" w:rsidRDefault="00CD65C2">
      <w:pPr>
        <w:pStyle w:val="SemEspaamento"/>
      </w:pPr>
    </w:p>
    <w:p w14:paraId="18FB6291" w14:textId="77777777" w:rsidR="00CD65C2" w:rsidRDefault="00CD65C2">
      <w:pPr>
        <w:pStyle w:val="SemEspaamento"/>
      </w:pPr>
    </w:p>
    <w:p w14:paraId="7F011928" w14:textId="77777777" w:rsidR="00CD65C2" w:rsidRDefault="00CD65C2">
      <w:pPr>
        <w:pStyle w:val="SemEspaamento"/>
      </w:pPr>
    </w:p>
    <w:p w14:paraId="682F147B" w14:textId="77777777" w:rsidR="00CD65C2" w:rsidRDefault="00CD65C2">
      <w:pPr>
        <w:pStyle w:val="SemEspaamento"/>
      </w:pPr>
    </w:p>
    <w:p w14:paraId="7131A3BF" w14:textId="77777777" w:rsidR="00CD65C2" w:rsidRDefault="00CD65C2">
      <w:pPr>
        <w:pStyle w:val="SemEspaamento"/>
      </w:pPr>
    </w:p>
    <w:p w14:paraId="1863DA43" w14:textId="77777777" w:rsidR="00CD65C2" w:rsidRDefault="00CD65C2">
      <w:pPr>
        <w:pStyle w:val="SemEspaamento"/>
      </w:pPr>
    </w:p>
    <w:p w14:paraId="49B90A31" w14:textId="77777777" w:rsidR="00CD65C2" w:rsidRDefault="00CD65C2">
      <w:pPr>
        <w:pStyle w:val="SemEspaamento"/>
      </w:pPr>
    </w:p>
    <w:p w14:paraId="5AC8C913" w14:textId="77777777" w:rsidR="00CD65C2" w:rsidRDefault="00CD65C2">
      <w:pPr>
        <w:pStyle w:val="SemEspaamento"/>
      </w:pPr>
    </w:p>
    <w:p w14:paraId="63D6BE7C" w14:textId="77777777" w:rsidR="00CD65C2" w:rsidRDefault="00CD65C2">
      <w:pPr>
        <w:pStyle w:val="SemEspaamento"/>
      </w:pPr>
    </w:p>
    <w:p w14:paraId="40567A0E" w14:textId="77777777" w:rsidR="00CD65C2" w:rsidRDefault="00CD65C2">
      <w:pPr>
        <w:pStyle w:val="SemEspaamento"/>
      </w:pPr>
    </w:p>
    <w:p w14:paraId="50955136" w14:textId="77777777" w:rsidR="00CD65C2" w:rsidRDefault="00CD65C2">
      <w:pPr>
        <w:pStyle w:val="SemEspaamento"/>
      </w:pPr>
    </w:p>
    <w:p w14:paraId="0B597490" w14:textId="77777777" w:rsidR="00CD65C2" w:rsidRDefault="00CD65C2">
      <w:pPr>
        <w:pStyle w:val="SemEspaamento"/>
      </w:pPr>
    </w:p>
    <w:p w14:paraId="01D97A07" w14:textId="77777777" w:rsidR="00CD65C2" w:rsidRDefault="00CD65C2">
      <w:pPr>
        <w:pStyle w:val="SemEspaamento"/>
      </w:pPr>
    </w:p>
    <w:p w14:paraId="0F2B1D7C" w14:textId="77777777" w:rsidR="00CD65C2" w:rsidRDefault="00CD65C2">
      <w:pPr>
        <w:pStyle w:val="SemEspaamento"/>
      </w:pPr>
    </w:p>
    <w:p w14:paraId="0416E7B5" w14:textId="77777777" w:rsidR="00CD65C2" w:rsidRDefault="00CD65C2">
      <w:pPr>
        <w:pStyle w:val="SemEspaamento"/>
      </w:pPr>
    </w:p>
    <w:p w14:paraId="7DC3C412" w14:textId="77777777" w:rsidR="00CD65C2" w:rsidRDefault="00CD65C2">
      <w:pPr>
        <w:pStyle w:val="SemEspaamento"/>
      </w:pPr>
    </w:p>
    <w:p w14:paraId="5A45E504" w14:textId="77777777" w:rsidR="00CD65C2" w:rsidRDefault="00CD65C2">
      <w:pPr>
        <w:pStyle w:val="SemEspaamento"/>
      </w:pPr>
    </w:p>
    <w:p w14:paraId="466FBBAB" w14:textId="77777777" w:rsidR="00CD65C2" w:rsidRDefault="00CD65C2">
      <w:pPr>
        <w:pStyle w:val="SemEspaamento"/>
      </w:pPr>
    </w:p>
    <w:p w14:paraId="477F7A91" w14:textId="77777777" w:rsidR="00CD65C2" w:rsidRDefault="00CD65C2">
      <w:pPr>
        <w:pStyle w:val="SemEspaamento"/>
      </w:pPr>
    </w:p>
    <w:p w14:paraId="008DF8A7" w14:textId="77777777" w:rsidR="00CD65C2" w:rsidRDefault="00CD65C2">
      <w:pPr>
        <w:pStyle w:val="SemEspaamento"/>
      </w:pPr>
    </w:p>
    <w:p w14:paraId="1926A02B" w14:textId="2A793A28" w:rsidR="00CD65C2" w:rsidRDefault="00FA41FC">
      <w:pPr>
        <w:pStyle w:val="Ttulo1"/>
        <w:jc w:val="center"/>
        <w:rPr>
          <w:rFonts w:hint="eastAsia"/>
        </w:rPr>
      </w:pPr>
      <w:bookmarkStart w:id="103" w:name="_Toc165537252"/>
      <w:r>
        <w:rPr>
          <w:bCs/>
          <w:iCs/>
        </w:rPr>
        <w:t>Resveratrol</w:t>
      </w:r>
      <w:bookmarkEnd w:id="103"/>
    </w:p>
    <w:p w14:paraId="79DB440B" w14:textId="77777777" w:rsidR="00CD65C2" w:rsidRPr="00D1428E" w:rsidRDefault="00FA41FC">
      <w:pPr>
        <w:pStyle w:val="Corpo"/>
        <w:spacing w:after="120"/>
        <w:jc w:val="center"/>
        <w:rPr>
          <w:rFonts w:hint="eastAsia"/>
          <w:b/>
          <w:color w:val="0070C0"/>
          <w:sz w:val="40"/>
        </w:rPr>
      </w:pPr>
      <w:r w:rsidRPr="00D1428E">
        <w:rPr>
          <w:b/>
          <w:color w:val="0070C0"/>
          <w:sz w:val="40"/>
        </w:rPr>
        <w:t>Auxilia no Aumento da DMO do Fêmur em Mulheres Pós-Menopausadas e Age na Prevenção contra Fraturas</w:t>
      </w:r>
    </w:p>
    <w:p w14:paraId="6BCE6390" w14:textId="77777777" w:rsidR="00CD65C2" w:rsidRDefault="00CD65C2">
      <w:pPr>
        <w:pStyle w:val="Corpo"/>
        <w:spacing w:after="120"/>
        <w:rPr>
          <w:rFonts w:hint="eastAsia"/>
          <w:color w:val="404040" w:themeColor="text1" w:themeTint="BF"/>
          <w:sz w:val="24"/>
        </w:rPr>
      </w:pPr>
    </w:p>
    <w:p w14:paraId="67CE7808" w14:textId="288F7068" w:rsidR="00CD65C2" w:rsidRDefault="00FA41FC">
      <w:pPr>
        <w:pStyle w:val="Corpo"/>
        <w:rPr>
          <w:rFonts w:hint="eastAsia"/>
          <w:color w:val="404040" w:themeColor="text1" w:themeTint="BF"/>
          <w:sz w:val="24"/>
        </w:rPr>
      </w:pPr>
      <w:r>
        <w:rPr>
          <w:color w:val="404040" w:themeColor="text1" w:themeTint="BF"/>
          <w:sz w:val="24"/>
        </w:rPr>
        <w:t xml:space="preserve">Este estudo conduzido por Wong </w:t>
      </w:r>
      <w:r>
        <w:rPr>
          <w:i/>
          <w:color w:val="404040" w:themeColor="text1" w:themeTint="BF"/>
          <w:sz w:val="24"/>
        </w:rPr>
        <w:t>et al</w:t>
      </w:r>
      <w:r>
        <w:rPr>
          <w:color w:val="404040" w:themeColor="text1" w:themeTint="BF"/>
          <w:sz w:val="24"/>
        </w:rPr>
        <w:t>. (2020) teve como objetivo avaliar os efeitos do resveratrol na saúde óssea de mulheres pós-menopausadas.</w:t>
      </w:r>
    </w:p>
    <w:p w14:paraId="76DFBA52"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71232" behindDoc="0" locked="0" layoutInCell="1" allowOverlap="1">
                <wp:simplePos x="0" y="0"/>
                <wp:positionH relativeFrom="margin">
                  <wp:posOffset>-1905</wp:posOffset>
                </wp:positionH>
                <wp:positionV relativeFrom="paragraph">
                  <wp:posOffset>139065</wp:posOffset>
                </wp:positionV>
                <wp:extent cx="5735955" cy="859790"/>
                <wp:effectExtent l="0" t="0" r="17780" b="16510"/>
                <wp:wrapNone/>
                <wp:docPr id="739657758" name="Caixa de texto 739657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781" cy="859972"/>
                        </a:xfrm>
                        <a:prstGeom prst="rect">
                          <a:avLst/>
                        </a:prstGeom>
                        <a:solidFill>
                          <a:schemeClr val="bg1">
                            <a:lumMod val="100000"/>
                            <a:lumOff val="0"/>
                          </a:schemeClr>
                        </a:solidFill>
                        <a:ln w="9525">
                          <a:solidFill>
                            <a:srgbClr val="0070C0"/>
                          </a:solidFill>
                          <a:miter lim="800000"/>
                        </a:ln>
                      </wps:spPr>
                      <wps:txbx>
                        <w:txbxContent>
                          <w:p w14:paraId="548DA58B" w14:textId="40C4F2CF" w:rsidR="00FA41FC" w:rsidRDefault="00FA41FC">
                            <w:pPr>
                              <w:jc w:val="center"/>
                              <w:rPr>
                                <w:rFonts w:ascii="Swis721 Th BT" w:hAnsi="Swis721 Th BT"/>
                                <w:sz w:val="23"/>
                                <w:szCs w:val="23"/>
                              </w:rPr>
                            </w:pPr>
                            <w:r>
                              <w:rPr>
                                <w:rFonts w:ascii="Swis721 Th BT" w:hAnsi="Swis721 Th BT"/>
                                <w:sz w:val="23"/>
                                <w:szCs w:val="23"/>
                              </w:rPr>
                              <w:t>Assim, 129 pacientes com idades entre 45 e 85 anos foram selecionadas para participarem deste estudo clínico, randomizado, duplo-cego, cruzado e placebo-controlado. Elas foram divididas em dois grupos para receberem durante 12 meses a seguinte posologia:</w:t>
                            </w:r>
                          </w:p>
                          <w:p w14:paraId="5914A5A1"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758" o:spid="_x0000_s1159" type="#_x0000_t202" style="position:absolute;left:0;text-align:left;margin-left:-.15pt;margin-top:10.95pt;width:451.65pt;height:67.7pt;z-index:2518712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" fillcolor="white [3212]" strokecolor="#0070c0">
                <v:textbox>
                  <w:txbxContent>
                    <w:p w14:paraId="548DA58B" w14:textId="40C4F2CF" w:rsidR="00FA41FC" w:rsidRDefault="00FA41FC">
                      <w:pPr>
                        <w:jc w:val="center"/>
                        <w:rPr>
                          <w:rFonts w:ascii="Swis721 Th BT" w:hAnsi="Swis721 Th BT"/>
                          <w:sz w:val="23"/>
                          <w:szCs w:val="23"/>
                        </w:rPr>
                      </w:pPr>
                      <w:r>
                        <w:rPr>
                          <w:rFonts w:ascii="Swis721 Th BT" w:hAnsi="Swis721 Th BT"/>
                          <w:sz w:val="23"/>
                          <w:szCs w:val="23"/>
                        </w:rPr>
                        <w:t>Assim, 129 pacientes com idades entre 45 e 85 anos foram selecionadas para participarem deste estudo clínico, randomizado, duplo-cego, cruzado e placebo-controlado. Elas foram divididas em dois grupos para receberem durante 12 meses a seguinte posologia:</w:t>
                      </w:r>
                    </w:p>
                    <w:p w14:paraId="5914A5A1"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0822ED0E" w14:textId="77777777" w:rsidR="00CD65C2" w:rsidRDefault="00CD65C2">
      <w:pPr>
        <w:pStyle w:val="Corpo"/>
        <w:rPr>
          <w:rFonts w:hint="eastAsia"/>
          <w:color w:val="404040" w:themeColor="text1" w:themeTint="BF"/>
          <w:sz w:val="24"/>
        </w:rPr>
      </w:pPr>
    </w:p>
    <w:p w14:paraId="3EECE437" w14:textId="77777777" w:rsidR="00CD65C2" w:rsidRDefault="00CD65C2">
      <w:pPr>
        <w:pStyle w:val="Corpo"/>
        <w:rPr>
          <w:rFonts w:hint="eastAsia"/>
          <w:color w:val="404040" w:themeColor="text1" w:themeTint="BF"/>
          <w:sz w:val="24"/>
        </w:rPr>
      </w:pPr>
    </w:p>
    <w:p w14:paraId="20FBD950" w14:textId="77777777" w:rsidR="00CD65C2" w:rsidRDefault="00CD65C2">
      <w:pPr>
        <w:pStyle w:val="Corpo"/>
        <w:rPr>
          <w:rFonts w:hint="eastAsia"/>
          <w:color w:val="404040" w:themeColor="text1" w:themeTint="BF"/>
          <w:sz w:val="24"/>
        </w:rPr>
      </w:pPr>
    </w:p>
    <w:p w14:paraId="78CCA8E7"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872256" behindDoc="0" locked="0" layoutInCell="1" allowOverlap="1">
                <wp:simplePos x="0" y="0"/>
                <wp:positionH relativeFrom="column">
                  <wp:posOffset>4594860</wp:posOffset>
                </wp:positionH>
                <wp:positionV relativeFrom="paragraph">
                  <wp:posOffset>169545</wp:posOffset>
                </wp:positionV>
                <wp:extent cx="226695" cy="138430"/>
                <wp:effectExtent l="0" t="0" r="1905" b="0"/>
                <wp:wrapNone/>
                <wp:docPr id="739657759" name="Triângulo isósceles 739657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759" o:spid="_x0000_s1026" o:spt="5" type="#_x0000_t5" style="position:absolute;left:0pt;flip:y;margin-left:361.8pt;margin-top:13.35pt;height:10.9pt;width:17.85pt;z-index:251872256;mso-width-relative:page;mso-height-relative:page;" fillcolor="#D9D9D9 [3212]" filled="t" stroked="f" coordsize="21600,21600" o:gfxdata="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ElaQk7ZAAAACQEAAA8AAAAAAAAAAQAgAAAAIgAAAGRycy9kb3ducmV2LnhtbFBLAQIUABQA&#10;AAAIAIdO4kAjh97SYQIAALMEAAAOAAAAAAAAAAEAIAAAACgBAABkcnMvZTJvRG9jLnhtbFBLBQYA&#10;AAAABgAGAFkBAAD7BQ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873280" behindDoc="0" locked="0" layoutInCell="1" allowOverlap="1">
                <wp:simplePos x="0" y="0"/>
                <wp:positionH relativeFrom="column">
                  <wp:posOffset>805180</wp:posOffset>
                </wp:positionH>
                <wp:positionV relativeFrom="paragraph">
                  <wp:posOffset>169545</wp:posOffset>
                </wp:positionV>
                <wp:extent cx="226695" cy="138430"/>
                <wp:effectExtent l="0" t="0" r="1905" b="0"/>
                <wp:wrapNone/>
                <wp:docPr id="739657760" name="Triângulo isósceles 7396577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760" o:spid="_x0000_s1026" o:spt="5" type="#_x0000_t5" style="position:absolute;left:0pt;flip:y;margin-left:63.4pt;margin-top:13.35pt;height:10.9pt;width:17.85pt;z-index:251873280;mso-width-relative:page;mso-height-relative:page;" fillcolor="#D9D9D9 [3212]" filled="t" stroked="f" coordsize="21600,21600" o:gfxdata="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Aj2kvXAAAACQEAAA8AAAAAAAAAAQAgAAAAIgAAAGRycy9kb3ducmV2LnhtbFBLAQIUABQAAAAI&#10;AIdO4kDUI9p9YAIAALMEAAAOAAAAAAAAAAEAIAAAACYBAABkcnMvZTJvRG9jLnhtbFBLBQYAAAAA&#10;BgAGAFkBAAD4BQAAAAA=&#10;" adj="10800">
                <v:fill on="t" focussize="0,0"/>
                <v:stroke on="f"/>
                <v:imagedata o:title=""/>
                <o:lock v:ext="edit" aspectratio="f"/>
              </v:shape>
            </w:pict>
          </mc:Fallback>
        </mc:AlternateContent>
      </w:r>
    </w:p>
    <w:p w14:paraId="5E7893C3" w14:textId="77777777" w:rsidR="00CD65C2" w:rsidRDefault="00CD65C2">
      <w:pPr>
        <w:pStyle w:val="Corpo"/>
        <w:rPr>
          <w:rFonts w:hint="eastAsia"/>
          <w:color w:val="404040" w:themeColor="text1" w:themeTint="BF"/>
        </w:rPr>
      </w:pPr>
    </w:p>
    <w:p w14:paraId="52C984C4"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870208" behindDoc="0" locked="0" layoutInCell="1" allowOverlap="1">
                <wp:simplePos x="0" y="0"/>
                <wp:positionH relativeFrom="column">
                  <wp:posOffset>3752850</wp:posOffset>
                </wp:positionH>
                <wp:positionV relativeFrom="paragraph">
                  <wp:posOffset>87630</wp:posOffset>
                </wp:positionV>
                <wp:extent cx="1969770" cy="990600"/>
                <wp:effectExtent l="0" t="0" r="11430" b="19685"/>
                <wp:wrapNone/>
                <wp:docPr id="739657761" name="Caixa de texto 739657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861" cy="990509"/>
                        </a:xfrm>
                        <a:prstGeom prst="rect">
                          <a:avLst/>
                        </a:prstGeom>
                        <a:solidFill>
                          <a:srgbClr val="0070C0"/>
                        </a:solidFill>
                        <a:ln w="9525">
                          <a:solidFill>
                            <a:srgbClr val="0070C0"/>
                          </a:solidFill>
                          <a:miter lim="800000"/>
                        </a:ln>
                      </wps:spPr>
                      <wps:txbx>
                        <w:txbxContent>
                          <w:p w14:paraId="35B4EA02"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78822A5C" w14:textId="77777777" w:rsidR="00FA41FC" w:rsidRDefault="00FA41FC">
                            <w:pPr>
                              <w:spacing w:after="0" w:line="240" w:lineRule="auto"/>
                              <w:jc w:val="center"/>
                              <w:rPr>
                                <w:rFonts w:ascii="Swis721 Th BT" w:hAnsi="Swis721 Th BT"/>
                                <w:bCs/>
                                <w:color w:val="FFFFFF" w:themeColor="background1"/>
                                <w:sz w:val="23"/>
                                <w:szCs w:val="23"/>
                              </w:rPr>
                            </w:pPr>
                          </w:p>
                          <w:p w14:paraId="34A0113F"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14:paraId="7BC2613E" w14:textId="77777777" w:rsidR="00FA41FC" w:rsidRDefault="00FA41FC">
                            <w:pPr>
                              <w:spacing w:after="0" w:line="240" w:lineRule="auto"/>
                              <w:jc w:val="center"/>
                              <w:rPr>
                                <w:rFonts w:ascii="Swis721 Th BT" w:hAnsi="Swis721 Th BT"/>
                                <w:b/>
                                <w:color w:val="FFFFFF" w:themeColor="background1"/>
                                <w:sz w:val="12"/>
                                <w:szCs w:val="12"/>
                              </w:rPr>
                            </w:pPr>
                          </w:p>
                          <w:p w14:paraId="6B19930A" w14:textId="77777777" w:rsidR="00FA41FC" w:rsidRDefault="00FA41FC">
                            <w:pPr>
                              <w:spacing w:after="0" w:line="240" w:lineRule="auto"/>
                              <w:jc w:val="center"/>
                              <w:rPr>
                                <w:rFonts w:ascii="Swis721 Th BT" w:hAnsi="Swis721 Th BT"/>
                                <w:b/>
                                <w:color w:val="FFFFFF" w:themeColor="background1"/>
                                <w:sz w:val="23"/>
                                <w:szCs w:val="23"/>
                              </w:rPr>
                            </w:pPr>
                          </w:p>
                          <w:p w14:paraId="4F2AC8DD" w14:textId="77777777" w:rsidR="00FA41FC" w:rsidRDefault="00FA41FC">
                            <w:pPr>
                              <w:spacing w:after="0" w:line="240" w:lineRule="auto"/>
                              <w:jc w:val="center"/>
                              <w:rPr>
                                <w:rFonts w:ascii="Swis721 Th BT" w:hAnsi="Swis721 Th BT"/>
                                <w:b/>
                                <w:color w:val="FFFFFF" w:themeColor="background1"/>
                                <w:sz w:val="12"/>
                                <w:szCs w:val="12"/>
                              </w:rPr>
                            </w:pPr>
                          </w:p>
                          <w:p w14:paraId="3768A538" w14:textId="77777777" w:rsidR="00FA41FC" w:rsidRDefault="00FA41FC"/>
                        </w:txbxContent>
                      </wps:txbx>
                      <wps:bodyPr rot="0" vert="horz" wrap="square" lIns="91440" tIns="45720" rIns="91440" bIns="45720" anchor="t" anchorCtr="0" upright="1">
                        <a:noAutofit/>
                      </wps:bodyPr>
                    </wps:wsp>
                  </a:graphicData>
                </a:graphic>
              </wp:anchor>
            </w:drawing>
          </mc:Choice>
          <mc:Fallback>
            <w:pict>
              <v:shape id="Caixa de texto 739657761" o:spid="_x0000_s1160" type="#_x0000_t202" style="position:absolute;left:0;text-align:left;margin-left:295.5pt;margin-top:6.9pt;width:155.1pt;height:78pt;z-index:251870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" fillcolor="#0070c0" strokecolor="#0070c0">
                <v:textbox>
                  <w:txbxContent>
                    <w:p w14:paraId="35B4EA02"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78822A5C" w14:textId="77777777" w:rsidR="00FA41FC" w:rsidRDefault="00FA41FC">
                      <w:pPr>
                        <w:spacing w:after="0" w:line="240" w:lineRule="auto"/>
                        <w:jc w:val="center"/>
                        <w:rPr>
                          <w:rFonts w:ascii="Swis721 Th BT" w:hAnsi="Swis721 Th BT"/>
                          <w:bCs/>
                          <w:color w:val="FFFFFF" w:themeColor="background1"/>
                          <w:sz w:val="23"/>
                          <w:szCs w:val="23"/>
                        </w:rPr>
                      </w:pPr>
                    </w:p>
                    <w:p w14:paraId="34A0113F"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14:paraId="7BC2613E" w14:textId="77777777" w:rsidR="00FA41FC" w:rsidRDefault="00FA41FC">
                      <w:pPr>
                        <w:spacing w:after="0" w:line="240" w:lineRule="auto"/>
                        <w:jc w:val="center"/>
                        <w:rPr>
                          <w:rFonts w:ascii="Swis721 Th BT" w:hAnsi="Swis721 Th BT"/>
                          <w:b/>
                          <w:color w:val="FFFFFF" w:themeColor="background1"/>
                          <w:sz w:val="12"/>
                          <w:szCs w:val="12"/>
                        </w:rPr>
                      </w:pPr>
                    </w:p>
                    <w:p w14:paraId="6B19930A" w14:textId="77777777" w:rsidR="00FA41FC" w:rsidRDefault="00FA41FC">
                      <w:pPr>
                        <w:spacing w:after="0" w:line="240" w:lineRule="auto"/>
                        <w:jc w:val="center"/>
                        <w:rPr>
                          <w:rFonts w:ascii="Swis721 Th BT" w:hAnsi="Swis721 Th BT"/>
                          <w:b/>
                          <w:color w:val="FFFFFF" w:themeColor="background1"/>
                          <w:sz w:val="23"/>
                          <w:szCs w:val="23"/>
                        </w:rPr>
                      </w:pPr>
                    </w:p>
                    <w:p w14:paraId="4F2AC8DD" w14:textId="77777777" w:rsidR="00FA41FC" w:rsidRDefault="00FA41FC">
                      <w:pPr>
                        <w:spacing w:after="0" w:line="240" w:lineRule="auto"/>
                        <w:jc w:val="center"/>
                        <w:rPr>
                          <w:rFonts w:ascii="Swis721 Th BT" w:hAnsi="Swis721 Th BT"/>
                          <w:b/>
                          <w:color w:val="FFFFFF" w:themeColor="background1"/>
                          <w:sz w:val="12"/>
                          <w:szCs w:val="12"/>
                        </w:rPr>
                      </w:pPr>
                    </w:p>
                    <w:p w14:paraId="3768A538" w14:textId="77777777" w:rsidR="00FA41FC" w:rsidRDefault="00FA41FC"/>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869184" behindDoc="0" locked="0" layoutInCell="1" allowOverlap="1">
                <wp:simplePos x="0" y="0"/>
                <wp:positionH relativeFrom="column">
                  <wp:posOffset>-1905</wp:posOffset>
                </wp:positionH>
                <wp:positionV relativeFrom="paragraph">
                  <wp:posOffset>76835</wp:posOffset>
                </wp:positionV>
                <wp:extent cx="1915795" cy="1001395"/>
                <wp:effectExtent l="0" t="0" r="27305" b="27305"/>
                <wp:wrapNone/>
                <wp:docPr id="739657762" name="Caixa de texto 739657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885" cy="1001486"/>
                        </a:xfrm>
                        <a:prstGeom prst="rect">
                          <a:avLst/>
                        </a:prstGeom>
                        <a:solidFill>
                          <a:srgbClr val="0070C0"/>
                        </a:solidFill>
                        <a:ln w="9525">
                          <a:solidFill>
                            <a:srgbClr val="0070C0"/>
                          </a:solidFill>
                          <a:miter lim="800000"/>
                        </a:ln>
                      </wps:spPr>
                      <wps:txbx>
                        <w:txbxContent>
                          <w:p w14:paraId="02F6AA04"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iCs/>
                                <w:color w:val="FFFFFF" w:themeColor="background1"/>
                                <w:sz w:val="23"/>
                                <w:szCs w:val="23"/>
                              </w:rPr>
                              <w:t>Resveratrol</w:t>
                            </w:r>
                          </w:p>
                          <w:p w14:paraId="4BE51DEA"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75 mg</w:t>
                            </w:r>
                          </w:p>
                          <w:p w14:paraId="2FB97845"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2 vezes ao dia</w:t>
                            </w:r>
                          </w:p>
                          <w:p w14:paraId="7947CCE0"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739657762" o:spid="_x0000_s1161" type="#_x0000_t202" style="position:absolute;left:0;text-align:left;margin-left:-.15pt;margin-top:6.05pt;width:150.85pt;height:78.85pt;z-index:251869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" fillcolor="#0070c0" strokecolor="#0070c0">
                <v:textbox>
                  <w:txbxContent>
                    <w:p w14:paraId="02F6AA04"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iCs/>
                          <w:color w:val="FFFFFF" w:themeColor="background1"/>
                          <w:sz w:val="23"/>
                          <w:szCs w:val="23"/>
                        </w:rPr>
                        <w:t>Resveratrol</w:t>
                      </w:r>
                    </w:p>
                    <w:p w14:paraId="4BE51DEA"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75 mg</w:t>
                      </w:r>
                    </w:p>
                    <w:p w14:paraId="2FB97845"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2 vezes ao dia</w:t>
                      </w:r>
                    </w:p>
                    <w:p w14:paraId="7947CCE0"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p>
    <w:p w14:paraId="528B9719" w14:textId="77777777" w:rsidR="00CD65C2" w:rsidRDefault="00CD65C2">
      <w:pPr>
        <w:pStyle w:val="Corpo"/>
        <w:rPr>
          <w:rFonts w:hint="eastAsia"/>
          <w:color w:val="404040" w:themeColor="text1" w:themeTint="BF"/>
        </w:rPr>
      </w:pPr>
    </w:p>
    <w:p w14:paraId="50307F4F" w14:textId="77777777" w:rsidR="00CD65C2" w:rsidRDefault="00CD65C2">
      <w:pPr>
        <w:pStyle w:val="Corpo"/>
        <w:rPr>
          <w:rFonts w:hint="eastAsia"/>
          <w:color w:val="404040" w:themeColor="text1" w:themeTint="BF"/>
        </w:rPr>
      </w:pPr>
    </w:p>
    <w:p w14:paraId="6F90E2BF" w14:textId="77777777" w:rsidR="00CD65C2" w:rsidRDefault="00CD65C2">
      <w:pPr>
        <w:pStyle w:val="Corpo"/>
        <w:rPr>
          <w:rFonts w:hint="eastAsia"/>
          <w:color w:val="404040" w:themeColor="text1" w:themeTint="BF"/>
        </w:rPr>
      </w:pPr>
    </w:p>
    <w:p w14:paraId="2457AC8E" w14:textId="77777777" w:rsidR="00CD65C2" w:rsidRDefault="00CD65C2">
      <w:pPr>
        <w:pStyle w:val="Corpo"/>
        <w:rPr>
          <w:rFonts w:hint="eastAsia"/>
          <w:color w:val="404040" w:themeColor="text1" w:themeTint="BF"/>
        </w:rPr>
      </w:pPr>
    </w:p>
    <w:p w14:paraId="52837E1B" w14:textId="77777777" w:rsidR="00CD65C2" w:rsidRDefault="00CD65C2">
      <w:pPr>
        <w:pStyle w:val="Corpo"/>
        <w:rPr>
          <w:rFonts w:hint="eastAsia"/>
          <w:color w:val="404040" w:themeColor="text1" w:themeTint="BF"/>
        </w:rPr>
      </w:pPr>
    </w:p>
    <w:p w14:paraId="1989A655" w14:textId="77777777" w:rsidR="00CD65C2" w:rsidRDefault="00CD65C2">
      <w:pPr>
        <w:pStyle w:val="Corpo"/>
        <w:rPr>
          <w:rFonts w:hint="eastAsia"/>
          <w:color w:val="404040" w:themeColor="text1" w:themeTint="BF"/>
        </w:rPr>
      </w:pPr>
    </w:p>
    <w:p w14:paraId="50BEBA28"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3FF881F9" w14:textId="77777777" w:rsidR="00CD65C2" w:rsidRDefault="00CD65C2">
      <w:pPr>
        <w:pStyle w:val="Corpo"/>
        <w:rPr>
          <w:rFonts w:hint="eastAsia"/>
          <w:color w:val="404040" w:themeColor="text1" w:themeTint="BF"/>
          <w:sz w:val="16"/>
          <w:szCs w:val="16"/>
        </w:rPr>
      </w:pPr>
    </w:p>
    <w:p w14:paraId="3B9F0772" w14:textId="21D818E1" w:rsidR="00CD65C2" w:rsidRDefault="00FA41FC">
      <w:pPr>
        <w:pStyle w:val="PargrafodaLista"/>
        <w:numPr>
          <w:ilvl w:val="0"/>
          <w:numId w:val="37"/>
        </w:numPr>
        <w:jc w:val="both"/>
        <w:rPr>
          <w:rFonts w:ascii="Swis721 Th BT" w:eastAsia="MS Mincho" w:hAnsi="Swis721 Th BT" w:hint="eastAsia"/>
          <w:bCs/>
          <w:color w:val="404040" w:themeColor="text1" w:themeTint="BF"/>
          <w:sz w:val="24"/>
          <w:szCs w:val="24"/>
        </w:rPr>
      </w:pPr>
      <w:r>
        <w:rPr>
          <w:rFonts w:ascii="Swis721 Th BT" w:eastAsia="MS Mincho" w:hAnsi="Swis721 Th BT"/>
          <w:bCs/>
          <w:color w:val="404040" w:themeColor="text1" w:themeTint="BF"/>
          <w:sz w:val="24"/>
          <w:szCs w:val="24"/>
        </w:rPr>
        <w:t xml:space="preserve">Após 12 meses de suplementação com resveratrol </w:t>
      </w:r>
      <w:r>
        <w:rPr>
          <w:rFonts w:ascii="Swis721 Th BT" w:eastAsia="MS Mincho" w:hAnsi="Swis721 Th BT"/>
          <w:bCs/>
          <w:i/>
          <w:color w:val="404040" w:themeColor="text1" w:themeTint="BF"/>
          <w:sz w:val="24"/>
          <w:szCs w:val="24"/>
        </w:rPr>
        <w:t>vs</w:t>
      </w:r>
      <w:r>
        <w:rPr>
          <w:rFonts w:ascii="Swis721 Th BT" w:eastAsia="MS Mincho" w:hAnsi="Swis721 Th BT"/>
          <w:bCs/>
          <w:color w:val="404040" w:themeColor="text1" w:themeTint="BF"/>
          <w:sz w:val="24"/>
          <w:szCs w:val="24"/>
        </w:rPr>
        <w:t>. placebo, houve efeitos positivos na densidade mineral óssea da espinha lombar (+0,016 g/cm</w:t>
      </w:r>
      <w:r>
        <w:rPr>
          <w:rFonts w:ascii="Swis721 Th BT" w:eastAsia="MS Mincho" w:hAnsi="Swis721 Th BT"/>
          <w:bCs/>
          <w:color w:val="404040" w:themeColor="text1" w:themeTint="BF"/>
          <w:sz w:val="24"/>
          <w:szCs w:val="24"/>
          <w:vertAlign w:val="superscript"/>
        </w:rPr>
        <w:t>2</w:t>
      </w:r>
      <w:r>
        <w:rPr>
          <w:rFonts w:ascii="Swis721 Th BT" w:eastAsia="MS Mincho" w:hAnsi="Swis721 Th BT"/>
          <w:bCs/>
          <w:color w:val="404040" w:themeColor="text1" w:themeTint="BF"/>
          <w:sz w:val="24"/>
          <w:szCs w:val="24"/>
        </w:rPr>
        <w:t>) e do pescoço do fêmur (+0,005 g/cm</w:t>
      </w:r>
      <w:r>
        <w:rPr>
          <w:rFonts w:ascii="Swis721 Th BT" w:eastAsia="MS Mincho" w:hAnsi="Swis721 Th BT"/>
          <w:bCs/>
          <w:color w:val="404040" w:themeColor="text1" w:themeTint="BF"/>
          <w:sz w:val="24"/>
          <w:szCs w:val="24"/>
          <w:vertAlign w:val="superscript"/>
        </w:rPr>
        <w:t>2</w:t>
      </w:r>
      <w:r>
        <w:rPr>
          <w:rFonts w:ascii="Swis721 Th BT" w:eastAsia="MS Mincho" w:hAnsi="Swis721 Th BT"/>
          <w:bCs/>
          <w:color w:val="404040" w:themeColor="text1" w:themeTint="BF"/>
          <w:sz w:val="24"/>
          <w:szCs w:val="24"/>
        </w:rPr>
        <w:t>);</w:t>
      </w:r>
    </w:p>
    <w:p w14:paraId="5EED8005" w14:textId="65BD898D" w:rsidR="00CD65C2" w:rsidRDefault="00FA41FC">
      <w:pPr>
        <w:pStyle w:val="PargrafodaLista"/>
        <w:numPr>
          <w:ilvl w:val="0"/>
          <w:numId w:val="37"/>
        </w:numPr>
        <w:jc w:val="both"/>
        <w:rPr>
          <w:rFonts w:ascii="Swis721 Th BT" w:eastAsia="MS Mincho" w:hAnsi="Swis721 Th BT" w:hint="eastAsia"/>
          <w:b/>
          <w:bCs/>
          <w:color w:val="404040" w:themeColor="text1" w:themeTint="BF"/>
          <w:sz w:val="24"/>
          <w:szCs w:val="24"/>
        </w:rPr>
      </w:pPr>
      <w:r>
        <w:rPr>
          <w:rFonts w:ascii="Swis721 Th BT" w:eastAsia="MS Mincho" w:hAnsi="Swis721 Th BT"/>
          <w:bCs/>
          <w:color w:val="404040" w:themeColor="text1" w:themeTint="BF"/>
          <w:sz w:val="24"/>
          <w:szCs w:val="24"/>
        </w:rPr>
        <w:t>Essas modificações foram acompanhadas por 7,24% de diminuição do telopeptídeo C terminal do colágeno tipo 1 (CTx), um marcador da reabsorção óssea em comparação com o placebo;</w:t>
      </w:r>
    </w:p>
    <w:p w14:paraId="58553753" w14:textId="77777777" w:rsidR="00CD65C2" w:rsidRDefault="00FA41FC">
      <w:pPr>
        <w:pStyle w:val="PargrafodaLista"/>
        <w:numPr>
          <w:ilvl w:val="0"/>
          <w:numId w:val="37"/>
        </w:numPr>
        <w:jc w:val="both"/>
        <w:rPr>
          <w:rFonts w:ascii="Swis721 Th BT" w:eastAsia="MS Mincho" w:hAnsi="Swis721 Th BT" w:hint="eastAsia"/>
          <w:b/>
          <w:bCs/>
          <w:color w:val="404040" w:themeColor="text1" w:themeTint="BF"/>
          <w:sz w:val="24"/>
          <w:szCs w:val="24"/>
        </w:rPr>
      </w:pPr>
      <w:r>
        <w:rPr>
          <w:rFonts w:ascii="Swis721 Th BT" w:eastAsia="MS Mincho" w:hAnsi="Swis721 Th BT"/>
          <w:bCs/>
          <w:color w:val="404040" w:themeColor="text1" w:themeTint="BF"/>
          <w:sz w:val="24"/>
          <w:szCs w:val="24"/>
        </w:rPr>
        <w:t>O aumento da densidade mineral óssea (DMO) no pescoço do fêmur resultou em uma melhora na possibilidade de ocorrer quedas e fraturas do quadril;</w:t>
      </w:r>
    </w:p>
    <w:p w14:paraId="5838607D" w14:textId="77777777" w:rsidR="00CD65C2" w:rsidRDefault="00FA41FC">
      <w:pPr>
        <w:pStyle w:val="PargrafodaLista"/>
        <w:numPr>
          <w:ilvl w:val="0"/>
          <w:numId w:val="37"/>
        </w:numPr>
        <w:jc w:val="both"/>
        <w:rPr>
          <w:rFonts w:ascii="Swis721 Th BT" w:eastAsia="MS Mincho" w:hAnsi="Swis721 Th BT" w:hint="eastAsia"/>
          <w:b/>
          <w:bCs/>
          <w:color w:val="404040" w:themeColor="text1" w:themeTint="BF"/>
          <w:sz w:val="24"/>
          <w:szCs w:val="24"/>
        </w:rPr>
      </w:pPr>
      <w:r>
        <w:rPr>
          <w:rFonts w:ascii="Swis721 Th BT" w:eastAsia="MS Mincho" w:hAnsi="Swis721 Th BT"/>
          <w:bCs/>
          <w:color w:val="404040" w:themeColor="text1" w:themeTint="BF"/>
          <w:sz w:val="24"/>
          <w:szCs w:val="24"/>
        </w:rPr>
        <w:t>As análises mostraram que as mulheres com biomarcadores da saúde óssea mais fracos foram as que apresentaram melhores resultados.</w:t>
      </w:r>
    </w:p>
    <w:p w14:paraId="05DA867D" w14:textId="77777777" w:rsidR="00CD65C2" w:rsidRDefault="00CD65C2">
      <w:pPr>
        <w:pStyle w:val="PargrafodaLista"/>
        <w:ind w:left="360"/>
        <w:rPr>
          <w:rFonts w:ascii="Swis721 Th BT" w:eastAsia="MS Mincho" w:hAnsi="Swis721 Th BT" w:hint="eastAsia"/>
          <w:bCs/>
          <w:color w:val="404040" w:themeColor="text1" w:themeTint="BF"/>
          <w:sz w:val="24"/>
          <w:szCs w:val="24"/>
        </w:rPr>
      </w:pPr>
    </w:p>
    <w:p w14:paraId="2B660C2E"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04EDFEFB"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395B947D" w14:textId="77777777" w:rsidR="00CD65C2" w:rsidRDefault="00FA41FC">
      <w:pPr>
        <w:pStyle w:val="Corpo"/>
        <w:spacing w:line="276" w:lineRule="auto"/>
        <w:jc w:val="center"/>
        <w:rPr>
          <w:rFonts w:hint="eastAsia"/>
          <w:b/>
          <w:i/>
          <w:color w:val="404040" w:themeColor="text1" w:themeTint="BF"/>
        </w:rPr>
      </w:pPr>
      <w:r>
        <w:rPr>
          <w:b/>
          <w:i/>
          <w:color w:val="404040" w:themeColor="text1" w:themeTint="BF"/>
        </w:rPr>
        <w:t>O estudo demonstrou que a suplementação com resveratrol melhorou a DMO do fêmur, e tal fato foi associado com efeitos protetores contra quedas e fraturas.</w:t>
      </w:r>
    </w:p>
    <w:p w14:paraId="095C46D2" w14:textId="77777777" w:rsidR="00CD65C2" w:rsidRDefault="00FA41FC">
      <w:pPr>
        <w:pStyle w:val="Ttulo1"/>
        <w:jc w:val="center"/>
        <w:rPr>
          <w:rFonts w:hint="eastAsia"/>
        </w:rPr>
      </w:pPr>
      <w:bookmarkStart w:id="104" w:name="_Toc165537253"/>
      <w:r>
        <w:t>Formulário</w:t>
      </w:r>
      <w:bookmarkEnd w:id="104"/>
    </w:p>
    <w:p w14:paraId="34159DBD" w14:textId="77777777" w:rsidR="00CD65C2" w:rsidRDefault="00CD65C2">
      <w:pPr>
        <w:pStyle w:val="Corpo"/>
        <w:rPr>
          <w:rFonts w:hint="eastAsia"/>
          <w:b/>
          <w:i/>
          <w:color w:val="404040" w:themeColor="text1" w:themeTint="BF"/>
        </w:rPr>
      </w:pPr>
    </w:p>
    <w:p w14:paraId="3C511F05" w14:textId="77777777" w:rsidR="00CD65C2" w:rsidRDefault="00CD65C2">
      <w:pPr>
        <w:pStyle w:val="Corpo"/>
        <w:rPr>
          <w:rFonts w:hint="eastAsia"/>
          <w:b/>
          <w:i/>
          <w:color w:val="404040" w:themeColor="text1" w:themeTint="BF"/>
        </w:rPr>
      </w:pPr>
    </w:p>
    <w:p w14:paraId="0F1FE7F9" w14:textId="77777777" w:rsidR="00CD65C2" w:rsidRDefault="00FA41FC">
      <w:pPr>
        <w:pStyle w:val="Corpo"/>
        <w:rPr>
          <w:rFonts w:hint="eastAsia"/>
          <w:b/>
          <w:i/>
          <w:color w:val="404040" w:themeColor="text1" w:themeTint="BF"/>
          <w:sz w:val="24"/>
        </w:rPr>
      </w:pPr>
      <w:r>
        <w:rPr>
          <w:b/>
          <w:i/>
          <w:color w:val="404040" w:themeColor="text1" w:themeTint="BF"/>
          <w:sz w:val="24"/>
        </w:rPr>
        <w:t>Resveratrol Melhora a DMO e Age na Prevenção de Quedas e Fraturas</w:t>
      </w:r>
    </w:p>
    <w:p w14:paraId="5612F72D"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36AB198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30A14A45" w14:textId="77777777" w:rsidR="00CD65C2" w:rsidRDefault="00FA41FC">
            <w:pPr>
              <w:pStyle w:val="Corpo"/>
              <w:jc w:val="center"/>
              <w:rPr>
                <w:rFonts w:hint="eastAsia"/>
                <w:b/>
                <w:color w:val="FFFFFF" w:themeColor="background1"/>
              </w:rPr>
            </w:pPr>
            <w:r>
              <w:rPr>
                <w:b/>
                <w:color w:val="FFFFFF" w:themeColor="background1"/>
                <w:sz w:val="22"/>
              </w:rPr>
              <w:t>Cápsulas de Resveratrol</w:t>
            </w:r>
          </w:p>
        </w:tc>
      </w:tr>
      <w:tr w:rsidR="00CD65C2" w14:paraId="1A681369"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CFE1492" w14:textId="77777777" w:rsidR="00CD65C2" w:rsidRDefault="00FA41FC">
            <w:pPr>
              <w:pStyle w:val="Corpo"/>
              <w:rPr>
                <w:rFonts w:hint="eastAsia"/>
                <w:color w:val="404040" w:themeColor="text1" w:themeTint="BF"/>
              </w:rPr>
            </w:pPr>
            <w:r>
              <w:rPr>
                <w:color w:val="404040" w:themeColor="text1" w:themeTint="BF"/>
              </w:rPr>
              <w:t>Resveratrol........................................75 mg</w:t>
            </w:r>
          </w:p>
        </w:tc>
      </w:tr>
      <w:tr w:rsidR="00CD65C2" w14:paraId="6EE41E93"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5BD6BFA" w14:textId="3352DF88" w:rsidR="00CD65C2" w:rsidRDefault="00FA41FC">
            <w:pPr>
              <w:pStyle w:val="Corpo"/>
              <w:jc w:val="center"/>
              <w:rPr>
                <w:rFonts w:hint="eastAsia"/>
                <w:color w:val="404040" w:themeColor="text1" w:themeTint="BF"/>
              </w:rPr>
            </w:pPr>
            <w:r>
              <w:rPr>
                <w:color w:val="404040" w:themeColor="text1" w:themeTint="BF"/>
              </w:rPr>
              <w:t>Excipiente q.s.p. ........................1 Cápsula</w:t>
            </w:r>
          </w:p>
        </w:tc>
      </w:tr>
    </w:tbl>
    <w:p w14:paraId="4075D58E" w14:textId="0D56412C" w:rsidR="00CD65C2" w:rsidRDefault="00FA41FC">
      <w:pPr>
        <w:pStyle w:val="Corpo"/>
        <w:ind w:right="4818"/>
        <w:jc w:val="center"/>
        <w:rPr>
          <w:rFonts w:hint="eastAsia"/>
          <w:color w:val="404040" w:themeColor="text1" w:themeTint="BF"/>
          <w:sz w:val="22"/>
          <w:szCs w:val="22"/>
        </w:rPr>
      </w:pPr>
      <w:r>
        <w:rPr>
          <w:color w:val="404040" w:themeColor="text1" w:themeTint="BF"/>
          <w:sz w:val="22"/>
          <w:szCs w:val="22"/>
        </w:rPr>
        <w:t>Administrar 1 cápsula duas vezes ao dia ou conforme orientação médica.</w:t>
      </w:r>
    </w:p>
    <w:p w14:paraId="038E6EA6" w14:textId="77777777" w:rsidR="00CD65C2" w:rsidRDefault="00CD65C2">
      <w:pPr>
        <w:pStyle w:val="SemEspaamento"/>
      </w:pPr>
    </w:p>
    <w:p w14:paraId="0A37836A" w14:textId="77777777" w:rsidR="00CD65C2" w:rsidRDefault="00CD65C2">
      <w:pPr>
        <w:pStyle w:val="SemEspaamento"/>
      </w:pPr>
    </w:p>
    <w:p w14:paraId="0EB93A53" w14:textId="77777777" w:rsidR="00CD65C2" w:rsidRDefault="00CD65C2">
      <w:pPr>
        <w:pStyle w:val="SemEspaamento"/>
      </w:pPr>
    </w:p>
    <w:p w14:paraId="72FF3A32" w14:textId="77777777" w:rsidR="00CD65C2" w:rsidRDefault="00CD65C2">
      <w:pPr>
        <w:pStyle w:val="SemEspaamento"/>
      </w:pPr>
    </w:p>
    <w:p w14:paraId="44688B45" w14:textId="77777777" w:rsidR="00CD65C2" w:rsidRDefault="00CD65C2">
      <w:pPr>
        <w:pStyle w:val="SemEspaamento"/>
      </w:pPr>
    </w:p>
    <w:p w14:paraId="79B3C0B0" w14:textId="77777777" w:rsidR="00CD65C2" w:rsidRDefault="00CD65C2">
      <w:pPr>
        <w:pStyle w:val="SemEspaamento"/>
      </w:pPr>
    </w:p>
    <w:p w14:paraId="7FF40BFB" w14:textId="77777777" w:rsidR="00CD65C2" w:rsidRDefault="00CD65C2">
      <w:pPr>
        <w:pStyle w:val="SemEspaamento"/>
      </w:pPr>
    </w:p>
    <w:p w14:paraId="507C99B0" w14:textId="77777777" w:rsidR="00CD65C2" w:rsidRDefault="00CD65C2">
      <w:pPr>
        <w:pStyle w:val="SemEspaamento"/>
      </w:pPr>
    </w:p>
    <w:p w14:paraId="5720D85E" w14:textId="77777777" w:rsidR="00CD65C2" w:rsidRDefault="00CD65C2">
      <w:pPr>
        <w:pStyle w:val="SemEspaamento"/>
      </w:pPr>
    </w:p>
    <w:p w14:paraId="2219696A" w14:textId="77777777" w:rsidR="00CD65C2" w:rsidRDefault="00CD65C2">
      <w:pPr>
        <w:pStyle w:val="SemEspaamento"/>
      </w:pPr>
    </w:p>
    <w:p w14:paraId="43EDC420" w14:textId="77777777" w:rsidR="00CD65C2" w:rsidRDefault="00CD65C2">
      <w:pPr>
        <w:pStyle w:val="SemEspaamento"/>
      </w:pPr>
    </w:p>
    <w:p w14:paraId="1389D772" w14:textId="77777777" w:rsidR="00CD65C2" w:rsidRDefault="00CD65C2">
      <w:pPr>
        <w:pStyle w:val="SemEspaamento"/>
      </w:pPr>
    </w:p>
    <w:p w14:paraId="2A1ADF65" w14:textId="77777777" w:rsidR="00CD65C2" w:rsidRDefault="00CD65C2">
      <w:pPr>
        <w:pStyle w:val="SemEspaamento"/>
      </w:pPr>
    </w:p>
    <w:p w14:paraId="63F8FB42" w14:textId="77777777" w:rsidR="00CD65C2" w:rsidRDefault="00CD65C2">
      <w:pPr>
        <w:pStyle w:val="SemEspaamento"/>
      </w:pPr>
    </w:p>
    <w:p w14:paraId="61CBFD73" w14:textId="77777777" w:rsidR="00CD65C2" w:rsidRDefault="00CD65C2">
      <w:pPr>
        <w:pStyle w:val="SemEspaamento"/>
      </w:pPr>
    </w:p>
    <w:p w14:paraId="69C702E3" w14:textId="77777777" w:rsidR="00CD65C2" w:rsidRDefault="00CD65C2">
      <w:pPr>
        <w:pStyle w:val="SemEspaamento"/>
      </w:pPr>
    </w:p>
    <w:p w14:paraId="12C69DB4" w14:textId="77777777" w:rsidR="00CD65C2" w:rsidRDefault="00CD65C2">
      <w:pPr>
        <w:pStyle w:val="SemEspaamento"/>
      </w:pPr>
    </w:p>
    <w:p w14:paraId="689CB0B2" w14:textId="77777777" w:rsidR="00CD65C2" w:rsidRDefault="00CD65C2">
      <w:pPr>
        <w:pStyle w:val="SemEspaamento"/>
      </w:pPr>
    </w:p>
    <w:p w14:paraId="5E33803E" w14:textId="77777777" w:rsidR="00CD65C2" w:rsidRDefault="00CD65C2">
      <w:pPr>
        <w:pStyle w:val="SemEspaamento"/>
      </w:pPr>
    </w:p>
    <w:p w14:paraId="78CBB3B8" w14:textId="77777777" w:rsidR="00CD65C2" w:rsidRDefault="00CD65C2">
      <w:pPr>
        <w:pStyle w:val="SemEspaamento"/>
      </w:pPr>
    </w:p>
    <w:p w14:paraId="39BA9AF2" w14:textId="77777777" w:rsidR="00CD65C2" w:rsidRDefault="00CD65C2">
      <w:pPr>
        <w:pStyle w:val="SemEspaamento"/>
      </w:pPr>
    </w:p>
    <w:p w14:paraId="46D70E8E" w14:textId="77777777" w:rsidR="00CD65C2" w:rsidRDefault="00CD65C2">
      <w:pPr>
        <w:pStyle w:val="SemEspaamento"/>
      </w:pPr>
    </w:p>
    <w:p w14:paraId="435632DB" w14:textId="77777777" w:rsidR="00CD65C2" w:rsidRDefault="00CD65C2">
      <w:pPr>
        <w:pStyle w:val="SemEspaamento"/>
      </w:pPr>
    </w:p>
    <w:p w14:paraId="5CE9CA28" w14:textId="77777777" w:rsidR="00CD65C2" w:rsidRDefault="00CD65C2">
      <w:pPr>
        <w:pStyle w:val="SemEspaamento"/>
      </w:pPr>
    </w:p>
    <w:p w14:paraId="0FFD4F21" w14:textId="77777777" w:rsidR="00CD65C2" w:rsidRDefault="00CD65C2">
      <w:pPr>
        <w:pStyle w:val="SemEspaamento"/>
      </w:pPr>
    </w:p>
    <w:p w14:paraId="03D15C5D" w14:textId="77777777" w:rsidR="00CD65C2" w:rsidRDefault="00CD65C2">
      <w:pPr>
        <w:pStyle w:val="SemEspaamento"/>
      </w:pPr>
    </w:p>
    <w:p w14:paraId="11D1182E" w14:textId="77777777" w:rsidR="00CD65C2" w:rsidRDefault="00CD65C2">
      <w:pPr>
        <w:pStyle w:val="SemEspaamento"/>
      </w:pPr>
    </w:p>
    <w:p w14:paraId="1D995FA0" w14:textId="77777777" w:rsidR="00CD65C2" w:rsidRDefault="00CD65C2">
      <w:pPr>
        <w:pStyle w:val="SemEspaamento"/>
      </w:pPr>
    </w:p>
    <w:p w14:paraId="1FF63878" w14:textId="77777777" w:rsidR="00CD65C2" w:rsidRDefault="00CD65C2">
      <w:pPr>
        <w:pStyle w:val="SemEspaamento"/>
      </w:pPr>
    </w:p>
    <w:p w14:paraId="43E1280A" w14:textId="77777777" w:rsidR="00CD65C2" w:rsidRDefault="00CD65C2">
      <w:pPr>
        <w:pStyle w:val="SemEspaamento"/>
      </w:pPr>
    </w:p>
    <w:p w14:paraId="2FC9D64F" w14:textId="77777777" w:rsidR="00CD65C2" w:rsidRDefault="00CD65C2">
      <w:pPr>
        <w:pStyle w:val="SemEspaamento"/>
      </w:pPr>
    </w:p>
    <w:p w14:paraId="6D2F63E5" w14:textId="77777777" w:rsidR="00CD65C2" w:rsidRDefault="00CD65C2">
      <w:pPr>
        <w:pStyle w:val="SemEspaamento"/>
      </w:pPr>
    </w:p>
    <w:p w14:paraId="4E18482B" w14:textId="77777777" w:rsidR="00CD65C2" w:rsidRDefault="00FA41FC">
      <w:pPr>
        <w:pStyle w:val="Ttulo1"/>
        <w:jc w:val="center"/>
        <w:rPr>
          <w:rFonts w:hint="eastAsia"/>
        </w:rPr>
      </w:pPr>
      <w:bookmarkStart w:id="105" w:name="_Toc165537254"/>
      <w:r>
        <w:t>Ashwagandha</w:t>
      </w:r>
      <w:bookmarkEnd w:id="105"/>
    </w:p>
    <w:p w14:paraId="14957CC1" w14:textId="77777777" w:rsidR="00CD65C2" w:rsidRPr="00D1428E" w:rsidRDefault="00FA41FC">
      <w:pPr>
        <w:pStyle w:val="Corpo"/>
        <w:spacing w:after="120"/>
        <w:jc w:val="center"/>
        <w:rPr>
          <w:rFonts w:hint="eastAsia"/>
          <w:color w:val="0070C0"/>
          <w:sz w:val="24"/>
        </w:rPr>
      </w:pPr>
      <w:r w:rsidRPr="00D1428E">
        <w:rPr>
          <w:b/>
          <w:color w:val="0070C0"/>
          <w:sz w:val="40"/>
        </w:rPr>
        <w:t>Segura e Eficaz para Aliviar os Sintomas Climatéricos Leves a Moderados</w:t>
      </w:r>
    </w:p>
    <w:p w14:paraId="45DFB781" w14:textId="77777777" w:rsidR="00CD65C2" w:rsidRDefault="00CD65C2">
      <w:pPr>
        <w:pStyle w:val="Corpo"/>
        <w:rPr>
          <w:rFonts w:hint="eastAsia"/>
          <w:color w:val="404040" w:themeColor="text1" w:themeTint="BF"/>
          <w:sz w:val="24"/>
        </w:rPr>
      </w:pPr>
    </w:p>
    <w:p w14:paraId="328F9CF7" w14:textId="77777777" w:rsidR="00CD65C2" w:rsidRDefault="00FA41FC">
      <w:pPr>
        <w:pStyle w:val="Corpo"/>
        <w:rPr>
          <w:rFonts w:hint="eastAsia"/>
          <w:color w:val="404040" w:themeColor="text1" w:themeTint="BF"/>
          <w:sz w:val="24"/>
        </w:rPr>
      </w:pPr>
      <w:r>
        <w:rPr>
          <w:color w:val="404040" w:themeColor="text1" w:themeTint="BF"/>
          <w:sz w:val="24"/>
        </w:rPr>
        <w:t>Este estudo teve como objetivo avaliar a eficácia e tolerabilidade de um extrato da raiz de Ashwagandha sobre os sintomas do climatério, qualidade de vida (QV) e parâmetros hormonais em mulheres na perimenopausa (</w:t>
      </w:r>
      <w:r>
        <w:rPr>
          <w:color w:val="404040" w:themeColor="text1" w:themeTint="BF"/>
        </w:rPr>
        <w:t xml:space="preserve">GOPAL </w:t>
      </w:r>
      <w:r>
        <w:rPr>
          <w:i/>
          <w:color w:val="404040" w:themeColor="text1" w:themeTint="BF"/>
        </w:rPr>
        <w:t xml:space="preserve">et al., </w:t>
      </w:r>
      <w:r>
        <w:rPr>
          <w:color w:val="404040" w:themeColor="text1" w:themeTint="BF"/>
        </w:rPr>
        <w:t>2021).</w:t>
      </w:r>
    </w:p>
    <w:p w14:paraId="4A85860C"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76352" behindDoc="0" locked="0" layoutInCell="1" allowOverlap="1">
                <wp:simplePos x="0" y="0"/>
                <wp:positionH relativeFrom="margin">
                  <wp:posOffset>-1905</wp:posOffset>
                </wp:positionH>
                <wp:positionV relativeFrom="paragraph">
                  <wp:posOffset>38735</wp:posOffset>
                </wp:positionV>
                <wp:extent cx="5735955" cy="544195"/>
                <wp:effectExtent l="0" t="0" r="17780" b="27305"/>
                <wp:wrapNone/>
                <wp:docPr id="739657763" name="Caixa de texto 739657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781" cy="544286"/>
                        </a:xfrm>
                        <a:prstGeom prst="rect">
                          <a:avLst/>
                        </a:prstGeom>
                        <a:solidFill>
                          <a:schemeClr val="bg1">
                            <a:lumMod val="100000"/>
                            <a:lumOff val="0"/>
                          </a:schemeClr>
                        </a:solidFill>
                        <a:ln w="9525">
                          <a:solidFill>
                            <a:srgbClr val="0070C0"/>
                          </a:solidFill>
                          <a:miter lim="800000"/>
                        </a:ln>
                      </wps:spPr>
                      <wps:txbx>
                        <w:txbxContent>
                          <w:p w14:paraId="3E964212" w14:textId="5EA3D5D9" w:rsidR="00FA41FC" w:rsidRDefault="00FA41FC">
                            <w:pPr>
                              <w:spacing w:after="0"/>
                              <w:jc w:val="center"/>
                              <w:rPr>
                                <w:rFonts w:ascii="Swis721 Th BT" w:hAnsi="Swis721 Th BT"/>
                                <w:sz w:val="23"/>
                                <w:szCs w:val="23"/>
                              </w:rPr>
                            </w:pPr>
                            <w:r>
                              <w:rPr>
                                <w:rFonts w:ascii="Swis721 Th BT" w:hAnsi="Swis721 Th BT"/>
                                <w:sz w:val="23"/>
                                <w:szCs w:val="23"/>
                              </w:rPr>
                              <w:t xml:space="preserve">100 mulheres com sintomas climatéricos foram selecionadas aleatoriamente para receberem durante oito semanas: </w:t>
                            </w:r>
                          </w:p>
                          <w:p w14:paraId="2571924B"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763" o:spid="_x0000_s1162" type="#_x0000_t202" style="position:absolute;left:0;text-align:left;margin-left:-.15pt;margin-top:3.05pt;width:451.65pt;height:42.85pt;z-index:2518763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" fillcolor="white [3212]" strokecolor="#0070c0">
                <v:textbox>
                  <w:txbxContent>
                    <w:p w14:paraId="3E964212" w14:textId="5EA3D5D9" w:rsidR="00FA41FC" w:rsidRDefault="00FA41FC">
                      <w:pPr>
                        <w:spacing w:after="0"/>
                        <w:jc w:val="center"/>
                        <w:rPr>
                          <w:rFonts w:ascii="Swis721 Th BT" w:hAnsi="Swis721 Th BT"/>
                          <w:sz w:val="23"/>
                          <w:szCs w:val="23"/>
                        </w:rPr>
                      </w:pPr>
                      <w:r>
                        <w:rPr>
                          <w:rFonts w:ascii="Swis721 Th BT" w:hAnsi="Swis721 Th BT"/>
                          <w:sz w:val="23"/>
                          <w:szCs w:val="23"/>
                        </w:rPr>
                        <w:t xml:space="preserve">100 mulheres com sintomas climatéricos foram selecionadas aleatoriamente para receberem durante oito semanas: </w:t>
                      </w:r>
                    </w:p>
                    <w:p w14:paraId="2571924B"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1106145A" w14:textId="77777777" w:rsidR="00CD65C2" w:rsidRDefault="00CD65C2">
      <w:pPr>
        <w:pStyle w:val="Corpo"/>
        <w:rPr>
          <w:rFonts w:hint="eastAsia"/>
          <w:color w:val="404040" w:themeColor="text1" w:themeTint="BF"/>
        </w:rPr>
      </w:pPr>
    </w:p>
    <w:p w14:paraId="314770A7"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875328" behindDoc="0" locked="0" layoutInCell="1" allowOverlap="1">
                <wp:simplePos x="0" y="0"/>
                <wp:positionH relativeFrom="column">
                  <wp:posOffset>3752850</wp:posOffset>
                </wp:positionH>
                <wp:positionV relativeFrom="paragraph">
                  <wp:posOffset>87630</wp:posOffset>
                </wp:positionV>
                <wp:extent cx="1969770" cy="990600"/>
                <wp:effectExtent l="0" t="0" r="11430" b="19685"/>
                <wp:wrapNone/>
                <wp:docPr id="739657766" name="Caixa de texto 739657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861" cy="990509"/>
                        </a:xfrm>
                        <a:prstGeom prst="rect">
                          <a:avLst/>
                        </a:prstGeom>
                        <a:solidFill>
                          <a:srgbClr val="0070C0"/>
                        </a:solidFill>
                        <a:ln w="9525">
                          <a:solidFill>
                            <a:srgbClr val="0070C0"/>
                          </a:solidFill>
                          <a:miter lim="800000"/>
                        </a:ln>
                      </wps:spPr>
                      <wps:txbx>
                        <w:txbxContent>
                          <w:p w14:paraId="549626EE"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1F605047" w14:textId="77777777" w:rsidR="00FA41FC" w:rsidRDefault="00FA41FC">
                            <w:pPr>
                              <w:spacing w:after="0" w:line="240" w:lineRule="auto"/>
                              <w:jc w:val="center"/>
                              <w:rPr>
                                <w:rFonts w:ascii="Swis721 Th BT" w:hAnsi="Swis721 Th BT"/>
                                <w:bCs/>
                                <w:color w:val="FFFFFF" w:themeColor="background1"/>
                                <w:sz w:val="23"/>
                                <w:szCs w:val="23"/>
                              </w:rPr>
                            </w:pPr>
                          </w:p>
                          <w:p w14:paraId="4CF48923"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14:paraId="5C3DD948" w14:textId="77777777" w:rsidR="00FA41FC" w:rsidRDefault="00FA41FC">
                            <w:pPr>
                              <w:spacing w:after="0" w:line="240" w:lineRule="auto"/>
                              <w:jc w:val="center"/>
                              <w:rPr>
                                <w:rFonts w:ascii="Swis721 Th BT" w:hAnsi="Swis721 Th BT"/>
                                <w:b/>
                                <w:color w:val="FFFFFF" w:themeColor="background1"/>
                                <w:sz w:val="12"/>
                                <w:szCs w:val="12"/>
                              </w:rPr>
                            </w:pPr>
                          </w:p>
                          <w:p w14:paraId="4BC589A1" w14:textId="77777777" w:rsidR="00FA41FC" w:rsidRDefault="00FA41FC">
                            <w:pPr>
                              <w:spacing w:after="0" w:line="240" w:lineRule="auto"/>
                              <w:jc w:val="center"/>
                              <w:rPr>
                                <w:rFonts w:ascii="Swis721 Th BT" w:hAnsi="Swis721 Th BT"/>
                                <w:b/>
                                <w:color w:val="FFFFFF" w:themeColor="background1"/>
                                <w:sz w:val="23"/>
                                <w:szCs w:val="23"/>
                              </w:rPr>
                            </w:pPr>
                          </w:p>
                          <w:p w14:paraId="743DC398" w14:textId="77777777" w:rsidR="00FA41FC" w:rsidRDefault="00FA41FC">
                            <w:pPr>
                              <w:spacing w:after="0" w:line="240" w:lineRule="auto"/>
                              <w:jc w:val="center"/>
                              <w:rPr>
                                <w:rFonts w:ascii="Swis721 Th BT" w:hAnsi="Swis721 Th BT"/>
                                <w:b/>
                                <w:color w:val="FFFFFF" w:themeColor="background1"/>
                                <w:sz w:val="12"/>
                                <w:szCs w:val="12"/>
                              </w:rPr>
                            </w:pPr>
                          </w:p>
                          <w:p w14:paraId="0085A3D2" w14:textId="77777777" w:rsidR="00FA41FC" w:rsidRDefault="00FA41FC"/>
                        </w:txbxContent>
                      </wps:txbx>
                      <wps:bodyPr rot="0" vert="horz" wrap="square" lIns="91440" tIns="45720" rIns="91440" bIns="45720" anchor="t" anchorCtr="0" upright="1">
                        <a:noAutofit/>
                      </wps:bodyPr>
                    </wps:wsp>
                  </a:graphicData>
                </a:graphic>
              </wp:anchor>
            </w:drawing>
          </mc:Choice>
          <mc:Fallback>
            <w:pict>
              <v:shape id="Caixa de texto 739657766" o:spid="_x0000_s1163" type="#_x0000_t202" style="position:absolute;left:0;text-align:left;margin-left:295.5pt;margin-top:6.9pt;width:155.1pt;height:78pt;z-index:251875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" fillcolor="#0070c0" strokecolor="#0070c0">
                <v:textbox>
                  <w:txbxContent>
                    <w:p w14:paraId="549626EE"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1F605047" w14:textId="77777777" w:rsidR="00FA41FC" w:rsidRDefault="00FA41FC">
                      <w:pPr>
                        <w:spacing w:after="0" w:line="240" w:lineRule="auto"/>
                        <w:jc w:val="center"/>
                        <w:rPr>
                          <w:rFonts w:ascii="Swis721 Th BT" w:hAnsi="Swis721 Th BT"/>
                          <w:bCs/>
                          <w:color w:val="FFFFFF" w:themeColor="background1"/>
                          <w:sz w:val="23"/>
                          <w:szCs w:val="23"/>
                        </w:rPr>
                      </w:pPr>
                    </w:p>
                    <w:p w14:paraId="4CF48923"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14:paraId="5C3DD948" w14:textId="77777777" w:rsidR="00FA41FC" w:rsidRDefault="00FA41FC">
                      <w:pPr>
                        <w:spacing w:after="0" w:line="240" w:lineRule="auto"/>
                        <w:jc w:val="center"/>
                        <w:rPr>
                          <w:rFonts w:ascii="Swis721 Th BT" w:hAnsi="Swis721 Th BT"/>
                          <w:b/>
                          <w:color w:val="FFFFFF" w:themeColor="background1"/>
                          <w:sz w:val="12"/>
                          <w:szCs w:val="12"/>
                        </w:rPr>
                      </w:pPr>
                    </w:p>
                    <w:p w14:paraId="4BC589A1" w14:textId="77777777" w:rsidR="00FA41FC" w:rsidRDefault="00FA41FC">
                      <w:pPr>
                        <w:spacing w:after="0" w:line="240" w:lineRule="auto"/>
                        <w:jc w:val="center"/>
                        <w:rPr>
                          <w:rFonts w:ascii="Swis721 Th BT" w:hAnsi="Swis721 Th BT"/>
                          <w:b/>
                          <w:color w:val="FFFFFF" w:themeColor="background1"/>
                          <w:sz w:val="23"/>
                          <w:szCs w:val="23"/>
                        </w:rPr>
                      </w:pPr>
                    </w:p>
                    <w:p w14:paraId="743DC398" w14:textId="77777777" w:rsidR="00FA41FC" w:rsidRDefault="00FA41FC">
                      <w:pPr>
                        <w:spacing w:after="0" w:line="240" w:lineRule="auto"/>
                        <w:jc w:val="center"/>
                        <w:rPr>
                          <w:rFonts w:ascii="Swis721 Th BT" w:hAnsi="Swis721 Th BT"/>
                          <w:b/>
                          <w:color w:val="FFFFFF" w:themeColor="background1"/>
                          <w:sz w:val="12"/>
                          <w:szCs w:val="12"/>
                        </w:rPr>
                      </w:pPr>
                    </w:p>
                    <w:p w14:paraId="0085A3D2" w14:textId="77777777" w:rsidR="00FA41FC" w:rsidRDefault="00FA41FC"/>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874304" behindDoc="0" locked="0" layoutInCell="1" allowOverlap="1">
                <wp:simplePos x="0" y="0"/>
                <wp:positionH relativeFrom="column">
                  <wp:posOffset>-1905</wp:posOffset>
                </wp:positionH>
                <wp:positionV relativeFrom="paragraph">
                  <wp:posOffset>76835</wp:posOffset>
                </wp:positionV>
                <wp:extent cx="1915795" cy="1001395"/>
                <wp:effectExtent l="0" t="0" r="27305" b="27305"/>
                <wp:wrapNone/>
                <wp:docPr id="739657767" name="Caixa de texto 7396577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885" cy="1001486"/>
                        </a:xfrm>
                        <a:prstGeom prst="rect">
                          <a:avLst/>
                        </a:prstGeom>
                        <a:solidFill>
                          <a:srgbClr val="0070C0"/>
                        </a:solidFill>
                        <a:ln w="9525">
                          <a:solidFill>
                            <a:srgbClr val="0070C0"/>
                          </a:solidFill>
                          <a:miter lim="800000"/>
                        </a:ln>
                      </wps:spPr>
                      <wps:txbx>
                        <w:txbxContent>
                          <w:p w14:paraId="3B4EB7B4" w14:textId="77777777" w:rsidR="00FA41FC" w:rsidRDefault="00FA41FC">
                            <w:pPr>
                              <w:spacing w:after="0" w:line="240" w:lineRule="auto"/>
                              <w:jc w:val="center"/>
                              <w:rPr>
                                <w:rFonts w:ascii="Swis721 Th BT" w:hAnsi="Swis721 Th BT"/>
                                <w:i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p>
                          <w:p w14:paraId="55EA37D3" w14:textId="77777777" w:rsidR="00FA41FC" w:rsidRDefault="00FA41FC">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Ashwagandha 300 mg</w:t>
                            </w:r>
                          </w:p>
                          <w:p w14:paraId="156C85C7"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iCs/>
                                <w:color w:val="FFFFFF" w:themeColor="background1"/>
                                <w:sz w:val="23"/>
                                <w:szCs w:val="23"/>
                              </w:rPr>
                              <w:t>Duas vezes ao dia</w:t>
                            </w:r>
                          </w:p>
                          <w:p w14:paraId="7F54DAE3"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739657767" o:spid="_x0000_s1164" type="#_x0000_t202" style="position:absolute;left:0;text-align:left;margin-left:-.15pt;margin-top:6.05pt;width:150.85pt;height:78.85pt;z-index:251874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" fillcolor="#0070c0" strokecolor="#0070c0">
                <v:textbox>
                  <w:txbxContent>
                    <w:p w14:paraId="3B4EB7B4" w14:textId="77777777" w:rsidR="00FA41FC" w:rsidRDefault="00FA41FC">
                      <w:pPr>
                        <w:spacing w:after="0" w:line="240" w:lineRule="auto"/>
                        <w:jc w:val="center"/>
                        <w:rPr>
                          <w:rFonts w:ascii="Swis721 Th BT" w:hAnsi="Swis721 Th BT"/>
                          <w:i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p>
                    <w:p w14:paraId="55EA37D3" w14:textId="77777777" w:rsidR="00FA41FC" w:rsidRDefault="00FA41FC">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Ashwagandha 300 mg</w:t>
                      </w:r>
                    </w:p>
                    <w:p w14:paraId="156C85C7"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iCs/>
                          <w:color w:val="FFFFFF" w:themeColor="background1"/>
                          <w:sz w:val="23"/>
                          <w:szCs w:val="23"/>
                        </w:rPr>
                        <w:t>Duas vezes ao dia</w:t>
                      </w:r>
                    </w:p>
                    <w:p w14:paraId="7F54DAE3"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p>
    <w:p w14:paraId="755E2E1F" w14:textId="77777777" w:rsidR="00CD65C2" w:rsidRDefault="00CD65C2">
      <w:pPr>
        <w:pStyle w:val="Corpo"/>
        <w:rPr>
          <w:rFonts w:hint="eastAsia"/>
          <w:color w:val="404040" w:themeColor="text1" w:themeTint="BF"/>
        </w:rPr>
      </w:pPr>
    </w:p>
    <w:p w14:paraId="391C5E9D" w14:textId="77777777" w:rsidR="00CD65C2" w:rsidRDefault="00CD65C2">
      <w:pPr>
        <w:pStyle w:val="Corpo"/>
        <w:rPr>
          <w:rFonts w:hint="eastAsia"/>
          <w:color w:val="404040" w:themeColor="text1" w:themeTint="BF"/>
        </w:rPr>
      </w:pPr>
    </w:p>
    <w:p w14:paraId="1066708C" w14:textId="77777777" w:rsidR="00CD65C2" w:rsidRDefault="00CD65C2">
      <w:pPr>
        <w:pStyle w:val="Corpo"/>
        <w:rPr>
          <w:rFonts w:hint="eastAsia"/>
          <w:color w:val="404040" w:themeColor="text1" w:themeTint="BF"/>
        </w:rPr>
      </w:pPr>
    </w:p>
    <w:p w14:paraId="44F87796" w14:textId="77777777" w:rsidR="00CD65C2" w:rsidRDefault="00CD65C2">
      <w:pPr>
        <w:pStyle w:val="Corpo"/>
        <w:rPr>
          <w:rFonts w:hint="eastAsia"/>
          <w:color w:val="404040" w:themeColor="text1" w:themeTint="BF"/>
        </w:rPr>
      </w:pPr>
    </w:p>
    <w:p w14:paraId="0B108F56" w14:textId="77777777" w:rsidR="00CD65C2" w:rsidRDefault="00CD65C2">
      <w:pPr>
        <w:pStyle w:val="Corpo"/>
        <w:spacing w:after="0"/>
        <w:rPr>
          <w:rFonts w:hint="eastAsia"/>
          <w:b/>
          <w:color w:val="339966"/>
          <w14:textFill>
            <w14:solidFill>
              <w14:srgbClr w14:val="339966">
                <w14:lumMod w14:val="75000"/>
                <w14:lumOff w14:val="25000"/>
              </w14:srgbClr>
            </w14:solidFill>
          </w14:textFill>
        </w:rPr>
      </w:pPr>
    </w:p>
    <w:p w14:paraId="680F178B" w14:textId="60A53D43" w:rsidR="00CD65C2" w:rsidRDefault="00FA41FC">
      <w:pPr>
        <w:pStyle w:val="Corpo"/>
        <w:numPr>
          <w:ilvl w:val="0"/>
          <w:numId w:val="4"/>
        </w:numPr>
        <w:spacing w:after="0"/>
        <w:ind w:left="765"/>
        <w:rPr>
          <w:rFonts w:hint="eastAsia"/>
          <w:color w:val="404040" w:themeColor="text1" w:themeTint="BF"/>
          <w:sz w:val="22"/>
          <w:szCs w:val="22"/>
        </w:rPr>
      </w:pPr>
      <w:r>
        <w:rPr>
          <w:color w:val="404040" w:themeColor="text1" w:themeTint="BF"/>
          <w:sz w:val="22"/>
          <w:szCs w:val="22"/>
        </w:rPr>
        <w:t>Durante o estudo, foram avaliados os seguintes parâmetros: e</w:t>
      </w:r>
      <w:r>
        <w:rPr>
          <w:iCs/>
          <w:color w:val="404040" w:themeColor="text1" w:themeTint="BF"/>
          <w:sz w:val="22"/>
          <w:szCs w:val="22"/>
        </w:rPr>
        <w:t>scala de avaliaçãoda menopausa (MRS), QoL específica da menopausa (MENQoL), pontuação de ondas de calor e alterações hormonais (estradiol, hormônio folículo-estimulante [FSH], hormônio luteinizante [LH] e testosterona).</w:t>
      </w:r>
    </w:p>
    <w:p w14:paraId="26072A61" w14:textId="77777777" w:rsidR="00CD65C2" w:rsidRDefault="00CD65C2">
      <w:pPr>
        <w:pStyle w:val="Corpo"/>
        <w:rPr>
          <w:rFonts w:hint="eastAsia"/>
          <w:color w:val="404040" w:themeColor="text1" w:themeTint="BF"/>
        </w:rPr>
      </w:pPr>
    </w:p>
    <w:p w14:paraId="7BF1A0E1" w14:textId="77777777" w:rsidR="00CD65C2" w:rsidRDefault="00FA41FC">
      <w:pPr>
        <w:pStyle w:val="Corpo"/>
        <w:rPr>
          <w:rFonts w:hint="eastAsia"/>
          <w:b/>
          <w:color w:val="00B050"/>
          <w14:textFill>
            <w14:solidFill>
              <w14:srgbClr w14:val="00B050">
                <w14:lumMod w14:val="75000"/>
                <w14:lumOff w14:val="25000"/>
              </w14:srgbClr>
            </w14:solidFill>
          </w14:textFill>
        </w:rPr>
      </w:pPr>
      <w:r>
        <w:rPr>
          <w:b/>
          <w:color w:val="00B050"/>
          <w14:textFill>
            <w14:solidFill>
              <w14:srgbClr w14:val="00B050">
                <w14:lumMod w14:val="75000"/>
                <w14:lumOff w14:val="25000"/>
              </w14:srgbClr>
            </w14:solidFill>
          </w14:textFill>
        </w:rPr>
        <w:t>Resultados:</w:t>
      </w:r>
    </w:p>
    <w:p w14:paraId="7BF3C3D9" w14:textId="3D9A7182" w:rsidR="00CD65C2" w:rsidRDefault="00FA41FC" w:rsidP="00D1428E">
      <w:pPr>
        <w:pStyle w:val="PargrafodaLista"/>
        <w:numPr>
          <w:ilvl w:val="0"/>
          <w:numId w:val="40"/>
        </w:numPr>
        <w:jc w:val="both"/>
        <w:rPr>
          <w:rFonts w:ascii="Swis721 Th BT" w:eastAsia="MS Mincho" w:hAnsi="Swis721 Th BT" w:hint="eastAsia"/>
          <w:bCs/>
          <w:color w:val="404040" w:themeColor="text1" w:themeTint="BF"/>
          <w:sz w:val="24"/>
          <w:szCs w:val="24"/>
        </w:rPr>
      </w:pPr>
      <w:r>
        <w:rPr>
          <w:rFonts w:ascii="Swis721 Th BT" w:eastAsia="MS Mincho" w:hAnsi="Swis721 Th BT"/>
          <w:bCs/>
          <w:color w:val="404040" w:themeColor="text1" w:themeTint="BF"/>
          <w:sz w:val="24"/>
          <w:szCs w:val="24"/>
        </w:rPr>
        <w:t>Houve uma redução estatisticamente significativa na pontuação total de MRS, refletida por reduções significativas nos domínios psicológico, somato-vegetativo e urogenital no grupo 1 em relação ao grupo 2.</w:t>
      </w:r>
    </w:p>
    <w:p w14:paraId="51AD4974" w14:textId="237AE97E" w:rsidR="00CD65C2" w:rsidRDefault="00FA41FC" w:rsidP="00D1428E">
      <w:pPr>
        <w:pStyle w:val="PargrafodaLista"/>
        <w:numPr>
          <w:ilvl w:val="0"/>
          <w:numId w:val="40"/>
        </w:numPr>
        <w:jc w:val="both"/>
        <w:rPr>
          <w:rFonts w:ascii="Swis721 Th BT" w:eastAsia="MS Mincho" w:hAnsi="Swis721 Th BT" w:hint="eastAsia"/>
          <w:bCs/>
          <w:color w:val="404040" w:themeColor="text1" w:themeTint="BF"/>
          <w:sz w:val="24"/>
          <w:szCs w:val="24"/>
        </w:rPr>
      </w:pPr>
      <w:r>
        <w:rPr>
          <w:rFonts w:ascii="Swis721 Th BT" w:eastAsia="MS Mincho" w:hAnsi="Swis721 Th BT"/>
          <w:bCs/>
          <w:color w:val="404040" w:themeColor="text1" w:themeTint="BF"/>
          <w:sz w:val="24"/>
          <w:szCs w:val="24"/>
        </w:rPr>
        <w:t>O grupo 1 demonstrou uma redução estatisticamente significativa nos escores totais do MENQoL, associada a um aumento estatisticamente significativo no estradiol sérico e uma redução significativa no FSH (hormônio folículo estimulante) sérico e LH (hormônio luteinizante) sérico em comparação ao grupo 2.</w:t>
      </w:r>
    </w:p>
    <w:p w14:paraId="7FE7B716" w14:textId="77777777" w:rsidR="00CD65C2" w:rsidRDefault="00FA41FC" w:rsidP="00D1428E">
      <w:pPr>
        <w:pStyle w:val="PargrafodaLista"/>
        <w:numPr>
          <w:ilvl w:val="0"/>
          <w:numId w:val="40"/>
        </w:numPr>
        <w:jc w:val="both"/>
        <w:rPr>
          <w:rFonts w:ascii="Swis721 Th BT" w:eastAsia="MS Mincho" w:hAnsi="Swis721 Th BT" w:hint="eastAsia"/>
          <w:bCs/>
          <w:color w:val="404040" w:themeColor="text1" w:themeTint="BF"/>
          <w:sz w:val="24"/>
          <w:szCs w:val="24"/>
        </w:rPr>
      </w:pPr>
      <w:r>
        <w:rPr>
          <w:rFonts w:ascii="Swis721 Th BT" w:eastAsia="MS Mincho" w:hAnsi="Swis721 Th BT"/>
          <w:bCs/>
          <w:color w:val="404040" w:themeColor="text1" w:themeTint="BF"/>
          <w:sz w:val="24"/>
          <w:szCs w:val="24"/>
        </w:rPr>
        <w:t>Não houve diferenças significativas entre os grupos no nível de testosterona sérica.</w:t>
      </w:r>
    </w:p>
    <w:p w14:paraId="7767BFEC" w14:textId="77777777" w:rsidR="00CD65C2" w:rsidRDefault="00CD65C2">
      <w:pPr>
        <w:pStyle w:val="PargrafodaLista"/>
        <w:ind w:left="360"/>
        <w:rPr>
          <w:rFonts w:ascii="Swis721 Th BT" w:eastAsia="MS Mincho" w:hAnsi="Swis721 Th BT" w:hint="eastAsia"/>
          <w:bCs/>
          <w:color w:val="404040" w:themeColor="text1" w:themeTint="BF"/>
          <w:sz w:val="24"/>
          <w:szCs w:val="24"/>
        </w:rPr>
      </w:pPr>
    </w:p>
    <w:p w14:paraId="623AC787" w14:textId="77777777" w:rsidR="00CD65C2" w:rsidRDefault="00FA41FC">
      <w:pPr>
        <w:pStyle w:val="Corpo"/>
        <w:rPr>
          <w:rFonts w:hint="eastAsia"/>
          <w:b/>
          <w:color w:val="00B050"/>
          <w14:textFill>
            <w14:solidFill>
              <w14:srgbClr w14:val="00B050">
                <w14:lumMod w14:val="75000"/>
                <w14:lumOff w14:val="25000"/>
              </w14:srgbClr>
            </w14:solidFill>
          </w14:textFill>
        </w:rPr>
      </w:pPr>
      <w:r>
        <w:rPr>
          <w:b/>
          <w:color w:val="00B050"/>
          <w14:textFill>
            <w14:solidFill>
              <w14:srgbClr w14:val="00B050">
                <w14:lumMod w14:val="75000"/>
                <w14:lumOff w14:val="25000"/>
              </w14:srgbClr>
            </w14:solidFill>
          </w14:textFill>
        </w:rPr>
        <w:t>Conclusão:</w:t>
      </w:r>
    </w:p>
    <w:p w14:paraId="04057D8F" w14:textId="77777777" w:rsidR="00CD65C2" w:rsidRDefault="00CD65C2">
      <w:pPr>
        <w:pStyle w:val="Corpo"/>
        <w:rPr>
          <w:rFonts w:hint="eastAsia"/>
          <w:b/>
          <w:color w:val="00B050"/>
          <w14:textFill>
            <w14:solidFill>
              <w14:srgbClr w14:val="00B050">
                <w14:lumMod w14:val="75000"/>
                <w14:lumOff w14:val="25000"/>
              </w14:srgbClr>
            </w14:solidFill>
          </w14:textFill>
        </w:rPr>
      </w:pPr>
    </w:p>
    <w:p w14:paraId="61AE7F8F" w14:textId="3D5C5021" w:rsidR="00CD65C2" w:rsidRDefault="00FA41FC">
      <w:pPr>
        <w:pStyle w:val="Corpo"/>
        <w:spacing w:line="276" w:lineRule="auto"/>
        <w:jc w:val="center"/>
        <w:rPr>
          <w:rFonts w:hint="eastAsia"/>
          <w:b/>
          <w:i/>
          <w:color w:val="404040" w:themeColor="text1" w:themeTint="BF"/>
        </w:rPr>
      </w:pPr>
      <w:r>
        <w:rPr>
          <w:b/>
          <w:i/>
          <w:color w:val="404040" w:themeColor="text1" w:themeTint="BF"/>
        </w:rPr>
        <w:t>Esses achados sugerem que o extrato de raiz de ashwagandha pode ser uma opção segura e eficaz para aliviar os sintomas climatéricos leves a moderados em mulheres na perimenopausa.</w:t>
      </w:r>
    </w:p>
    <w:p w14:paraId="7E607C05" w14:textId="77777777" w:rsidR="00CD65C2" w:rsidRDefault="00FA41FC">
      <w:pPr>
        <w:pStyle w:val="Ttulo1"/>
        <w:jc w:val="center"/>
        <w:rPr>
          <w:rFonts w:hint="eastAsia"/>
        </w:rPr>
      </w:pPr>
      <w:bookmarkStart w:id="106" w:name="_Toc165537255"/>
      <w:r>
        <w:t>Formulário</w:t>
      </w:r>
      <w:bookmarkEnd w:id="106"/>
    </w:p>
    <w:p w14:paraId="5682BB4F" w14:textId="77777777" w:rsidR="00CD65C2" w:rsidRDefault="00CD65C2">
      <w:pPr>
        <w:pStyle w:val="Corpo"/>
        <w:rPr>
          <w:rFonts w:hint="eastAsia"/>
          <w:b/>
          <w:i/>
          <w:color w:val="404040" w:themeColor="text1" w:themeTint="BF"/>
        </w:rPr>
      </w:pPr>
    </w:p>
    <w:p w14:paraId="7058AA53" w14:textId="77777777" w:rsidR="00CD65C2" w:rsidRDefault="00CD65C2">
      <w:pPr>
        <w:pStyle w:val="Corpo"/>
        <w:rPr>
          <w:rFonts w:hint="eastAsia"/>
          <w:b/>
          <w:i/>
          <w:color w:val="404040" w:themeColor="text1" w:themeTint="BF"/>
        </w:rPr>
      </w:pPr>
    </w:p>
    <w:p w14:paraId="148B302F" w14:textId="77777777" w:rsidR="00CD65C2" w:rsidRDefault="00FA41FC">
      <w:pPr>
        <w:pStyle w:val="Corpo"/>
        <w:rPr>
          <w:rFonts w:hint="eastAsia"/>
          <w:b/>
          <w:i/>
          <w:color w:val="404040" w:themeColor="text1" w:themeTint="BF"/>
          <w:sz w:val="24"/>
        </w:rPr>
      </w:pPr>
      <w:r>
        <w:rPr>
          <w:b/>
          <w:i/>
          <w:color w:val="404040" w:themeColor="text1" w:themeTint="BF"/>
          <w:sz w:val="24"/>
        </w:rPr>
        <w:t>Alívio dos sintomas climatéricos leves a moderados</w:t>
      </w:r>
    </w:p>
    <w:p w14:paraId="3AC442A2"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3E250D47"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163D063D" w14:textId="77777777" w:rsidR="00CD65C2" w:rsidRDefault="00FA41FC">
            <w:pPr>
              <w:pStyle w:val="Corpo"/>
              <w:jc w:val="center"/>
              <w:rPr>
                <w:rFonts w:hint="eastAsia"/>
                <w:b/>
                <w:color w:val="FFFFFF" w:themeColor="background1"/>
              </w:rPr>
            </w:pPr>
            <w:r>
              <w:rPr>
                <w:b/>
                <w:color w:val="FFFFFF" w:themeColor="background1"/>
                <w:sz w:val="22"/>
              </w:rPr>
              <w:t xml:space="preserve">Cápsulas de </w:t>
            </w:r>
            <w:r>
              <w:rPr>
                <w:b/>
                <w:iCs/>
                <w:color w:val="FFFFFF" w:themeColor="background1"/>
                <w:sz w:val="22"/>
              </w:rPr>
              <w:t>Ashwagandha</w:t>
            </w:r>
          </w:p>
        </w:tc>
      </w:tr>
      <w:tr w:rsidR="00CD65C2" w14:paraId="49BA81B4"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E7B42B2" w14:textId="77777777" w:rsidR="00CD65C2" w:rsidRDefault="00FA41FC">
            <w:pPr>
              <w:pStyle w:val="Corpo"/>
              <w:jc w:val="left"/>
              <w:rPr>
                <w:rFonts w:hint="eastAsia"/>
                <w:color w:val="404040" w:themeColor="text1" w:themeTint="BF"/>
              </w:rPr>
            </w:pPr>
            <w:r>
              <w:rPr>
                <w:iCs/>
                <w:color w:val="404040" w:themeColor="text1" w:themeTint="BF"/>
              </w:rPr>
              <w:t>Ashwagandha .............................. 300 mg</w:t>
            </w:r>
            <w:r>
              <w:rPr>
                <w:i/>
                <w:iCs/>
                <w:color w:val="404040" w:themeColor="text1" w:themeTint="BF"/>
              </w:rPr>
              <w:t xml:space="preserve"> </w:t>
            </w:r>
          </w:p>
        </w:tc>
      </w:tr>
      <w:tr w:rsidR="00CD65C2" w14:paraId="33C84D69"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30EA478" w14:textId="197AD529" w:rsidR="00CD65C2" w:rsidRDefault="00FA41FC">
            <w:pPr>
              <w:pStyle w:val="Corpo"/>
              <w:jc w:val="left"/>
              <w:rPr>
                <w:rFonts w:hint="eastAsia"/>
                <w:color w:val="404040" w:themeColor="text1" w:themeTint="BF"/>
              </w:rPr>
            </w:pPr>
            <w:r>
              <w:rPr>
                <w:color w:val="404040" w:themeColor="text1" w:themeTint="BF"/>
              </w:rPr>
              <w:t>Excipiente q.s.p. ........................1 Cápsula</w:t>
            </w:r>
          </w:p>
        </w:tc>
      </w:tr>
    </w:tbl>
    <w:p w14:paraId="264E895E" w14:textId="77777777" w:rsidR="00CD65C2" w:rsidRDefault="00FA41FC">
      <w:pPr>
        <w:pStyle w:val="Corpo"/>
        <w:ind w:right="4762"/>
        <w:jc w:val="center"/>
        <w:rPr>
          <w:rFonts w:hint="eastAsia"/>
          <w:color w:val="404040" w:themeColor="text1" w:themeTint="BF"/>
          <w:sz w:val="22"/>
          <w:szCs w:val="22"/>
        </w:rPr>
      </w:pPr>
      <w:r>
        <w:rPr>
          <w:color w:val="404040" w:themeColor="text1" w:themeTint="BF"/>
          <w:sz w:val="22"/>
          <w:szCs w:val="22"/>
        </w:rPr>
        <w:t>Administrar 1 cápsula duas vezes ao dia ou conforme orientação médica.</w:t>
      </w:r>
    </w:p>
    <w:p w14:paraId="2DF894EB" w14:textId="77777777" w:rsidR="00CD65C2" w:rsidRDefault="00CD65C2">
      <w:pPr>
        <w:pStyle w:val="SemEspaamento"/>
      </w:pPr>
    </w:p>
    <w:p w14:paraId="3475D6EF" w14:textId="77777777" w:rsidR="00CD65C2" w:rsidRDefault="00CD65C2">
      <w:pPr>
        <w:pStyle w:val="SemEspaamento"/>
      </w:pPr>
    </w:p>
    <w:p w14:paraId="27C36751" w14:textId="77777777" w:rsidR="00CD65C2" w:rsidRDefault="00CD65C2">
      <w:pPr>
        <w:pStyle w:val="SemEspaamento"/>
      </w:pPr>
    </w:p>
    <w:p w14:paraId="0E5F55C3" w14:textId="77777777" w:rsidR="00CD65C2" w:rsidRDefault="00CD65C2">
      <w:pPr>
        <w:pStyle w:val="SemEspaamento"/>
      </w:pPr>
    </w:p>
    <w:p w14:paraId="7A69CA51" w14:textId="77777777" w:rsidR="00CD65C2" w:rsidRDefault="00CD65C2">
      <w:pPr>
        <w:pStyle w:val="SemEspaamento"/>
      </w:pPr>
    </w:p>
    <w:p w14:paraId="47837345" w14:textId="77777777" w:rsidR="00CD65C2" w:rsidRDefault="00CD65C2">
      <w:pPr>
        <w:pStyle w:val="SemEspaamento"/>
      </w:pPr>
    </w:p>
    <w:p w14:paraId="18EA02FF" w14:textId="77777777" w:rsidR="00CD65C2" w:rsidRDefault="00CD65C2">
      <w:pPr>
        <w:pStyle w:val="SemEspaamento"/>
      </w:pPr>
    </w:p>
    <w:p w14:paraId="6481BDD0" w14:textId="77777777" w:rsidR="00CD65C2" w:rsidRDefault="00CD65C2">
      <w:pPr>
        <w:pStyle w:val="SemEspaamento"/>
      </w:pPr>
    </w:p>
    <w:p w14:paraId="605BB1D9" w14:textId="77777777" w:rsidR="00CD65C2" w:rsidRDefault="00CD65C2">
      <w:pPr>
        <w:pStyle w:val="SemEspaamento"/>
      </w:pPr>
    </w:p>
    <w:p w14:paraId="38C2B124" w14:textId="77777777" w:rsidR="00CD65C2" w:rsidRDefault="00CD65C2">
      <w:pPr>
        <w:pStyle w:val="SemEspaamento"/>
      </w:pPr>
    </w:p>
    <w:p w14:paraId="20128DB8" w14:textId="77777777" w:rsidR="00CD65C2" w:rsidRDefault="00CD65C2">
      <w:pPr>
        <w:pStyle w:val="SemEspaamento"/>
      </w:pPr>
    </w:p>
    <w:p w14:paraId="02D384F1" w14:textId="77777777" w:rsidR="00CD65C2" w:rsidRDefault="00CD65C2">
      <w:pPr>
        <w:pStyle w:val="SemEspaamento"/>
      </w:pPr>
    </w:p>
    <w:p w14:paraId="079FD4C4" w14:textId="77777777" w:rsidR="00CD65C2" w:rsidRDefault="00CD65C2">
      <w:pPr>
        <w:pStyle w:val="SemEspaamento"/>
      </w:pPr>
    </w:p>
    <w:p w14:paraId="19B21410" w14:textId="77777777" w:rsidR="00CD65C2" w:rsidRDefault="00CD65C2">
      <w:pPr>
        <w:pStyle w:val="SemEspaamento"/>
      </w:pPr>
    </w:p>
    <w:p w14:paraId="5FB85E67" w14:textId="77777777" w:rsidR="00CD65C2" w:rsidRDefault="00CD65C2">
      <w:pPr>
        <w:pStyle w:val="SemEspaamento"/>
      </w:pPr>
    </w:p>
    <w:p w14:paraId="3F0A73A4" w14:textId="77777777" w:rsidR="00CD65C2" w:rsidRDefault="00CD65C2">
      <w:pPr>
        <w:pStyle w:val="SemEspaamento"/>
      </w:pPr>
    </w:p>
    <w:p w14:paraId="0F03310C" w14:textId="77777777" w:rsidR="00CD65C2" w:rsidRDefault="00CD65C2">
      <w:pPr>
        <w:pStyle w:val="SemEspaamento"/>
      </w:pPr>
    </w:p>
    <w:p w14:paraId="087D645E" w14:textId="77777777" w:rsidR="00CD65C2" w:rsidRDefault="00CD65C2">
      <w:pPr>
        <w:pStyle w:val="SemEspaamento"/>
      </w:pPr>
    </w:p>
    <w:p w14:paraId="4D8016CE" w14:textId="77777777" w:rsidR="00CD65C2" w:rsidRDefault="00CD65C2">
      <w:pPr>
        <w:pStyle w:val="SemEspaamento"/>
      </w:pPr>
    </w:p>
    <w:p w14:paraId="45F7C091" w14:textId="77777777" w:rsidR="00CD65C2" w:rsidRDefault="00CD65C2">
      <w:pPr>
        <w:pStyle w:val="SemEspaamento"/>
      </w:pPr>
    </w:p>
    <w:p w14:paraId="4CA34B73" w14:textId="77777777" w:rsidR="00CD65C2" w:rsidRDefault="00CD65C2">
      <w:pPr>
        <w:pStyle w:val="SemEspaamento"/>
      </w:pPr>
    </w:p>
    <w:p w14:paraId="2F924D46" w14:textId="77777777" w:rsidR="00CD65C2" w:rsidRDefault="00CD65C2">
      <w:pPr>
        <w:pStyle w:val="SemEspaamento"/>
      </w:pPr>
    </w:p>
    <w:p w14:paraId="1AAB4FBF" w14:textId="77777777" w:rsidR="00CD65C2" w:rsidRDefault="00CD65C2">
      <w:pPr>
        <w:pStyle w:val="SemEspaamento"/>
      </w:pPr>
    </w:p>
    <w:p w14:paraId="391F19A5" w14:textId="77777777" w:rsidR="00CD65C2" w:rsidRDefault="00CD65C2">
      <w:pPr>
        <w:pStyle w:val="SemEspaamento"/>
      </w:pPr>
    </w:p>
    <w:p w14:paraId="79279ED0" w14:textId="77777777" w:rsidR="00CD65C2" w:rsidRDefault="00CD65C2">
      <w:pPr>
        <w:pStyle w:val="SemEspaamento"/>
      </w:pPr>
    </w:p>
    <w:p w14:paraId="00048388" w14:textId="77777777" w:rsidR="00CD65C2" w:rsidRDefault="00CD65C2">
      <w:pPr>
        <w:pStyle w:val="SemEspaamento"/>
      </w:pPr>
    </w:p>
    <w:p w14:paraId="4836B686" w14:textId="77777777" w:rsidR="00CD65C2" w:rsidRDefault="00CD65C2">
      <w:pPr>
        <w:pStyle w:val="SemEspaamento"/>
      </w:pPr>
    </w:p>
    <w:p w14:paraId="7604FC68" w14:textId="77777777" w:rsidR="00CD65C2" w:rsidRDefault="00CD65C2">
      <w:pPr>
        <w:pStyle w:val="SemEspaamento"/>
      </w:pPr>
    </w:p>
    <w:p w14:paraId="385425A8" w14:textId="77777777" w:rsidR="00CD65C2" w:rsidRDefault="00CD65C2">
      <w:pPr>
        <w:pStyle w:val="SemEspaamento"/>
      </w:pPr>
    </w:p>
    <w:p w14:paraId="0F356BE3" w14:textId="77777777" w:rsidR="00CD65C2" w:rsidRDefault="00CD65C2">
      <w:pPr>
        <w:pStyle w:val="SemEspaamento"/>
      </w:pPr>
    </w:p>
    <w:p w14:paraId="0F788C61" w14:textId="77777777" w:rsidR="00CD65C2" w:rsidRDefault="00CD65C2">
      <w:pPr>
        <w:pStyle w:val="SemEspaamento"/>
      </w:pPr>
    </w:p>
    <w:p w14:paraId="1EAE1F76" w14:textId="77777777" w:rsidR="00CD65C2" w:rsidRDefault="00CD65C2">
      <w:pPr>
        <w:pStyle w:val="SemEspaamento"/>
      </w:pPr>
    </w:p>
    <w:p w14:paraId="18F9AA84" w14:textId="77777777" w:rsidR="00CD65C2" w:rsidRDefault="00FA41FC">
      <w:pPr>
        <w:pStyle w:val="Ttulo1"/>
        <w:jc w:val="center"/>
        <w:rPr>
          <w:rFonts w:hint="eastAsia"/>
        </w:rPr>
      </w:pPr>
      <w:bookmarkStart w:id="107" w:name="_Toc165537256"/>
      <w:r>
        <w:rPr>
          <w:bCs/>
          <w:iCs/>
        </w:rPr>
        <w:t>Isoflavona de Soja, B</w:t>
      </w:r>
      <w:r>
        <w:rPr>
          <w:bCs/>
          <w:i/>
          <w:iCs/>
        </w:rPr>
        <w:t>lack cohosh</w:t>
      </w:r>
      <w:r>
        <w:rPr>
          <w:bCs/>
          <w:iCs/>
        </w:rPr>
        <w:t xml:space="preserve">, </w:t>
      </w:r>
      <w:r>
        <w:rPr>
          <w:bCs/>
          <w:i/>
          <w:iCs/>
        </w:rPr>
        <w:t>Vitex agnus-castus</w:t>
      </w:r>
      <w:r>
        <w:rPr>
          <w:bCs/>
          <w:iCs/>
        </w:rPr>
        <w:t xml:space="preserve"> e Óleo de Prímula</w:t>
      </w:r>
      <w:bookmarkEnd w:id="107"/>
    </w:p>
    <w:p w14:paraId="3D0F49B8" w14:textId="77777777" w:rsidR="00CD65C2" w:rsidRPr="00D1428E" w:rsidRDefault="00FA41FC">
      <w:pPr>
        <w:pStyle w:val="Corpo"/>
        <w:spacing w:after="120"/>
        <w:jc w:val="center"/>
        <w:rPr>
          <w:rFonts w:hint="eastAsia"/>
          <w:color w:val="0070C0"/>
          <w:sz w:val="24"/>
        </w:rPr>
      </w:pPr>
      <w:r w:rsidRPr="00D1428E">
        <w:rPr>
          <w:b/>
          <w:bCs/>
          <w:color w:val="0070C0"/>
          <w:sz w:val="40"/>
        </w:rPr>
        <w:t>Reduz os Sintomas da Menopausa</w:t>
      </w:r>
    </w:p>
    <w:p w14:paraId="0E8BE16D" w14:textId="77777777" w:rsidR="00CD65C2" w:rsidRDefault="00CD65C2">
      <w:pPr>
        <w:pStyle w:val="Corpo"/>
        <w:rPr>
          <w:rFonts w:hint="eastAsia"/>
          <w:color w:val="404040" w:themeColor="text1" w:themeTint="BF"/>
          <w:sz w:val="24"/>
        </w:rPr>
      </w:pPr>
    </w:p>
    <w:p w14:paraId="2753D450" w14:textId="18505133" w:rsidR="00CD65C2" w:rsidRDefault="00FA41FC">
      <w:pPr>
        <w:pStyle w:val="Corpo"/>
        <w:rPr>
          <w:rFonts w:hint="eastAsia"/>
          <w:color w:val="404040" w:themeColor="text1" w:themeTint="BF"/>
          <w:sz w:val="24"/>
        </w:rPr>
      </w:pPr>
      <w:r>
        <w:rPr>
          <w:color w:val="404040" w:themeColor="text1" w:themeTint="BF"/>
          <w:sz w:val="24"/>
        </w:rPr>
        <w:t xml:space="preserve">Este estudo randomizado, duplo-cego e placebo-controlado teve como objetivo avaliar a eficácia clínica e segurança de um nutracêutico em mulheres na pós-menopausa </w:t>
      </w:r>
      <w:r>
        <w:rPr>
          <w:color w:val="404040" w:themeColor="text1" w:themeTint="BF"/>
          <w:sz w:val="24"/>
        </w:rPr>
        <w:fldChar w:fldCharType="begin"/>
      </w:r>
      <w:r>
        <w:rPr>
          <w:color w:val="404040" w:themeColor="text1" w:themeTint="BF"/>
          <w:sz w:val="24"/>
        </w:rPr>
        <w:instrText xml:space="preserve"> ADDIN EN.CITE &lt;EndNote&gt;&lt;Cite&gt;&lt;Author&gt;Rattanatantikul&lt;/Author&gt;&lt;Year&gt;2020&lt;/Year&gt;&lt;IDText&gt;Efficacy and Safety of Nutraceutical on Menopausal Symptoms in Post-Menopausal Women: A Randomized, Double-Blind, Placebo-Controlled Clinical Trial&lt;/IDText&gt;&lt;DisplayText&gt;(RATTANATANTIKUL; MAIPRASERT; SUGKRAROEK; BUMRUNGPERT, 2020)&lt;/DisplayText&gt;&lt;record&gt;&lt;dates&gt;&lt;pub-dates&gt;&lt;date&gt;Dec 17&lt;/date&gt;&lt;/pub-dates&gt;&lt;year&gt;2020&lt;/year&gt;&lt;/dates&gt;&lt;keywords&gt;&lt;keyword&gt;menopausal symptoms&lt;/keyword&gt;&lt;keyword&gt;nutraceutical&lt;/keyword&gt;&lt;keyword&gt;phytoestrogen&lt;/keyword&gt;&lt;keyword&gt;post-menopausal women&lt;/keyword&gt;&lt;/keywords&gt;&lt;isbn&gt;1939-0211&lt;/isbn&gt;&lt;titles&gt;&lt;title&gt;Efficacy and Safety of Nutraceutical on Menopausal Symptoms in Post-Menopausal Women: A Randomized, Double-Blind, Placebo-Controlled Clinical Trial&lt;/title&gt;&lt;secondary-title&gt;J Diet Suppl&lt;/secondary-title&gt;&lt;/titles&gt;&lt;pages&gt;1-15&lt;/pages&gt;&lt;contributors&gt;&lt;authors&gt;&lt;author&gt;Rattanatantikul, T.&lt;/author&gt;&lt;author&gt;Maiprasert, M.&lt;/author&gt;&lt;author&gt;Sugkraroek, P.&lt;/author&gt;&lt;author&gt;Bumrungpert, A.&lt;/author&gt;&lt;/authors&gt;&lt;/contributors&gt;&lt;edition&gt;2020/12/18&lt;/edition&gt;&lt;language&gt;eng&lt;/language&gt;&lt;added-date format="utc"&gt;1612552711&lt;/added-date&gt;&lt;ref-type name="Journal Article"&gt;17&lt;/ref-type&gt;&lt;auth-address&gt;Master of Science Program in Anti-Aging &amp;amp; Regenerative Medicine, College of Integrative Medicine, Dhurakij Pundit University, Bangkok, Thailand.&amp;#xD;Research Center of Nutraceuticals and Natural Products for Health &amp;amp; Anti-Aging, College of Integrative Medicine, Dhurakij Pundit University, Bangkok, Thailand.&amp;#xD;Women&amp;apos;s Center and VitalLife Scientific Wellness Center, Bumrungrad International Hospital, Bangkok, Thailand.&lt;/auth-address&gt;&lt;remote-database-provider&gt;NLM&lt;/remote-database-provider&gt;&lt;rec-number&gt;1834&lt;/rec-number&gt;&lt;last-updated-date format="utc"&gt;1612552711&lt;/last-updated-date&gt;&lt;accession-num&gt;33331798&lt;/accession-num&gt;&lt;electronic-resource-num&gt;10.1080/19390211.2020.1853648&lt;/electronic-resource-num&gt;&lt;/record&gt;&lt;/Cite&gt;&lt;/EndNote&gt;</w:instrText>
      </w:r>
      <w:r>
        <w:rPr>
          <w:color w:val="404040" w:themeColor="text1" w:themeTint="BF"/>
          <w:sz w:val="24"/>
        </w:rPr>
        <w:fldChar w:fldCharType="separate"/>
      </w:r>
      <w:r>
        <w:rPr>
          <w:color w:val="404040" w:themeColor="text1" w:themeTint="BF"/>
          <w:sz w:val="24"/>
        </w:rPr>
        <w:t>(RATTANATANTIKUL; MAIPRASERT; SUGKRAROEK; BUMRUNGPERT, 2020)</w:t>
      </w:r>
      <w:r>
        <w:rPr>
          <w:color w:val="404040" w:themeColor="text1" w:themeTint="BF"/>
          <w:sz w:val="24"/>
        </w:rPr>
        <w:fldChar w:fldCharType="end"/>
      </w:r>
      <w:r>
        <w:rPr>
          <w:color w:val="404040" w:themeColor="text1" w:themeTint="BF"/>
          <w:sz w:val="24"/>
        </w:rPr>
        <w:t>.</w:t>
      </w:r>
    </w:p>
    <w:p w14:paraId="5604C000"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79424" behindDoc="0" locked="0" layoutInCell="1" allowOverlap="1">
                <wp:simplePos x="0" y="0"/>
                <wp:positionH relativeFrom="margin">
                  <wp:posOffset>-1905</wp:posOffset>
                </wp:positionH>
                <wp:positionV relativeFrom="paragraph">
                  <wp:posOffset>141605</wp:posOffset>
                </wp:positionV>
                <wp:extent cx="5735955" cy="533400"/>
                <wp:effectExtent l="0" t="0" r="17780" b="19050"/>
                <wp:wrapNone/>
                <wp:docPr id="739657768" name="Caixa de texto 7396577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781" cy="533400"/>
                        </a:xfrm>
                        <a:prstGeom prst="rect">
                          <a:avLst/>
                        </a:prstGeom>
                        <a:solidFill>
                          <a:schemeClr val="bg1">
                            <a:lumMod val="100000"/>
                            <a:lumOff val="0"/>
                          </a:schemeClr>
                        </a:solidFill>
                        <a:ln w="9525">
                          <a:solidFill>
                            <a:srgbClr val="0070C0"/>
                          </a:solidFill>
                          <a:miter lim="800000"/>
                        </a:ln>
                      </wps:spPr>
                      <wps:txbx>
                        <w:txbxContent>
                          <w:p w14:paraId="6FAA8151" w14:textId="77777777" w:rsidR="00FA41FC" w:rsidRDefault="00FA41FC">
                            <w:pPr>
                              <w:jc w:val="center"/>
                              <w:rPr>
                                <w:rFonts w:ascii="Swis721 Th BT" w:hAnsi="Swis721 Th BT"/>
                                <w:sz w:val="23"/>
                                <w:szCs w:val="23"/>
                              </w:rPr>
                            </w:pPr>
                            <w:r>
                              <w:rPr>
                                <w:rFonts w:ascii="Swis721 Th BT" w:hAnsi="Swis721 Th BT"/>
                                <w:sz w:val="23"/>
                                <w:szCs w:val="23"/>
                              </w:rPr>
                              <w:t>Para isso, 101 mulheres na pós-menopausa com idades entre 45-60 anos foram selecionadas para receberem durante 12 semanas:</w:t>
                            </w:r>
                          </w:p>
                          <w:p w14:paraId="7B2FF0D1"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768" o:spid="_x0000_s1165" type="#_x0000_t202" style="position:absolute;left:0;text-align:left;margin-left:-.15pt;margin-top:11.15pt;width:451.65pt;height:42pt;z-index:2518794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" fillcolor="white [3212]" strokecolor="#0070c0">
                <v:textbox>
                  <w:txbxContent>
                    <w:p w14:paraId="6FAA8151" w14:textId="77777777" w:rsidR="00FA41FC" w:rsidRDefault="00FA41FC">
                      <w:pPr>
                        <w:jc w:val="center"/>
                        <w:rPr>
                          <w:rFonts w:ascii="Swis721 Th BT" w:hAnsi="Swis721 Th BT"/>
                          <w:sz w:val="23"/>
                          <w:szCs w:val="23"/>
                        </w:rPr>
                      </w:pPr>
                      <w:r>
                        <w:rPr>
                          <w:rFonts w:ascii="Swis721 Th BT" w:hAnsi="Swis721 Th BT"/>
                          <w:sz w:val="23"/>
                          <w:szCs w:val="23"/>
                        </w:rPr>
                        <w:t>Para isso, 101 mulheres na pós-menopausa com idades entre 45-60 anos foram selecionadas para receberem durante 12 semanas:</w:t>
                      </w:r>
                    </w:p>
                    <w:p w14:paraId="7B2FF0D1"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79366D72" w14:textId="77777777" w:rsidR="00CD65C2" w:rsidRDefault="00CD65C2">
      <w:pPr>
        <w:pStyle w:val="Corpo"/>
        <w:rPr>
          <w:rFonts w:hint="eastAsia"/>
          <w:color w:val="404040" w:themeColor="text1" w:themeTint="BF"/>
          <w:sz w:val="24"/>
        </w:rPr>
      </w:pPr>
    </w:p>
    <w:p w14:paraId="3811A16E"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880448" behindDoc="0" locked="0" layoutInCell="1" allowOverlap="1">
                <wp:simplePos x="0" y="0"/>
                <wp:positionH relativeFrom="column">
                  <wp:posOffset>4594860</wp:posOffset>
                </wp:positionH>
                <wp:positionV relativeFrom="paragraph">
                  <wp:posOffset>169545</wp:posOffset>
                </wp:positionV>
                <wp:extent cx="226695" cy="138430"/>
                <wp:effectExtent l="0" t="0" r="1905" b="0"/>
                <wp:wrapNone/>
                <wp:docPr id="739657769" name="Triângulo isósceles 7396577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769" o:spid="_x0000_s1026" o:spt="5" type="#_x0000_t5" style="position:absolute;left:0pt;flip:y;margin-left:361.8pt;margin-top:13.35pt;height:10.9pt;width:17.85pt;z-index:251880448;mso-width-relative:page;mso-height-relative:page;" fillcolor="#D9D9D9 [3212]" filled="t" stroked="f" coordsize="21600,21600" o:gfxdata="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ElaQk7ZAAAACQEAAA8AAAAAAAAAAQAgAAAAIgAAAGRycy9kb3ducmV2LnhtbFBLAQIUABQA&#10;AAAIAIdO4kD/9XNhYQIAALMEAAAOAAAAAAAAAAEAIAAAACgBAABkcnMvZTJvRG9jLnhtbFBLBQYA&#10;AAAABgAGAFkBAAD7BQ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881472" behindDoc="0" locked="0" layoutInCell="1" allowOverlap="1">
                <wp:simplePos x="0" y="0"/>
                <wp:positionH relativeFrom="column">
                  <wp:posOffset>805180</wp:posOffset>
                </wp:positionH>
                <wp:positionV relativeFrom="paragraph">
                  <wp:posOffset>169545</wp:posOffset>
                </wp:positionV>
                <wp:extent cx="226695" cy="138430"/>
                <wp:effectExtent l="0" t="0" r="1905" b="0"/>
                <wp:wrapNone/>
                <wp:docPr id="739657770" name="Triângulo isósceles 7396577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770" o:spid="_x0000_s1026" o:spt="5" type="#_x0000_t5" style="position:absolute;left:0pt;flip:y;margin-left:63.4pt;margin-top:13.35pt;height:10.9pt;width:17.85pt;z-index:251881472;mso-width-relative:page;mso-height-relative:page;" fillcolor="#D9D9D9 [3212]" filled="t" stroked="f" coordsize="21600,21600" o:gfxdata="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Aj2kvXAAAACQEAAA8AAAAAAAAAAQAgAAAAIgAAAGRycy9kb3ducmV2LnhtbFBLAQIUABQAAAAI&#10;AIdO4kBf8JGlYAIAALMEAAAOAAAAAAAAAAEAIAAAACYBAABkcnMvZTJvRG9jLnhtbFBLBQYAAAAA&#10;BgAGAFkBAAD4BQAAAAA=&#10;" adj="10800">
                <v:fill on="t" focussize="0,0"/>
                <v:stroke on="f"/>
                <v:imagedata o:title=""/>
                <o:lock v:ext="edit" aspectratio="f"/>
              </v:shape>
            </w:pict>
          </mc:Fallback>
        </mc:AlternateContent>
      </w:r>
    </w:p>
    <w:p w14:paraId="176ACBE9" w14:textId="77777777" w:rsidR="00CD65C2" w:rsidRDefault="00CD65C2">
      <w:pPr>
        <w:pStyle w:val="Corpo"/>
        <w:rPr>
          <w:rFonts w:hint="eastAsia"/>
          <w:color w:val="404040" w:themeColor="text1" w:themeTint="BF"/>
        </w:rPr>
      </w:pPr>
    </w:p>
    <w:p w14:paraId="771D600A"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878400" behindDoc="0" locked="0" layoutInCell="1" allowOverlap="1">
                <wp:simplePos x="0" y="0"/>
                <wp:positionH relativeFrom="column">
                  <wp:posOffset>3752850</wp:posOffset>
                </wp:positionH>
                <wp:positionV relativeFrom="paragraph">
                  <wp:posOffset>87630</wp:posOffset>
                </wp:positionV>
                <wp:extent cx="1969770" cy="990600"/>
                <wp:effectExtent l="0" t="0" r="11430" b="19685"/>
                <wp:wrapNone/>
                <wp:docPr id="739657771" name="Caixa de texto 7396577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861" cy="990509"/>
                        </a:xfrm>
                        <a:prstGeom prst="rect">
                          <a:avLst/>
                        </a:prstGeom>
                        <a:solidFill>
                          <a:srgbClr val="0070C0"/>
                        </a:solidFill>
                        <a:ln w="9525">
                          <a:solidFill>
                            <a:srgbClr val="0070C0"/>
                          </a:solidFill>
                          <a:miter lim="800000"/>
                        </a:ln>
                      </wps:spPr>
                      <wps:txbx>
                        <w:txbxContent>
                          <w:p w14:paraId="4FB05CFC"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3BEC074A" w14:textId="77777777" w:rsidR="00FA41FC" w:rsidRDefault="00FA41FC">
                            <w:pPr>
                              <w:spacing w:after="0" w:line="240" w:lineRule="auto"/>
                              <w:jc w:val="center"/>
                              <w:rPr>
                                <w:rFonts w:ascii="Swis721 Th BT" w:hAnsi="Swis721 Th BT"/>
                                <w:bCs/>
                                <w:color w:val="FFFFFF" w:themeColor="background1"/>
                                <w:sz w:val="23"/>
                                <w:szCs w:val="23"/>
                              </w:rPr>
                            </w:pPr>
                          </w:p>
                          <w:p w14:paraId="68E07041"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14:paraId="053F6DAB" w14:textId="77777777" w:rsidR="00FA41FC" w:rsidRDefault="00FA41FC">
                            <w:pPr>
                              <w:spacing w:after="0" w:line="240" w:lineRule="auto"/>
                              <w:jc w:val="center"/>
                              <w:rPr>
                                <w:rFonts w:ascii="Swis721 Th BT" w:hAnsi="Swis721 Th BT"/>
                                <w:b/>
                                <w:color w:val="FFFFFF" w:themeColor="background1"/>
                                <w:sz w:val="12"/>
                                <w:szCs w:val="12"/>
                              </w:rPr>
                            </w:pPr>
                          </w:p>
                          <w:p w14:paraId="6D5EFCDB" w14:textId="77777777" w:rsidR="00FA41FC" w:rsidRDefault="00FA41FC">
                            <w:pPr>
                              <w:spacing w:after="0" w:line="240" w:lineRule="auto"/>
                              <w:jc w:val="center"/>
                              <w:rPr>
                                <w:rFonts w:ascii="Swis721 Th BT" w:hAnsi="Swis721 Th BT"/>
                                <w:b/>
                                <w:color w:val="FFFFFF" w:themeColor="background1"/>
                                <w:sz w:val="23"/>
                                <w:szCs w:val="23"/>
                              </w:rPr>
                            </w:pPr>
                          </w:p>
                          <w:p w14:paraId="70173F30" w14:textId="77777777" w:rsidR="00FA41FC" w:rsidRDefault="00FA41FC">
                            <w:pPr>
                              <w:spacing w:after="0" w:line="240" w:lineRule="auto"/>
                              <w:jc w:val="center"/>
                              <w:rPr>
                                <w:rFonts w:ascii="Swis721 Th BT" w:hAnsi="Swis721 Th BT"/>
                                <w:b/>
                                <w:color w:val="FFFFFF" w:themeColor="background1"/>
                                <w:sz w:val="12"/>
                                <w:szCs w:val="12"/>
                              </w:rPr>
                            </w:pPr>
                          </w:p>
                          <w:p w14:paraId="46E0085A" w14:textId="77777777" w:rsidR="00FA41FC" w:rsidRDefault="00FA41FC"/>
                        </w:txbxContent>
                      </wps:txbx>
                      <wps:bodyPr rot="0" vert="horz" wrap="square" lIns="91440" tIns="45720" rIns="91440" bIns="45720" anchor="t" anchorCtr="0" upright="1">
                        <a:noAutofit/>
                      </wps:bodyPr>
                    </wps:wsp>
                  </a:graphicData>
                </a:graphic>
              </wp:anchor>
            </w:drawing>
          </mc:Choice>
          <mc:Fallback>
            <w:pict>
              <v:shape id="Caixa de texto 739657771" o:spid="_x0000_s1166" type="#_x0000_t202" style="position:absolute;left:0;text-align:left;margin-left:295.5pt;margin-top:6.9pt;width:155.1pt;height:78pt;z-index:251878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" fillcolor="#0070c0" strokecolor="#0070c0">
                <v:textbox>
                  <w:txbxContent>
                    <w:p w14:paraId="4FB05CFC"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3BEC074A" w14:textId="77777777" w:rsidR="00FA41FC" w:rsidRDefault="00FA41FC">
                      <w:pPr>
                        <w:spacing w:after="0" w:line="240" w:lineRule="auto"/>
                        <w:jc w:val="center"/>
                        <w:rPr>
                          <w:rFonts w:ascii="Swis721 Th BT" w:hAnsi="Swis721 Th BT"/>
                          <w:bCs/>
                          <w:color w:val="FFFFFF" w:themeColor="background1"/>
                          <w:sz w:val="23"/>
                          <w:szCs w:val="23"/>
                        </w:rPr>
                      </w:pPr>
                    </w:p>
                    <w:p w14:paraId="68E07041"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14:paraId="053F6DAB" w14:textId="77777777" w:rsidR="00FA41FC" w:rsidRDefault="00FA41FC">
                      <w:pPr>
                        <w:spacing w:after="0" w:line="240" w:lineRule="auto"/>
                        <w:jc w:val="center"/>
                        <w:rPr>
                          <w:rFonts w:ascii="Swis721 Th BT" w:hAnsi="Swis721 Th BT"/>
                          <w:b/>
                          <w:color w:val="FFFFFF" w:themeColor="background1"/>
                          <w:sz w:val="12"/>
                          <w:szCs w:val="12"/>
                        </w:rPr>
                      </w:pPr>
                    </w:p>
                    <w:p w14:paraId="6D5EFCDB" w14:textId="77777777" w:rsidR="00FA41FC" w:rsidRDefault="00FA41FC">
                      <w:pPr>
                        <w:spacing w:after="0" w:line="240" w:lineRule="auto"/>
                        <w:jc w:val="center"/>
                        <w:rPr>
                          <w:rFonts w:ascii="Swis721 Th BT" w:hAnsi="Swis721 Th BT"/>
                          <w:b/>
                          <w:color w:val="FFFFFF" w:themeColor="background1"/>
                          <w:sz w:val="23"/>
                          <w:szCs w:val="23"/>
                        </w:rPr>
                      </w:pPr>
                    </w:p>
                    <w:p w14:paraId="70173F30" w14:textId="77777777" w:rsidR="00FA41FC" w:rsidRDefault="00FA41FC">
                      <w:pPr>
                        <w:spacing w:after="0" w:line="240" w:lineRule="auto"/>
                        <w:jc w:val="center"/>
                        <w:rPr>
                          <w:rFonts w:ascii="Swis721 Th BT" w:hAnsi="Swis721 Th BT"/>
                          <w:b/>
                          <w:color w:val="FFFFFF" w:themeColor="background1"/>
                          <w:sz w:val="12"/>
                          <w:szCs w:val="12"/>
                        </w:rPr>
                      </w:pPr>
                    </w:p>
                    <w:p w14:paraId="46E0085A" w14:textId="77777777" w:rsidR="00FA41FC" w:rsidRDefault="00FA41FC"/>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877376" behindDoc="0" locked="0" layoutInCell="1" allowOverlap="1">
                <wp:simplePos x="0" y="0"/>
                <wp:positionH relativeFrom="column">
                  <wp:posOffset>-1905</wp:posOffset>
                </wp:positionH>
                <wp:positionV relativeFrom="paragraph">
                  <wp:posOffset>76835</wp:posOffset>
                </wp:positionV>
                <wp:extent cx="1915795" cy="1001395"/>
                <wp:effectExtent l="0" t="0" r="27305" b="27305"/>
                <wp:wrapNone/>
                <wp:docPr id="739657772" name="Caixa de texto 7396577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885" cy="1001486"/>
                        </a:xfrm>
                        <a:prstGeom prst="rect">
                          <a:avLst/>
                        </a:prstGeom>
                        <a:solidFill>
                          <a:srgbClr val="0070C0"/>
                        </a:solidFill>
                        <a:ln w="9525">
                          <a:solidFill>
                            <a:srgbClr val="0070C0"/>
                          </a:solidFill>
                          <a:miter lim="800000"/>
                        </a:ln>
                      </wps:spPr>
                      <wps:txbx>
                        <w:txbxContent>
                          <w:p w14:paraId="4D3CCB71"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iCs/>
                                <w:color w:val="FFFFFF" w:themeColor="background1"/>
                                <w:sz w:val="23"/>
                                <w:szCs w:val="23"/>
                              </w:rPr>
                              <w:t xml:space="preserve">Isoflavona de soja, </w:t>
                            </w:r>
                            <w:r>
                              <w:rPr>
                                <w:rFonts w:ascii="Swis721 Th BT" w:hAnsi="Swis721 Th BT"/>
                                <w:bCs/>
                                <w:i/>
                                <w:iCs/>
                                <w:color w:val="FFFFFF" w:themeColor="background1"/>
                                <w:sz w:val="23"/>
                                <w:szCs w:val="23"/>
                              </w:rPr>
                              <w:t>black cohosh</w:t>
                            </w:r>
                            <w:r>
                              <w:rPr>
                                <w:rFonts w:ascii="Swis721 Th BT" w:hAnsi="Swis721 Th BT"/>
                                <w:bCs/>
                                <w:iCs/>
                                <w:color w:val="FFFFFF" w:themeColor="background1"/>
                                <w:sz w:val="23"/>
                                <w:szCs w:val="23"/>
                              </w:rPr>
                              <w:t xml:space="preserve">, </w:t>
                            </w:r>
                          </w:p>
                          <w:p w14:paraId="30557C47"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Cs/>
                                <w:i/>
                                <w:iCs/>
                                <w:color w:val="FFFFFF" w:themeColor="background1"/>
                                <w:sz w:val="23"/>
                                <w:szCs w:val="23"/>
                              </w:rPr>
                              <w:t>Vitex agnus-castus</w:t>
                            </w:r>
                            <w:r>
                              <w:rPr>
                                <w:rFonts w:ascii="Swis721 Th BT" w:hAnsi="Swis721 Th BT"/>
                                <w:bCs/>
                                <w:iCs/>
                                <w:color w:val="FFFFFF" w:themeColor="background1"/>
                                <w:sz w:val="23"/>
                                <w:szCs w:val="23"/>
                              </w:rPr>
                              <w:t xml:space="preserve"> e óleo de prímula</w:t>
                            </w:r>
                          </w:p>
                          <w:p w14:paraId="5A8D7B8B"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739657772" o:spid="_x0000_s1167" type="#_x0000_t202" style="position:absolute;left:0;text-align:left;margin-left:-.15pt;margin-top:6.05pt;width:150.85pt;height:78.85pt;z-index:251877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" fillcolor="#0070c0" strokecolor="#0070c0">
                <v:textbox>
                  <w:txbxContent>
                    <w:p w14:paraId="4D3CCB71"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iCs/>
                          <w:color w:val="FFFFFF" w:themeColor="background1"/>
                          <w:sz w:val="23"/>
                          <w:szCs w:val="23"/>
                        </w:rPr>
                        <w:t xml:space="preserve">Isoflavona de soja, </w:t>
                      </w:r>
                      <w:r>
                        <w:rPr>
                          <w:rFonts w:ascii="Swis721 Th BT" w:hAnsi="Swis721 Th BT"/>
                          <w:bCs/>
                          <w:i/>
                          <w:iCs/>
                          <w:color w:val="FFFFFF" w:themeColor="background1"/>
                          <w:sz w:val="23"/>
                          <w:szCs w:val="23"/>
                        </w:rPr>
                        <w:t>black cohosh</w:t>
                      </w:r>
                      <w:r>
                        <w:rPr>
                          <w:rFonts w:ascii="Swis721 Th BT" w:hAnsi="Swis721 Th BT"/>
                          <w:bCs/>
                          <w:iCs/>
                          <w:color w:val="FFFFFF" w:themeColor="background1"/>
                          <w:sz w:val="23"/>
                          <w:szCs w:val="23"/>
                        </w:rPr>
                        <w:t xml:space="preserve">, </w:t>
                      </w:r>
                    </w:p>
                    <w:p w14:paraId="30557C47"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Cs/>
                          <w:i/>
                          <w:iCs/>
                          <w:color w:val="FFFFFF" w:themeColor="background1"/>
                          <w:sz w:val="23"/>
                          <w:szCs w:val="23"/>
                        </w:rPr>
                        <w:t>Vitex agnus-castus</w:t>
                      </w:r>
                      <w:r>
                        <w:rPr>
                          <w:rFonts w:ascii="Swis721 Th BT" w:hAnsi="Swis721 Th BT"/>
                          <w:bCs/>
                          <w:iCs/>
                          <w:color w:val="FFFFFF" w:themeColor="background1"/>
                          <w:sz w:val="23"/>
                          <w:szCs w:val="23"/>
                        </w:rPr>
                        <w:t xml:space="preserve"> e óleo de prímula</w:t>
                      </w:r>
                    </w:p>
                    <w:p w14:paraId="5A8D7B8B"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p>
    <w:p w14:paraId="00C975D7" w14:textId="77777777" w:rsidR="00CD65C2" w:rsidRDefault="00CD65C2">
      <w:pPr>
        <w:pStyle w:val="Corpo"/>
        <w:rPr>
          <w:rFonts w:hint="eastAsia"/>
          <w:color w:val="404040" w:themeColor="text1" w:themeTint="BF"/>
        </w:rPr>
      </w:pPr>
    </w:p>
    <w:p w14:paraId="4BBA73A0" w14:textId="77777777" w:rsidR="00CD65C2" w:rsidRDefault="00CD65C2">
      <w:pPr>
        <w:pStyle w:val="Corpo"/>
        <w:rPr>
          <w:rFonts w:hint="eastAsia"/>
          <w:color w:val="404040" w:themeColor="text1" w:themeTint="BF"/>
        </w:rPr>
      </w:pPr>
    </w:p>
    <w:p w14:paraId="4AF295A5" w14:textId="77777777" w:rsidR="00CD65C2" w:rsidRDefault="00CD65C2">
      <w:pPr>
        <w:pStyle w:val="Corpo"/>
        <w:rPr>
          <w:rFonts w:hint="eastAsia"/>
          <w:color w:val="404040" w:themeColor="text1" w:themeTint="BF"/>
        </w:rPr>
      </w:pPr>
    </w:p>
    <w:p w14:paraId="5763BC0C" w14:textId="77777777" w:rsidR="00CD65C2" w:rsidRDefault="00CD65C2">
      <w:pPr>
        <w:pStyle w:val="Corpo"/>
        <w:rPr>
          <w:rFonts w:hint="eastAsia"/>
          <w:color w:val="404040" w:themeColor="text1" w:themeTint="BF"/>
        </w:rPr>
      </w:pPr>
    </w:p>
    <w:p w14:paraId="283201C9" w14:textId="77777777" w:rsidR="00CD65C2" w:rsidRDefault="00CD65C2">
      <w:pPr>
        <w:pStyle w:val="Corpo"/>
        <w:rPr>
          <w:rFonts w:hint="eastAsia"/>
          <w:color w:val="404040" w:themeColor="text1" w:themeTint="BF"/>
        </w:rPr>
      </w:pPr>
    </w:p>
    <w:p w14:paraId="217B454D" w14:textId="77777777" w:rsidR="00CD65C2" w:rsidRDefault="00FA41FC" w:rsidP="00D1428E">
      <w:pPr>
        <w:pStyle w:val="Corpo"/>
        <w:numPr>
          <w:ilvl w:val="0"/>
          <w:numId w:val="41"/>
        </w:numPr>
        <w:rPr>
          <w:rFonts w:hint="eastAsia"/>
          <w:color w:val="404040" w:themeColor="text1" w:themeTint="BF"/>
        </w:rPr>
      </w:pPr>
      <w:r>
        <w:rPr>
          <w:color w:val="404040" w:themeColor="text1" w:themeTint="BF"/>
        </w:rPr>
        <w:t>Os sintomas da menopausa, perfis endócrinos e parâmetros bioquímicos foram avaliados na linha de base, na semana 6 e 12 do estudo.</w:t>
      </w:r>
    </w:p>
    <w:p w14:paraId="111E672E" w14:textId="77777777" w:rsidR="00CD65C2" w:rsidRDefault="00CD65C2">
      <w:pPr>
        <w:pStyle w:val="Corpo"/>
        <w:rPr>
          <w:rFonts w:hint="eastAsia"/>
          <w:color w:val="404040" w:themeColor="text1" w:themeTint="BF"/>
        </w:rPr>
      </w:pPr>
    </w:p>
    <w:p w14:paraId="5668F8C5"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141C8C17" w14:textId="77777777" w:rsidR="00CD65C2" w:rsidRDefault="00CD65C2">
      <w:pPr>
        <w:pStyle w:val="Corpo"/>
        <w:rPr>
          <w:rFonts w:hint="eastAsia"/>
          <w:color w:val="404040" w:themeColor="text1" w:themeTint="BF"/>
          <w:sz w:val="16"/>
          <w:szCs w:val="16"/>
        </w:rPr>
      </w:pPr>
    </w:p>
    <w:p w14:paraId="2636FEC3" w14:textId="77777777" w:rsidR="00CD65C2" w:rsidRDefault="00FA41FC">
      <w:pPr>
        <w:pStyle w:val="PargrafodaLista"/>
        <w:numPr>
          <w:ilvl w:val="0"/>
          <w:numId w:val="37"/>
        </w:numPr>
        <w:rPr>
          <w:rFonts w:ascii="Swis721 Th BT" w:eastAsia="MS Mincho" w:hAnsi="Swis721 Th BT" w:hint="eastAsia"/>
          <w:bCs/>
          <w:iCs/>
          <w:color w:val="404040" w:themeColor="text1" w:themeTint="BF"/>
          <w:sz w:val="24"/>
          <w:szCs w:val="24"/>
        </w:rPr>
      </w:pPr>
      <w:r>
        <w:rPr>
          <w:rFonts w:ascii="Swis721 Th BT" w:eastAsia="MS Mincho" w:hAnsi="Swis721 Th BT"/>
          <w:bCs/>
          <w:iCs/>
          <w:color w:val="404040" w:themeColor="text1" w:themeTint="BF"/>
          <w:sz w:val="24"/>
          <w:szCs w:val="24"/>
        </w:rPr>
        <w:t>A suplementação nutracêutica demonstrou redução estatisticamente significativa de fogachos e sudorese (p &lt; 0,0001), problemas de sono (p &lt; 0,0005), humor deprimido (p = 0,0004) e sintomas de irritabilidade (p &lt; 0,0003) em comparação com o grupo placebo;</w:t>
      </w:r>
    </w:p>
    <w:p w14:paraId="26D83F5B" w14:textId="5C47DA0E" w:rsidR="00CD65C2" w:rsidRDefault="00FA41FC">
      <w:pPr>
        <w:pStyle w:val="PargrafodaLista"/>
        <w:numPr>
          <w:ilvl w:val="0"/>
          <w:numId w:val="37"/>
        </w:numPr>
        <w:rPr>
          <w:rFonts w:ascii="Swis721 Th BT" w:eastAsia="MS Mincho" w:hAnsi="Swis721 Th BT" w:hint="eastAsia"/>
          <w:bCs/>
          <w:iCs/>
          <w:color w:val="404040" w:themeColor="text1" w:themeTint="BF"/>
          <w:sz w:val="24"/>
          <w:szCs w:val="24"/>
        </w:rPr>
      </w:pPr>
      <w:r>
        <w:rPr>
          <w:rFonts w:ascii="Swis721 Th BT" w:eastAsia="MS Mincho" w:hAnsi="Swis721 Th BT"/>
          <w:bCs/>
          <w:iCs/>
          <w:color w:val="404040" w:themeColor="text1" w:themeTint="BF"/>
          <w:sz w:val="24"/>
          <w:szCs w:val="24"/>
        </w:rPr>
        <w:t>Não houve diferenças significativas nos níveis hormonais entre os grupos de 1 e placebo, no entanto, os níveis de proteína C reativa foram significativamente diminuídos;</w:t>
      </w:r>
    </w:p>
    <w:p w14:paraId="51034898" w14:textId="4B8544B2" w:rsidR="00CD65C2" w:rsidRDefault="00FA41FC">
      <w:pPr>
        <w:pStyle w:val="PargrafodaLista"/>
        <w:numPr>
          <w:ilvl w:val="0"/>
          <w:numId w:val="37"/>
        </w:numPr>
        <w:rPr>
          <w:rFonts w:ascii="Swis721 Th BT" w:eastAsia="MS Mincho" w:hAnsi="Swis721 Th BT" w:hint="eastAsia"/>
          <w:bCs/>
          <w:iCs/>
          <w:color w:val="404040" w:themeColor="text1" w:themeTint="BF"/>
          <w:sz w:val="24"/>
          <w:szCs w:val="24"/>
        </w:rPr>
      </w:pPr>
      <w:r>
        <w:rPr>
          <w:rFonts w:ascii="Swis721 Th BT" w:eastAsia="MS Mincho" w:hAnsi="Swis721 Th BT"/>
          <w:bCs/>
          <w:iCs/>
          <w:color w:val="404040" w:themeColor="text1" w:themeTint="BF"/>
          <w:sz w:val="24"/>
          <w:szCs w:val="24"/>
        </w:rPr>
        <w:t>Os níveis séricos de LDL-C e triglicerídeos foram significativamente mais baixos do que os níveis basais no grupo de tratamento em pontos de tempo de 6 e 12 semanas;</w:t>
      </w:r>
    </w:p>
    <w:p w14:paraId="0604D473" w14:textId="77777777" w:rsidR="00CD65C2" w:rsidRDefault="00FA41FC">
      <w:pPr>
        <w:pStyle w:val="PargrafodaLista"/>
        <w:numPr>
          <w:ilvl w:val="0"/>
          <w:numId w:val="37"/>
        </w:numPr>
        <w:rPr>
          <w:rFonts w:ascii="Swis721 Th BT" w:eastAsia="MS Mincho" w:hAnsi="Swis721 Th BT" w:hint="eastAsia"/>
          <w:bCs/>
          <w:iCs/>
          <w:color w:val="404040" w:themeColor="text1" w:themeTint="BF"/>
          <w:sz w:val="24"/>
          <w:szCs w:val="24"/>
        </w:rPr>
      </w:pPr>
      <w:r>
        <w:rPr>
          <w:rFonts w:ascii="Swis721 Th BT" w:eastAsia="MS Mincho" w:hAnsi="Swis721 Th BT"/>
          <w:bCs/>
          <w:iCs/>
          <w:color w:val="404040" w:themeColor="text1" w:themeTint="BF"/>
          <w:sz w:val="24"/>
          <w:szCs w:val="24"/>
        </w:rPr>
        <w:t xml:space="preserve">Nenhum efeito adverso foi relatado durante o tratamento. </w:t>
      </w:r>
    </w:p>
    <w:p w14:paraId="02570278" w14:textId="77777777" w:rsidR="00CD65C2" w:rsidRDefault="00CD65C2">
      <w:pPr>
        <w:pStyle w:val="PargrafodaLista"/>
        <w:ind w:left="360"/>
        <w:rPr>
          <w:rFonts w:ascii="Swis721 Th BT" w:eastAsia="MS Mincho" w:hAnsi="Swis721 Th BT" w:hint="eastAsia"/>
          <w:bCs/>
          <w:color w:val="404040" w:themeColor="text1" w:themeTint="BF"/>
          <w:sz w:val="24"/>
          <w:szCs w:val="24"/>
        </w:rPr>
      </w:pPr>
    </w:p>
    <w:p w14:paraId="5F065C08" w14:textId="77777777" w:rsidR="00CD65C2" w:rsidRDefault="00FA41FC">
      <w:pPr>
        <w:pStyle w:val="Ttulo1"/>
        <w:jc w:val="center"/>
        <w:rPr>
          <w:rFonts w:hint="eastAsia"/>
        </w:rPr>
      </w:pPr>
      <w:bookmarkStart w:id="108" w:name="_Toc165537257"/>
      <w:r>
        <w:t>Formulário</w:t>
      </w:r>
      <w:bookmarkEnd w:id="108"/>
    </w:p>
    <w:p w14:paraId="12057FB8" w14:textId="77777777" w:rsidR="00CD65C2" w:rsidRDefault="00CD65C2">
      <w:pPr>
        <w:pStyle w:val="Corpo"/>
        <w:rPr>
          <w:rFonts w:hint="eastAsia"/>
          <w:b/>
          <w:i/>
          <w:color w:val="404040" w:themeColor="text1" w:themeTint="BF"/>
        </w:rPr>
      </w:pPr>
    </w:p>
    <w:p w14:paraId="78017408" w14:textId="77777777" w:rsidR="00CD65C2" w:rsidRDefault="00CD65C2">
      <w:pPr>
        <w:pStyle w:val="Corpo"/>
        <w:rPr>
          <w:rFonts w:hint="eastAsia"/>
          <w:b/>
          <w:i/>
          <w:color w:val="404040" w:themeColor="text1" w:themeTint="BF"/>
        </w:rPr>
      </w:pPr>
    </w:p>
    <w:p w14:paraId="6ACD4DF7" w14:textId="77777777" w:rsidR="00CD65C2" w:rsidRDefault="00FA41FC">
      <w:pPr>
        <w:pStyle w:val="Corpo"/>
        <w:rPr>
          <w:rFonts w:hint="eastAsia"/>
          <w:b/>
          <w:bCs/>
          <w:i/>
          <w:color w:val="404040" w:themeColor="text1" w:themeTint="BF"/>
          <w:sz w:val="24"/>
        </w:rPr>
      </w:pPr>
      <w:r>
        <w:rPr>
          <w:b/>
          <w:bCs/>
          <w:i/>
          <w:color w:val="404040" w:themeColor="text1" w:themeTint="BF"/>
          <w:sz w:val="24"/>
        </w:rPr>
        <w:t>Suplementação Nutracêutica Reduz os Sintomas da Menopausa</w:t>
      </w:r>
    </w:p>
    <w:p w14:paraId="6134EEB2" w14:textId="77777777" w:rsidR="00CD65C2" w:rsidRDefault="00CD65C2">
      <w:pPr>
        <w:pStyle w:val="Corpo"/>
        <w:rPr>
          <w:rFonts w:hint="eastAsia"/>
          <w:color w:val="404040" w:themeColor="text1" w:themeTint="BF"/>
        </w:rPr>
      </w:pPr>
    </w:p>
    <w:tbl>
      <w:tblPr>
        <w:tblStyle w:val="Tabelacomgrade"/>
        <w:tblW w:w="467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673"/>
      </w:tblGrid>
      <w:tr w:rsidR="00CD65C2" w14:paraId="503CE02C" w14:textId="77777777">
        <w:trPr>
          <w:trHeight w:val="515"/>
        </w:trPr>
        <w:tc>
          <w:tcPr>
            <w:tcW w:w="46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46B60725" w14:textId="77777777" w:rsidR="00CD65C2" w:rsidRDefault="00FA41FC">
            <w:pPr>
              <w:pStyle w:val="Corpo"/>
              <w:jc w:val="center"/>
              <w:rPr>
                <w:rFonts w:hint="eastAsia"/>
                <w:b/>
                <w:color w:val="FFFFFF" w:themeColor="background1"/>
              </w:rPr>
            </w:pPr>
            <w:r>
              <w:rPr>
                <w:b/>
                <w:color w:val="FFFFFF" w:themeColor="background1"/>
                <w:sz w:val="22"/>
              </w:rPr>
              <w:t>Cápsulas Nutracêuticas</w:t>
            </w:r>
          </w:p>
        </w:tc>
      </w:tr>
      <w:tr w:rsidR="00CD65C2" w14:paraId="63A76EE9" w14:textId="77777777">
        <w:trPr>
          <w:trHeight w:val="515"/>
        </w:trPr>
        <w:tc>
          <w:tcPr>
            <w:tcW w:w="46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A70C7A2" w14:textId="77777777" w:rsidR="00CD65C2" w:rsidRDefault="00FA41FC">
            <w:pPr>
              <w:pStyle w:val="Corpo"/>
              <w:rPr>
                <w:rFonts w:hint="eastAsia"/>
                <w:color w:val="404040" w:themeColor="text1" w:themeTint="BF"/>
              </w:rPr>
            </w:pPr>
            <w:r>
              <w:rPr>
                <w:color w:val="404040" w:themeColor="text1" w:themeTint="BF"/>
              </w:rPr>
              <w:t>Isoflavonas de Soja...............................100 mg</w:t>
            </w:r>
          </w:p>
        </w:tc>
      </w:tr>
      <w:tr w:rsidR="00CD65C2" w14:paraId="02AC9126" w14:textId="77777777">
        <w:trPr>
          <w:trHeight w:val="515"/>
        </w:trPr>
        <w:tc>
          <w:tcPr>
            <w:tcW w:w="46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956D16A" w14:textId="77777777" w:rsidR="00CD65C2" w:rsidRDefault="00FA41FC">
            <w:pPr>
              <w:pStyle w:val="Corpo"/>
              <w:rPr>
                <w:rFonts w:hint="eastAsia"/>
                <w:color w:val="404040" w:themeColor="text1" w:themeTint="BF"/>
              </w:rPr>
            </w:pPr>
            <w:r>
              <w:rPr>
                <w:color w:val="404040" w:themeColor="text1" w:themeTint="BF"/>
              </w:rPr>
              <w:t>Black cohosh........................................520 mg</w:t>
            </w:r>
          </w:p>
        </w:tc>
      </w:tr>
      <w:tr w:rsidR="00CD65C2" w14:paraId="5BFB9E12" w14:textId="77777777">
        <w:trPr>
          <w:trHeight w:val="515"/>
        </w:trPr>
        <w:tc>
          <w:tcPr>
            <w:tcW w:w="46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14916C7" w14:textId="77777777" w:rsidR="00CD65C2" w:rsidRDefault="00FA41FC">
            <w:pPr>
              <w:pStyle w:val="Corpo"/>
              <w:rPr>
                <w:rFonts w:hint="eastAsia"/>
                <w:color w:val="404040" w:themeColor="text1" w:themeTint="BF"/>
              </w:rPr>
            </w:pPr>
            <w:r>
              <w:rPr>
                <w:i/>
                <w:color w:val="404040" w:themeColor="text1" w:themeTint="BF"/>
              </w:rPr>
              <w:t>Vitex agnus-castus</w:t>
            </w:r>
            <w:r>
              <w:rPr>
                <w:color w:val="404040" w:themeColor="text1" w:themeTint="BF"/>
              </w:rPr>
              <w:t>................................400 mg</w:t>
            </w:r>
          </w:p>
        </w:tc>
      </w:tr>
      <w:tr w:rsidR="00CD65C2" w14:paraId="1D901B79" w14:textId="77777777">
        <w:trPr>
          <w:trHeight w:val="515"/>
        </w:trPr>
        <w:tc>
          <w:tcPr>
            <w:tcW w:w="46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EEBF7D9" w14:textId="77777777" w:rsidR="00CD65C2" w:rsidRDefault="00FA41FC">
            <w:pPr>
              <w:pStyle w:val="Corpo"/>
              <w:rPr>
                <w:rFonts w:hint="eastAsia"/>
                <w:color w:val="404040" w:themeColor="text1" w:themeTint="BF"/>
              </w:rPr>
            </w:pPr>
            <w:r>
              <w:rPr>
                <w:color w:val="404040" w:themeColor="text1" w:themeTint="BF"/>
              </w:rPr>
              <w:t>Óleo de Prímula....................................500 mg</w:t>
            </w:r>
          </w:p>
        </w:tc>
      </w:tr>
      <w:tr w:rsidR="00CD65C2" w14:paraId="48DA9E4C" w14:textId="77777777">
        <w:trPr>
          <w:trHeight w:val="586"/>
        </w:trPr>
        <w:tc>
          <w:tcPr>
            <w:tcW w:w="46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C7AAA0E" w14:textId="52A932EF" w:rsidR="00CD65C2" w:rsidRDefault="00FA41FC">
            <w:pPr>
              <w:pStyle w:val="Corpo"/>
              <w:jc w:val="center"/>
              <w:rPr>
                <w:rFonts w:hint="eastAsia"/>
                <w:color w:val="404040" w:themeColor="text1" w:themeTint="BF"/>
              </w:rPr>
            </w:pPr>
            <w:r>
              <w:rPr>
                <w:color w:val="404040" w:themeColor="text1" w:themeTint="BF"/>
              </w:rPr>
              <w:t>Excipiente q.s.p. ........................1 Cápsula</w:t>
            </w:r>
          </w:p>
        </w:tc>
      </w:tr>
    </w:tbl>
    <w:p w14:paraId="05F7A0D4" w14:textId="77777777" w:rsidR="00CD65C2" w:rsidRDefault="00FA41FC">
      <w:pPr>
        <w:pStyle w:val="SemEspaamento"/>
        <w:ind w:right="4676"/>
        <w:jc w:val="center"/>
      </w:pPr>
      <w:r>
        <w:rPr>
          <w:rFonts w:ascii="Swis721 Th BT" w:eastAsia="MS Mincho" w:hAnsi="Swis721 Th BT"/>
          <w:color w:val="404040" w:themeColor="text1" w:themeTint="BF"/>
        </w:rPr>
        <w:t>Administrar 1 cápsula ao dia ou conforme orientação médica.</w:t>
      </w:r>
    </w:p>
    <w:p w14:paraId="07E1A8FB" w14:textId="77777777" w:rsidR="00CD65C2" w:rsidRDefault="00CD65C2">
      <w:pPr>
        <w:pStyle w:val="SemEspaamento"/>
      </w:pPr>
    </w:p>
    <w:p w14:paraId="771C4EFE" w14:textId="77777777" w:rsidR="00CD65C2" w:rsidRDefault="00CD65C2">
      <w:pPr>
        <w:pStyle w:val="SemEspaamento"/>
      </w:pPr>
    </w:p>
    <w:p w14:paraId="140F4DC1" w14:textId="77777777" w:rsidR="00CD65C2" w:rsidRDefault="00CD65C2">
      <w:pPr>
        <w:pStyle w:val="SemEspaamento"/>
      </w:pPr>
    </w:p>
    <w:p w14:paraId="2A2692BF" w14:textId="77777777" w:rsidR="00CD65C2" w:rsidRDefault="00CD65C2">
      <w:pPr>
        <w:pStyle w:val="SemEspaamento"/>
      </w:pPr>
    </w:p>
    <w:p w14:paraId="24D8749E" w14:textId="77777777" w:rsidR="00CD65C2" w:rsidRDefault="00CD65C2">
      <w:pPr>
        <w:pStyle w:val="SemEspaamento"/>
      </w:pPr>
    </w:p>
    <w:p w14:paraId="1EFE92F7" w14:textId="77777777" w:rsidR="00CD65C2" w:rsidRDefault="00CD65C2">
      <w:pPr>
        <w:pStyle w:val="SemEspaamento"/>
      </w:pPr>
    </w:p>
    <w:p w14:paraId="2758BEBC" w14:textId="77777777" w:rsidR="00CD65C2" w:rsidRDefault="00CD65C2">
      <w:pPr>
        <w:pStyle w:val="SemEspaamento"/>
      </w:pPr>
    </w:p>
    <w:p w14:paraId="129A0432" w14:textId="77777777" w:rsidR="00CD65C2" w:rsidRDefault="00CD65C2">
      <w:pPr>
        <w:pStyle w:val="SemEspaamento"/>
      </w:pPr>
    </w:p>
    <w:p w14:paraId="399FBA19" w14:textId="77777777" w:rsidR="00CD65C2" w:rsidRDefault="00CD65C2">
      <w:pPr>
        <w:pStyle w:val="SemEspaamento"/>
      </w:pPr>
    </w:p>
    <w:p w14:paraId="3FB312F2" w14:textId="77777777" w:rsidR="00CD65C2" w:rsidRDefault="00CD65C2">
      <w:pPr>
        <w:pStyle w:val="SemEspaamento"/>
      </w:pPr>
    </w:p>
    <w:p w14:paraId="53EA9ACA" w14:textId="77777777" w:rsidR="00CD65C2" w:rsidRDefault="00CD65C2">
      <w:pPr>
        <w:pStyle w:val="SemEspaamento"/>
      </w:pPr>
    </w:p>
    <w:p w14:paraId="6A411F28" w14:textId="77777777" w:rsidR="00CD65C2" w:rsidRDefault="00CD65C2">
      <w:pPr>
        <w:pStyle w:val="SemEspaamento"/>
      </w:pPr>
    </w:p>
    <w:p w14:paraId="5F553153" w14:textId="77777777" w:rsidR="00CD65C2" w:rsidRDefault="00CD65C2">
      <w:pPr>
        <w:pStyle w:val="SemEspaamento"/>
      </w:pPr>
    </w:p>
    <w:p w14:paraId="6252174A" w14:textId="77777777" w:rsidR="00CD65C2" w:rsidRDefault="00CD65C2">
      <w:pPr>
        <w:pStyle w:val="SemEspaamento"/>
      </w:pPr>
    </w:p>
    <w:p w14:paraId="02545F6F" w14:textId="77777777" w:rsidR="00CD65C2" w:rsidRDefault="00CD65C2">
      <w:pPr>
        <w:pStyle w:val="SemEspaamento"/>
      </w:pPr>
    </w:p>
    <w:p w14:paraId="79DDC7DD" w14:textId="77777777" w:rsidR="00CD65C2" w:rsidRDefault="00CD65C2">
      <w:pPr>
        <w:pStyle w:val="SemEspaamento"/>
      </w:pPr>
    </w:p>
    <w:p w14:paraId="4C495F60" w14:textId="77777777" w:rsidR="00CD65C2" w:rsidRDefault="00CD65C2">
      <w:pPr>
        <w:pStyle w:val="SemEspaamento"/>
      </w:pPr>
    </w:p>
    <w:p w14:paraId="35DCBA9F" w14:textId="77777777" w:rsidR="00CD65C2" w:rsidRDefault="00CD65C2">
      <w:pPr>
        <w:pStyle w:val="SemEspaamento"/>
      </w:pPr>
    </w:p>
    <w:p w14:paraId="6FF029F2" w14:textId="77777777" w:rsidR="00CD65C2" w:rsidRDefault="00CD65C2">
      <w:pPr>
        <w:pStyle w:val="SemEspaamento"/>
      </w:pPr>
    </w:p>
    <w:p w14:paraId="6B860DFD" w14:textId="77777777" w:rsidR="00CD65C2" w:rsidRDefault="00CD65C2">
      <w:pPr>
        <w:pStyle w:val="SemEspaamento"/>
      </w:pPr>
    </w:p>
    <w:p w14:paraId="10D3A477" w14:textId="77777777" w:rsidR="00CD65C2" w:rsidRDefault="00CD65C2">
      <w:pPr>
        <w:pStyle w:val="SemEspaamento"/>
      </w:pPr>
    </w:p>
    <w:p w14:paraId="22591EF5" w14:textId="77777777" w:rsidR="00CD65C2" w:rsidRDefault="00CD65C2">
      <w:pPr>
        <w:pStyle w:val="SemEspaamento"/>
      </w:pPr>
    </w:p>
    <w:p w14:paraId="5005598C" w14:textId="77777777" w:rsidR="00CD65C2" w:rsidRDefault="00CD65C2">
      <w:pPr>
        <w:pStyle w:val="SemEspaamento"/>
      </w:pPr>
    </w:p>
    <w:p w14:paraId="784920B4" w14:textId="77777777" w:rsidR="00CD65C2" w:rsidRDefault="00CD65C2">
      <w:pPr>
        <w:pStyle w:val="SemEspaamento"/>
      </w:pPr>
    </w:p>
    <w:p w14:paraId="28789938" w14:textId="77777777" w:rsidR="00CD65C2" w:rsidRDefault="00CD65C2">
      <w:pPr>
        <w:pStyle w:val="SemEspaamento"/>
      </w:pPr>
    </w:p>
    <w:p w14:paraId="359ACEB0" w14:textId="77777777" w:rsidR="00CD65C2" w:rsidRDefault="00CD65C2">
      <w:pPr>
        <w:pStyle w:val="SemEspaamento"/>
      </w:pPr>
    </w:p>
    <w:p w14:paraId="0EF80B82" w14:textId="77777777" w:rsidR="00CD65C2" w:rsidRDefault="00FA41FC">
      <w:pPr>
        <w:pStyle w:val="Ttulo1"/>
        <w:jc w:val="center"/>
        <w:rPr>
          <w:rFonts w:hint="eastAsia"/>
        </w:rPr>
      </w:pPr>
      <w:bookmarkStart w:id="109" w:name="_Toc165537258"/>
      <w:r>
        <w:rPr>
          <w:bCs/>
          <w:iCs/>
        </w:rPr>
        <w:t>Curcumina e Vitamina E</w:t>
      </w:r>
      <w:bookmarkEnd w:id="109"/>
    </w:p>
    <w:p w14:paraId="5CDE3E56" w14:textId="77777777" w:rsidR="00CD65C2" w:rsidRPr="00D1428E" w:rsidRDefault="00FA41FC">
      <w:pPr>
        <w:pStyle w:val="Corpo"/>
        <w:spacing w:after="120"/>
        <w:jc w:val="center"/>
        <w:rPr>
          <w:rFonts w:hint="eastAsia"/>
          <w:b/>
          <w:bCs/>
          <w:color w:val="0070C0"/>
          <w:sz w:val="40"/>
          <w:szCs w:val="22"/>
        </w:rPr>
      </w:pPr>
      <w:r w:rsidRPr="00D1428E">
        <w:rPr>
          <w:b/>
          <w:bCs/>
          <w:color w:val="0070C0"/>
          <w:sz w:val="40"/>
          <w:szCs w:val="22"/>
        </w:rPr>
        <w:t>Diminuem o Número de Fogachos na Menopausa</w:t>
      </w:r>
    </w:p>
    <w:p w14:paraId="550A475A" w14:textId="77777777" w:rsidR="00CD65C2" w:rsidRDefault="00CD65C2">
      <w:pPr>
        <w:pStyle w:val="Corpo"/>
        <w:spacing w:after="120"/>
        <w:rPr>
          <w:rFonts w:hint="eastAsia"/>
          <w:color w:val="404040" w:themeColor="text1" w:themeTint="BF"/>
          <w:sz w:val="24"/>
        </w:rPr>
      </w:pPr>
    </w:p>
    <w:p w14:paraId="066026EF" w14:textId="77777777" w:rsidR="00CD65C2" w:rsidRDefault="00CD65C2">
      <w:pPr>
        <w:pStyle w:val="Corpo"/>
        <w:spacing w:line="276" w:lineRule="auto"/>
        <w:rPr>
          <w:rFonts w:cstheme="minorHAnsi" w:hint="eastAsia"/>
          <w:color w:val="404040" w:themeColor="text1" w:themeTint="BF"/>
          <w:sz w:val="24"/>
        </w:rPr>
      </w:pPr>
    </w:p>
    <w:p w14:paraId="31C24D22" w14:textId="4013E599" w:rsidR="00CD65C2" w:rsidRDefault="00FA41FC">
      <w:pPr>
        <w:pStyle w:val="Corpo"/>
        <w:spacing w:line="276" w:lineRule="auto"/>
        <w:rPr>
          <w:rFonts w:cstheme="minorHAnsi" w:hint="eastAsia"/>
          <w:color w:val="404040" w:themeColor="text1" w:themeTint="BF"/>
          <w:sz w:val="24"/>
        </w:rPr>
      </w:pPr>
      <w:r>
        <w:rPr>
          <w:rFonts w:cstheme="minorHAnsi"/>
          <w:color w:val="404040" w:themeColor="text1" w:themeTint="BF"/>
          <w:sz w:val="24"/>
        </w:rPr>
        <w:t xml:space="preserve">Um estudo conduzido por Ataei-Almanghadim </w:t>
      </w:r>
      <w:r>
        <w:rPr>
          <w:rFonts w:cstheme="minorHAnsi"/>
          <w:i/>
          <w:color w:val="404040" w:themeColor="text1" w:themeTint="BF"/>
          <w:sz w:val="24"/>
        </w:rPr>
        <w:t>et al.</w:t>
      </w:r>
      <w:r>
        <w:rPr>
          <w:rFonts w:cstheme="minorHAnsi"/>
          <w:color w:val="404040" w:themeColor="text1" w:themeTint="BF"/>
          <w:sz w:val="24"/>
        </w:rPr>
        <w:t xml:space="preserve"> (2020) teve como objetivo avaliar os efeitos da suplementação de curcumina e vitamina E nos fogachos, ansiedade e função sexual em mulheres na menopausa.</w:t>
      </w:r>
    </w:p>
    <w:p w14:paraId="0615CE92" w14:textId="77777777" w:rsidR="00CD65C2" w:rsidRDefault="00CD65C2">
      <w:pPr>
        <w:pStyle w:val="Corpo"/>
        <w:spacing w:line="276" w:lineRule="auto"/>
        <w:rPr>
          <w:rFonts w:hint="eastAsia"/>
          <w:b/>
          <w:bCs/>
          <w:color w:val="404040" w:themeColor="text1" w:themeTint="BF"/>
          <w:sz w:val="24"/>
        </w:rPr>
      </w:pPr>
    </w:p>
    <w:p w14:paraId="0DA279E1"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82496" behindDoc="0" locked="0" layoutInCell="1" allowOverlap="1">
                <wp:simplePos x="0" y="0"/>
                <wp:positionH relativeFrom="margin">
                  <wp:posOffset>-12065</wp:posOffset>
                </wp:positionH>
                <wp:positionV relativeFrom="paragraph">
                  <wp:posOffset>20320</wp:posOffset>
                </wp:positionV>
                <wp:extent cx="5743575" cy="870585"/>
                <wp:effectExtent l="0" t="0" r="28575" b="24765"/>
                <wp:wrapNone/>
                <wp:docPr id="739657773" name="Caixa de texto 739657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870857"/>
                        </a:xfrm>
                        <a:prstGeom prst="rect">
                          <a:avLst/>
                        </a:prstGeom>
                        <a:solidFill>
                          <a:schemeClr val="bg1">
                            <a:lumMod val="100000"/>
                            <a:lumOff val="0"/>
                          </a:schemeClr>
                        </a:solidFill>
                        <a:ln w="9525">
                          <a:solidFill>
                            <a:srgbClr val="0070C0"/>
                          </a:solidFill>
                          <a:miter lim="800000"/>
                        </a:ln>
                      </wps:spPr>
                      <wps:txbx>
                        <w:txbxContent>
                          <w:p w14:paraId="1C78A9BF" w14:textId="4E4FE030" w:rsidR="00FA41FC" w:rsidRDefault="00FA41FC">
                            <w:pPr>
                              <w:spacing w:line="276" w:lineRule="auto"/>
                              <w:jc w:val="center"/>
                              <w:rPr>
                                <w:rFonts w:ascii="Swis721 Th BT" w:hAnsi="Swis721 Th BT"/>
                                <w:sz w:val="23"/>
                                <w:szCs w:val="23"/>
                              </w:rPr>
                            </w:pPr>
                            <w:r>
                              <w:rPr>
                                <w:rFonts w:ascii="Swis721 Th BT" w:eastAsia="MS Mincho" w:hAnsi="Swis721 Th BT"/>
                                <w:color w:val="404040" w:themeColor="text1" w:themeTint="BF"/>
                                <w:sz w:val="23"/>
                                <w:szCs w:val="24"/>
                              </w:rPr>
                              <w:t>Para isso, 93 mulheres com fogachos participaram deste estudo clínico triplo-cego, randomizado e controlado por placebo. Elas foram separadas em três grupos para receberem a seguinte posologia durante oito semanas:</w:t>
                            </w:r>
                          </w:p>
                          <w:p w14:paraId="5C14D71B"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773" o:spid="_x0000_s1168" type="#_x0000_t202" style="position:absolute;left:0;text-align:left;margin-left:-.95pt;margin-top:1.6pt;width:452.25pt;height:68.55pt;z-index:2518824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" fillcolor="white [3212]" strokecolor="#0070c0">
                <v:textbox>
                  <w:txbxContent>
                    <w:p w14:paraId="1C78A9BF" w14:textId="4E4FE030" w:rsidR="00FA41FC" w:rsidRDefault="00FA41FC">
                      <w:pPr>
                        <w:spacing w:line="276" w:lineRule="auto"/>
                        <w:jc w:val="center"/>
                        <w:rPr>
                          <w:rFonts w:ascii="Swis721 Th BT" w:hAnsi="Swis721 Th BT"/>
                          <w:sz w:val="23"/>
                          <w:szCs w:val="23"/>
                        </w:rPr>
                      </w:pPr>
                      <w:r>
                        <w:rPr>
                          <w:rFonts w:ascii="Swis721 Th BT" w:eastAsia="MS Mincho" w:hAnsi="Swis721 Th BT"/>
                          <w:color w:val="404040" w:themeColor="text1" w:themeTint="BF"/>
                          <w:sz w:val="23"/>
                          <w:szCs w:val="24"/>
                        </w:rPr>
                        <w:t>Para isso, 93 mulheres com fogachos participaram deste estudo clínico triplo-cego, randomizado e controlado por placebo. Elas foram separadas em três grupos para receberem a seguinte posologia durante oito semanas:</w:t>
                      </w:r>
                    </w:p>
                    <w:p w14:paraId="5C14D71B"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268D1508" w14:textId="77777777" w:rsidR="00CD65C2" w:rsidRDefault="00CD65C2">
      <w:pPr>
        <w:pStyle w:val="Corpo"/>
        <w:rPr>
          <w:rFonts w:hint="eastAsia"/>
          <w:color w:val="404040" w:themeColor="text1" w:themeTint="BF"/>
        </w:rPr>
      </w:pPr>
    </w:p>
    <w:p w14:paraId="0D6C8ECE" w14:textId="77777777" w:rsidR="00CD65C2" w:rsidRDefault="00CD65C2">
      <w:pPr>
        <w:pStyle w:val="Corpo"/>
        <w:rPr>
          <w:rFonts w:hint="eastAsia"/>
          <w:color w:val="404040" w:themeColor="text1" w:themeTint="BF"/>
        </w:rPr>
      </w:pPr>
    </w:p>
    <w:p w14:paraId="18AF1F79"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888640" behindDoc="0" locked="0" layoutInCell="1" allowOverlap="1">
                <wp:simplePos x="0" y="0"/>
                <wp:positionH relativeFrom="column">
                  <wp:posOffset>4789170</wp:posOffset>
                </wp:positionH>
                <wp:positionV relativeFrom="paragraph">
                  <wp:posOffset>187960</wp:posOffset>
                </wp:positionV>
                <wp:extent cx="226695" cy="138430"/>
                <wp:effectExtent l="0" t="0" r="1905" b="0"/>
                <wp:wrapNone/>
                <wp:docPr id="739657779" name="Triângulo isósceles 739657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779" o:spid="_x0000_s1026" o:spt="5" type="#_x0000_t5" style="position:absolute;left:0pt;flip:y;margin-left:377.1pt;margin-top:14.8pt;height:10.9pt;width:17.85pt;z-index:251888640;mso-width-relative:page;mso-height-relative:page;" fillcolor="#D9D9D9 [3212]" filled="t" stroked="f" coordsize="21600,21600" o:gfxdata="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EbKoNbZAAAACQEAAA8AAAAAAAAAAQAgAAAAIgAAAGRycy9kb3ducmV2LnhtbFBLAQIUABQA&#10;AAAIAIdO4kB0Jji5YQIAALMEAAAOAAAAAAAAAAEAIAAAACgBAABkcnMvZTJvRG9jLnhtbFBLBQYA&#10;AAAABgAGAFkBAAD7BQ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886592" behindDoc="0" locked="0" layoutInCell="1" allowOverlap="1">
                <wp:simplePos x="0" y="0"/>
                <wp:positionH relativeFrom="column">
                  <wp:posOffset>718185</wp:posOffset>
                </wp:positionH>
                <wp:positionV relativeFrom="paragraph">
                  <wp:posOffset>187960</wp:posOffset>
                </wp:positionV>
                <wp:extent cx="226695" cy="138430"/>
                <wp:effectExtent l="0" t="0" r="1905" b="0"/>
                <wp:wrapNone/>
                <wp:docPr id="739657777" name="Triângulo isósceles 7396577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777" o:spid="_x0000_s1026" o:spt="5" type="#_x0000_t5" style="position:absolute;left:0pt;flip:y;margin-left:56.55pt;margin-top:14.8pt;height:10.9pt;width:17.85pt;z-index:251886592;mso-width-relative:page;mso-height-relative:page;" fillcolor="#D9D9D9 [3212]" filled="t" stroked="f" coordsize="21600,21600" o:gfxdata="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iwkh49cAAAAJAQAADwAAAAAAAAABACAAAAAiAAAAZHJzL2Rvd25yZXYueG1sUEsBAhQAFAAAAAgA&#10;h07iQEZCCa5fAgAAswQAAA4AAAAAAAAAAQAgAAAAJgEAAGRycy9lMm9Eb2MueG1sUEsFBgAAAAAG&#10;AAYAWQEAAPcFAAAAAA==&#10;" adj="10800">
                <v:fill on="t" focussize="0,0"/>
                <v:stroke on="f"/>
                <v:imagedata o:title=""/>
                <o:lock v:ext="edit" aspectratio="f"/>
              </v:shape>
            </w:pict>
          </mc:Fallback>
        </mc:AlternateContent>
      </w:r>
    </w:p>
    <w:p w14:paraId="115725FF"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887616" behindDoc="0" locked="0" layoutInCell="1" allowOverlap="1">
                <wp:simplePos x="0" y="0"/>
                <wp:positionH relativeFrom="column">
                  <wp:posOffset>2753995</wp:posOffset>
                </wp:positionH>
                <wp:positionV relativeFrom="paragraph">
                  <wp:posOffset>24130</wp:posOffset>
                </wp:positionV>
                <wp:extent cx="226695" cy="138430"/>
                <wp:effectExtent l="0" t="0" r="1905" b="0"/>
                <wp:wrapNone/>
                <wp:docPr id="739657778" name="Triângulo isósceles 7396577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778" o:spid="_x0000_s1026" o:spt="5" type="#_x0000_t5" style="position:absolute;left:0pt;flip:y;margin-left:216.85pt;margin-top:1.9pt;height:10.9pt;width:17.85pt;z-index:251887616;mso-width-relative:page;mso-height-relative:page;" fillcolor="#D9D9D9 [3212]" filled="t" stroked="f" coordsize="21600,21600" o:gfxdata="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QTWqb9gAAAAIAQAADwAAAAAAAAABACAAAAAiAAAAZHJzL2Rvd25yZXYueG1sUEsBAhQAFAAA&#10;AAgAh07iQNx3wP9hAgAAswQAAA4AAAAAAAAAAQAgAAAAJwEAAGRycy9lMm9Eb2MueG1sUEsFBgAA&#10;AAAGAAYAWQEAAPoFA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885568" behindDoc="0" locked="0" layoutInCell="1" allowOverlap="1">
                <wp:simplePos x="0" y="0"/>
                <wp:positionH relativeFrom="margin">
                  <wp:posOffset>4067175</wp:posOffset>
                </wp:positionH>
                <wp:positionV relativeFrom="paragraph">
                  <wp:posOffset>213360</wp:posOffset>
                </wp:positionV>
                <wp:extent cx="1666875" cy="781685"/>
                <wp:effectExtent l="0" t="0" r="28575" b="18415"/>
                <wp:wrapNone/>
                <wp:docPr id="739657774" name="Caixa de texto 739657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781685"/>
                        </a:xfrm>
                        <a:prstGeom prst="rect">
                          <a:avLst/>
                        </a:prstGeom>
                        <a:solidFill>
                          <a:srgbClr val="0070C0"/>
                        </a:solidFill>
                        <a:ln w="9525">
                          <a:solidFill>
                            <a:srgbClr val="0070C0"/>
                          </a:solidFill>
                          <a:miter lim="800000"/>
                        </a:ln>
                      </wps:spPr>
                      <wps:txbx>
                        <w:txbxContent>
                          <w:p w14:paraId="64692278"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Grupo 3</w:t>
                            </w:r>
                            <w:r>
                              <w:rPr>
                                <w:rFonts w:ascii="Swis721 Th BT" w:hAnsi="Swis721 Th BT"/>
                                <w:b/>
                                <w:color w:val="FFFFFF" w:themeColor="background1"/>
                                <w:sz w:val="23"/>
                                <w:szCs w:val="23"/>
                              </w:rPr>
                              <w:br/>
                            </w:r>
                            <w:r>
                              <w:rPr>
                                <w:rFonts w:ascii="Swis721 Th BT" w:hAnsi="Swis721 Th BT"/>
                                <w:bCs/>
                                <w:color w:val="FFFFFF" w:themeColor="background1"/>
                                <w:sz w:val="23"/>
                                <w:szCs w:val="23"/>
                              </w:rPr>
                              <w:t>Placebo</w:t>
                            </w:r>
                          </w:p>
                          <w:p w14:paraId="305C301C"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739657774" o:spid="_x0000_s1169" type="#_x0000_t202" style="position:absolute;left:0;text-align:left;margin-left:320.25pt;margin-top:16.8pt;width:131.25pt;height:61.55pt;z-index:2518855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" fillcolor="#0070c0" strokecolor="#0070c0">
                <v:textbox>
                  <w:txbxContent>
                    <w:p w14:paraId="64692278"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Grupo 3</w:t>
                      </w:r>
                      <w:r>
                        <w:rPr>
                          <w:rFonts w:ascii="Swis721 Th BT" w:hAnsi="Swis721 Th BT"/>
                          <w:b/>
                          <w:color w:val="FFFFFF" w:themeColor="background1"/>
                          <w:sz w:val="23"/>
                          <w:szCs w:val="23"/>
                        </w:rPr>
                        <w:br/>
                      </w:r>
                      <w:r>
                        <w:rPr>
                          <w:rFonts w:ascii="Swis721 Th BT" w:hAnsi="Swis721 Th BT"/>
                          <w:bCs/>
                          <w:color w:val="FFFFFF" w:themeColor="background1"/>
                          <w:sz w:val="23"/>
                          <w:szCs w:val="23"/>
                        </w:rPr>
                        <w:t>Placebo</w:t>
                      </w:r>
                    </w:p>
                    <w:p w14:paraId="305C301C" w14:textId="77777777" w:rsidR="00FA41FC" w:rsidRDefault="00FA41FC">
                      <w:pPr>
                        <w:spacing w:after="0" w:line="240" w:lineRule="auto"/>
                        <w:jc w:val="center"/>
                        <w:rPr>
                          <w:rFonts w:ascii="Swis721 Th BT" w:hAnsi="Swis721 Th BT"/>
                          <w:color w:val="FFFFFF" w:themeColor="background1"/>
                          <w:szCs w:val="23"/>
                        </w:rPr>
                      </w:pPr>
                    </w:p>
                  </w:txbxContent>
                </v:textbox>
                <w10:wrap anchorx="margin"/>
              </v:shape>
            </w:pict>
          </mc:Fallback>
        </mc:AlternateContent>
      </w:r>
    </w:p>
    <w:p w14:paraId="5BAE65D5"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884544" behindDoc="0" locked="0" layoutInCell="1" allowOverlap="1">
                <wp:simplePos x="0" y="0"/>
                <wp:positionH relativeFrom="margin">
                  <wp:posOffset>2038350</wp:posOffset>
                </wp:positionH>
                <wp:positionV relativeFrom="paragraph">
                  <wp:posOffset>18415</wp:posOffset>
                </wp:positionV>
                <wp:extent cx="1666875" cy="781685"/>
                <wp:effectExtent l="0" t="0" r="28575" b="18415"/>
                <wp:wrapNone/>
                <wp:docPr id="739657775" name="Caixa de texto 7396577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781685"/>
                        </a:xfrm>
                        <a:prstGeom prst="rect">
                          <a:avLst/>
                        </a:prstGeom>
                        <a:solidFill>
                          <a:srgbClr val="0070C0"/>
                        </a:solidFill>
                        <a:ln w="9525">
                          <a:solidFill>
                            <a:srgbClr val="0070C0"/>
                          </a:solidFill>
                          <a:miter lim="800000"/>
                        </a:ln>
                      </wps:spPr>
                      <wps:txbx>
                        <w:txbxContent>
                          <w:p w14:paraId="7BB443A3"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bCs/>
                                <w:color w:val="FFFFFF" w:themeColor="background1"/>
                                <w:sz w:val="23"/>
                                <w:szCs w:val="23"/>
                              </w:rPr>
                              <w:t>Vitamina E 200 UI</w:t>
                            </w:r>
                          </w:p>
                          <w:p w14:paraId="4D93BCEC"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2 vezes ao dia</w:t>
                            </w:r>
                          </w:p>
                          <w:p w14:paraId="37C39B8D"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739657775" o:spid="_x0000_s1170" type="#_x0000_t202" style="position:absolute;left:0;text-align:left;margin-left:160.5pt;margin-top:1.45pt;width:131.25pt;height:61.55pt;z-index:2518845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" fillcolor="#0070c0" strokecolor="#0070c0">
                <v:textbox>
                  <w:txbxContent>
                    <w:p w14:paraId="7BB443A3"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bCs/>
                          <w:color w:val="FFFFFF" w:themeColor="background1"/>
                          <w:sz w:val="23"/>
                          <w:szCs w:val="23"/>
                        </w:rPr>
                        <w:t>Vitamina E 200 UI</w:t>
                      </w:r>
                    </w:p>
                    <w:p w14:paraId="4D93BCEC"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2 vezes ao dia</w:t>
                      </w:r>
                    </w:p>
                    <w:p w14:paraId="37C39B8D" w14:textId="77777777" w:rsidR="00FA41FC" w:rsidRDefault="00FA41FC">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color w:val="404040" w:themeColor="text1" w:themeTint="BF"/>
          <w:lang w:eastAsia="pt-BR"/>
        </w:rPr>
        <mc:AlternateContent>
          <mc:Choice Requires="wps">
            <w:drawing>
              <wp:anchor distT="0" distB="0" distL="114300" distR="114300" simplePos="0" relativeHeight="251883520" behindDoc="0" locked="0" layoutInCell="1" allowOverlap="1">
                <wp:simplePos x="0" y="0"/>
                <wp:positionH relativeFrom="margin">
                  <wp:align>left</wp:align>
                </wp:positionH>
                <wp:positionV relativeFrom="paragraph">
                  <wp:posOffset>22860</wp:posOffset>
                </wp:positionV>
                <wp:extent cx="1666875" cy="781685"/>
                <wp:effectExtent l="0" t="0" r="28575" b="18415"/>
                <wp:wrapNone/>
                <wp:docPr id="739657776" name="Caixa de texto 7396577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781685"/>
                        </a:xfrm>
                        <a:prstGeom prst="rect">
                          <a:avLst/>
                        </a:prstGeom>
                        <a:solidFill>
                          <a:srgbClr val="0070C0"/>
                        </a:solidFill>
                        <a:ln w="9525">
                          <a:solidFill>
                            <a:srgbClr val="0070C0"/>
                          </a:solidFill>
                          <a:miter lim="800000"/>
                        </a:ln>
                      </wps:spPr>
                      <wps:txbx>
                        <w:txbxContent>
                          <w:p w14:paraId="2156E65C"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color w:val="FFFFFF" w:themeColor="background1"/>
                                <w:sz w:val="23"/>
                                <w:szCs w:val="23"/>
                              </w:rPr>
                              <w:t>Curcumina 500 mg</w:t>
                            </w:r>
                          </w:p>
                          <w:p w14:paraId="1DD014CA"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2 vezes ao dia</w:t>
                            </w:r>
                          </w:p>
                          <w:p w14:paraId="52BA5A28"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739657776" o:spid="_x0000_s1171" type="#_x0000_t202" style="position:absolute;left:0;text-align:left;margin-left:0;margin-top:1.8pt;width:131.25pt;height:61.55pt;z-index:25188352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" fillcolor="#0070c0" strokecolor="#0070c0">
                <v:textbox>
                  <w:txbxContent>
                    <w:p w14:paraId="2156E65C"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color w:val="FFFFFF" w:themeColor="background1"/>
                          <w:sz w:val="23"/>
                          <w:szCs w:val="23"/>
                        </w:rPr>
                        <w:t>Curcumina 500 mg</w:t>
                      </w:r>
                    </w:p>
                    <w:p w14:paraId="1DD014CA"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2 vezes ao dia</w:t>
                      </w:r>
                    </w:p>
                    <w:p w14:paraId="52BA5A28" w14:textId="77777777" w:rsidR="00FA41FC" w:rsidRDefault="00FA41FC">
                      <w:pPr>
                        <w:spacing w:after="0" w:line="240" w:lineRule="auto"/>
                        <w:jc w:val="center"/>
                        <w:rPr>
                          <w:rFonts w:ascii="Swis721 Th BT" w:hAnsi="Swis721 Th BT"/>
                          <w:color w:val="FFFFFF" w:themeColor="background1"/>
                          <w:szCs w:val="23"/>
                        </w:rPr>
                      </w:pPr>
                    </w:p>
                  </w:txbxContent>
                </v:textbox>
                <w10:wrap anchorx="margin"/>
              </v:shape>
            </w:pict>
          </mc:Fallback>
        </mc:AlternateContent>
      </w:r>
    </w:p>
    <w:p w14:paraId="52218307" w14:textId="77777777" w:rsidR="00CD65C2" w:rsidRDefault="00CD65C2">
      <w:pPr>
        <w:pStyle w:val="Corpo"/>
        <w:rPr>
          <w:rFonts w:hint="eastAsia"/>
          <w:color w:val="404040" w:themeColor="text1" w:themeTint="BF"/>
        </w:rPr>
      </w:pPr>
    </w:p>
    <w:p w14:paraId="6AAC7CDB" w14:textId="77777777" w:rsidR="00CD65C2" w:rsidRDefault="00CD65C2">
      <w:pPr>
        <w:pStyle w:val="Corpo"/>
        <w:rPr>
          <w:rFonts w:hint="eastAsia"/>
          <w:color w:val="404040" w:themeColor="text1" w:themeTint="BF"/>
        </w:rPr>
      </w:pPr>
    </w:p>
    <w:p w14:paraId="763ECB2D" w14:textId="77777777" w:rsidR="00CD65C2" w:rsidRDefault="00CD65C2">
      <w:pPr>
        <w:pStyle w:val="Corpo"/>
        <w:spacing w:before="120"/>
        <w:rPr>
          <w:rFonts w:hint="eastAsia"/>
          <w:color w:val="404040" w:themeColor="text1" w:themeTint="BF"/>
          <w:sz w:val="20"/>
        </w:rPr>
      </w:pPr>
    </w:p>
    <w:p w14:paraId="62057395"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06300D40"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7C78F5DC"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477D002B"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217C4638" w14:textId="77777777" w:rsidR="00CD65C2" w:rsidRDefault="00FA41FC" w:rsidP="00D1428E">
      <w:pPr>
        <w:numPr>
          <w:ilvl w:val="0"/>
          <w:numId w:val="42"/>
        </w:numPr>
        <w:jc w:val="both"/>
        <w:rPr>
          <w:rFonts w:ascii="Swis721 Th BT" w:eastAsia="MS Mincho" w:hAnsi="Swis721 Th BT" w:hint="eastAsia"/>
          <w:bCs/>
          <w:color w:val="404040" w:themeColor="text1" w:themeTint="BF"/>
          <w:sz w:val="24"/>
          <w:szCs w:val="24"/>
        </w:rPr>
      </w:pPr>
      <w:r>
        <w:rPr>
          <w:rFonts w:ascii="Swis721 Th BT" w:eastAsia="MS Mincho" w:hAnsi="Swis721 Th BT"/>
          <w:bCs/>
          <w:color w:val="404040" w:themeColor="text1" w:themeTint="BF"/>
          <w:sz w:val="24"/>
          <w:szCs w:val="24"/>
        </w:rPr>
        <w:t>A média de idade das participantes foi de 51,7 anos;</w:t>
      </w:r>
    </w:p>
    <w:p w14:paraId="379E8898" w14:textId="565BF233" w:rsidR="00CD65C2" w:rsidRDefault="00FA41FC" w:rsidP="00D1428E">
      <w:pPr>
        <w:numPr>
          <w:ilvl w:val="0"/>
          <w:numId w:val="42"/>
        </w:numPr>
        <w:jc w:val="both"/>
        <w:rPr>
          <w:rFonts w:ascii="Swis721 Th BT" w:eastAsia="MS Mincho" w:hAnsi="Swis721 Th BT" w:hint="eastAsia"/>
          <w:bCs/>
          <w:color w:val="404040" w:themeColor="text1" w:themeTint="BF"/>
          <w:sz w:val="24"/>
          <w:szCs w:val="24"/>
        </w:rPr>
      </w:pPr>
      <w:r>
        <w:rPr>
          <w:rFonts w:ascii="Swis721 Th BT" w:eastAsia="MS Mincho" w:hAnsi="Swis721 Th BT"/>
          <w:bCs/>
          <w:color w:val="404040" w:themeColor="text1" w:themeTint="BF"/>
          <w:sz w:val="24"/>
          <w:szCs w:val="24"/>
        </w:rPr>
        <w:t>Houve redução significativa no número de fogachos no grupo curcumina (-10,7 – p = 0,001) e nas pacientes tratadas com vitamina E (-8,7 – p = 0,029) em comparação com o placebo;</w:t>
      </w:r>
    </w:p>
    <w:p w14:paraId="57EAF62D" w14:textId="77777777" w:rsidR="00CD65C2" w:rsidRDefault="00FA41FC" w:rsidP="00D1428E">
      <w:pPr>
        <w:numPr>
          <w:ilvl w:val="0"/>
          <w:numId w:val="42"/>
        </w:numPr>
        <w:jc w:val="both"/>
        <w:rPr>
          <w:rFonts w:ascii="Swis721 Th BT" w:eastAsia="MS Mincho" w:hAnsi="Swis721 Th BT" w:hint="eastAsia"/>
          <w:bCs/>
          <w:color w:val="404040" w:themeColor="text1" w:themeTint="BF"/>
          <w:sz w:val="24"/>
          <w:szCs w:val="24"/>
        </w:rPr>
      </w:pPr>
      <w:r>
        <w:rPr>
          <w:rFonts w:ascii="Swis721 Th BT" w:eastAsia="MS Mincho" w:hAnsi="Swis721 Th BT"/>
          <w:bCs/>
          <w:color w:val="404040" w:themeColor="text1" w:themeTint="BF"/>
          <w:sz w:val="24"/>
          <w:szCs w:val="24"/>
        </w:rPr>
        <w:t>Os efeitos da curcumina na diminuição do número de fogachos foram observados na semana quatro e os efeitos da vitamina E foram notados na semana oito;</w:t>
      </w:r>
    </w:p>
    <w:p w14:paraId="6BF2F6B5" w14:textId="77777777" w:rsidR="00CD65C2" w:rsidRDefault="00FA41FC" w:rsidP="00D1428E">
      <w:pPr>
        <w:numPr>
          <w:ilvl w:val="0"/>
          <w:numId w:val="42"/>
        </w:numPr>
        <w:jc w:val="both"/>
        <w:rPr>
          <w:rFonts w:ascii="Swis721 Th BT" w:eastAsia="MS Mincho" w:hAnsi="Swis721 Th BT" w:hint="eastAsia"/>
          <w:bCs/>
          <w:color w:val="404040" w:themeColor="text1" w:themeTint="BF"/>
          <w:sz w:val="24"/>
          <w:szCs w:val="24"/>
        </w:rPr>
      </w:pPr>
      <w:r>
        <w:rPr>
          <w:rFonts w:ascii="Swis721 Th BT" w:eastAsia="MS Mincho" w:hAnsi="Swis721 Th BT"/>
          <w:bCs/>
          <w:color w:val="404040" w:themeColor="text1" w:themeTint="BF"/>
          <w:sz w:val="24"/>
          <w:szCs w:val="24"/>
        </w:rPr>
        <w:t>Não foram observados efeitos estatísticos significativos entre os grupos em termos de função sexual e ansiedade.</w:t>
      </w:r>
    </w:p>
    <w:p w14:paraId="62EF8034"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19162DE0"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02EA9BD5"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7D68E95B" w14:textId="206783A4" w:rsidR="00CD65C2" w:rsidRDefault="00FA41FC">
      <w:pPr>
        <w:jc w:val="center"/>
        <w:rPr>
          <w:rFonts w:ascii="Swis721 Th BT" w:eastAsia="MS Mincho" w:hAnsi="Swis721 Th BT" w:hint="eastAsia"/>
          <w:b/>
          <w:bCs/>
          <w:i/>
          <w:color w:val="404040" w:themeColor="text1" w:themeTint="BF"/>
          <w:sz w:val="24"/>
          <w:szCs w:val="24"/>
        </w:rPr>
      </w:pPr>
      <w:r>
        <w:rPr>
          <w:rFonts w:ascii="Swis721 Th BT" w:eastAsia="MS Mincho" w:hAnsi="Swis721 Th BT"/>
          <w:b/>
          <w:bCs/>
          <w:i/>
          <w:color w:val="404040" w:themeColor="text1" w:themeTint="BF"/>
          <w:sz w:val="24"/>
          <w:szCs w:val="24"/>
        </w:rPr>
        <w:t>Os resultados do estudo demonstraram que a suplementação com curcumina e vitamina E reduziu de maneira significativa os fogachos.</w:t>
      </w:r>
    </w:p>
    <w:p w14:paraId="3CCD43FE" w14:textId="77777777" w:rsidR="00CD65C2" w:rsidRDefault="00CD65C2">
      <w:pPr>
        <w:jc w:val="both"/>
        <w:rPr>
          <w:rFonts w:ascii="Swis721 Th BT" w:eastAsia="MS Mincho" w:hAnsi="Swis721 Th BT" w:hint="eastAsia"/>
          <w:b/>
          <w:bCs/>
          <w:color w:val="404040" w:themeColor="text1" w:themeTint="BF"/>
          <w:sz w:val="24"/>
          <w:szCs w:val="24"/>
        </w:rPr>
      </w:pPr>
    </w:p>
    <w:p w14:paraId="29B64276" w14:textId="77777777" w:rsidR="00CD65C2" w:rsidRDefault="00FA41FC">
      <w:pPr>
        <w:pStyle w:val="Ttulo1"/>
        <w:jc w:val="center"/>
        <w:rPr>
          <w:rFonts w:hint="eastAsia"/>
        </w:rPr>
      </w:pPr>
      <w:bookmarkStart w:id="110" w:name="_Toc165537259"/>
      <w:r>
        <w:t>Formulário</w:t>
      </w:r>
      <w:bookmarkEnd w:id="110"/>
    </w:p>
    <w:p w14:paraId="502084E1" w14:textId="77777777" w:rsidR="00CD65C2" w:rsidRDefault="00CD65C2">
      <w:pPr>
        <w:pStyle w:val="Corpo"/>
        <w:rPr>
          <w:rFonts w:hint="eastAsia"/>
          <w:b/>
          <w:i/>
          <w:color w:val="404040" w:themeColor="text1" w:themeTint="BF"/>
        </w:rPr>
      </w:pPr>
    </w:p>
    <w:p w14:paraId="0A9687AE" w14:textId="77777777" w:rsidR="00CD65C2" w:rsidRDefault="00CD65C2">
      <w:pPr>
        <w:pStyle w:val="Corpo"/>
        <w:rPr>
          <w:rFonts w:hint="eastAsia"/>
          <w:b/>
          <w:i/>
          <w:color w:val="404040" w:themeColor="text1" w:themeTint="BF"/>
        </w:rPr>
      </w:pPr>
    </w:p>
    <w:p w14:paraId="4BDFCCD1" w14:textId="77777777" w:rsidR="00CD65C2" w:rsidRDefault="00FA41FC">
      <w:pPr>
        <w:pStyle w:val="Corpo"/>
        <w:rPr>
          <w:rFonts w:hint="eastAsia"/>
          <w:b/>
          <w:i/>
          <w:color w:val="404040" w:themeColor="text1" w:themeTint="BF"/>
          <w:sz w:val="24"/>
        </w:rPr>
      </w:pPr>
      <w:r>
        <w:rPr>
          <w:b/>
          <w:i/>
          <w:color w:val="404040" w:themeColor="text1" w:themeTint="BF"/>
          <w:sz w:val="24"/>
        </w:rPr>
        <w:t>Uso de Curcumina na Diminuição dos Fogachos</w:t>
      </w:r>
    </w:p>
    <w:p w14:paraId="63C14703"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6B0D76DB"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08CE3D2C" w14:textId="77777777" w:rsidR="00CD65C2" w:rsidRDefault="00FA41FC">
            <w:pPr>
              <w:pStyle w:val="Corpo"/>
              <w:jc w:val="center"/>
              <w:rPr>
                <w:rFonts w:hint="eastAsia"/>
                <w:b/>
                <w:color w:val="FFFFFF" w:themeColor="background1"/>
              </w:rPr>
            </w:pPr>
            <w:r>
              <w:rPr>
                <w:b/>
                <w:color w:val="FFFFFF" w:themeColor="background1"/>
              </w:rPr>
              <w:t>Cápsulas de Curcumina</w:t>
            </w:r>
          </w:p>
        </w:tc>
      </w:tr>
      <w:tr w:rsidR="00CD65C2" w14:paraId="4D37582C"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E95A066" w14:textId="77777777" w:rsidR="00CD65C2" w:rsidRDefault="00FA41FC">
            <w:pPr>
              <w:pStyle w:val="Corpo"/>
              <w:jc w:val="center"/>
              <w:rPr>
                <w:rFonts w:hint="eastAsia"/>
                <w:color w:val="404040" w:themeColor="text1" w:themeTint="BF"/>
              </w:rPr>
            </w:pPr>
            <w:r>
              <w:rPr>
                <w:color w:val="404040" w:themeColor="text1" w:themeTint="BF"/>
              </w:rPr>
              <w:t>Curcumina.................................... 500 mg</w:t>
            </w:r>
          </w:p>
        </w:tc>
      </w:tr>
      <w:tr w:rsidR="00CD65C2" w14:paraId="7A967C7E"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F3E7835" w14:textId="3E3200BF" w:rsidR="00CD65C2" w:rsidRDefault="00FA41FC">
            <w:pPr>
              <w:pStyle w:val="Corpo"/>
              <w:jc w:val="center"/>
              <w:rPr>
                <w:rFonts w:hint="eastAsia"/>
                <w:color w:val="404040" w:themeColor="text1" w:themeTint="BF"/>
              </w:rPr>
            </w:pPr>
            <w:r>
              <w:rPr>
                <w:color w:val="404040" w:themeColor="text1" w:themeTint="BF"/>
              </w:rPr>
              <w:t>Excipiente q.s.p. ........................1 Cápsula</w:t>
            </w:r>
          </w:p>
        </w:tc>
      </w:tr>
    </w:tbl>
    <w:p w14:paraId="7A32D58C" w14:textId="1F5374E2" w:rsidR="00CD65C2" w:rsidRDefault="00FA41FC">
      <w:pPr>
        <w:pStyle w:val="Corpo"/>
        <w:ind w:right="4762"/>
        <w:jc w:val="center"/>
        <w:rPr>
          <w:rFonts w:hint="eastAsia"/>
          <w:color w:val="404040" w:themeColor="text1" w:themeTint="BF"/>
          <w:sz w:val="22"/>
          <w:szCs w:val="22"/>
        </w:rPr>
      </w:pPr>
      <w:r>
        <w:rPr>
          <w:color w:val="404040" w:themeColor="text1" w:themeTint="BF"/>
          <w:sz w:val="22"/>
          <w:szCs w:val="22"/>
        </w:rPr>
        <w:t>Administrar 1 cápsula duas vezes ao dia ou conforme orientação médica.</w:t>
      </w:r>
    </w:p>
    <w:p w14:paraId="0B374BBB" w14:textId="77777777" w:rsidR="00CD65C2" w:rsidRDefault="00CD65C2">
      <w:pPr>
        <w:pStyle w:val="Corpo"/>
        <w:ind w:right="4762"/>
        <w:jc w:val="center"/>
        <w:rPr>
          <w:rFonts w:hint="eastAsia"/>
          <w:color w:val="404040" w:themeColor="text1" w:themeTint="BF"/>
          <w:sz w:val="10"/>
          <w:szCs w:val="10"/>
        </w:rPr>
      </w:pPr>
    </w:p>
    <w:p w14:paraId="6360FFC0" w14:textId="77777777" w:rsidR="00CD65C2" w:rsidRDefault="00CD65C2">
      <w:pPr>
        <w:pStyle w:val="Corpo"/>
        <w:rPr>
          <w:rFonts w:hint="eastAsia"/>
          <w:b/>
          <w:i/>
          <w:color w:val="404040" w:themeColor="text1" w:themeTint="BF"/>
          <w:sz w:val="24"/>
        </w:rPr>
      </w:pPr>
    </w:p>
    <w:p w14:paraId="1B405925" w14:textId="77777777" w:rsidR="00CD65C2" w:rsidRDefault="00CD65C2">
      <w:pPr>
        <w:pStyle w:val="Corpo"/>
        <w:rPr>
          <w:rFonts w:hint="eastAsia"/>
          <w:b/>
          <w:i/>
          <w:color w:val="404040" w:themeColor="text1" w:themeTint="BF"/>
          <w:sz w:val="24"/>
        </w:rPr>
      </w:pPr>
    </w:p>
    <w:p w14:paraId="0EA8A59B" w14:textId="77777777" w:rsidR="00CD65C2" w:rsidRDefault="00FA41FC">
      <w:pPr>
        <w:pStyle w:val="Corpo"/>
        <w:rPr>
          <w:rFonts w:hint="eastAsia"/>
          <w:b/>
          <w:i/>
          <w:color w:val="404040" w:themeColor="text1" w:themeTint="BF"/>
          <w:sz w:val="24"/>
        </w:rPr>
      </w:pPr>
      <w:r>
        <w:rPr>
          <w:b/>
          <w:i/>
          <w:color w:val="404040" w:themeColor="text1" w:themeTint="BF"/>
          <w:sz w:val="24"/>
        </w:rPr>
        <w:t>Uso de Vitamina E na Diminuição dos Fogachos</w:t>
      </w:r>
    </w:p>
    <w:p w14:paraId="76E5D185"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4C12A71E"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69A3CD94" w14:textId="77777777" w:rsidR="00CD65C2" w:rsidRDefault="00FA41FC">
            <w:pPr>
              <w:pStyle w:val="Corpo"/>
              <w:jc w:val="center"/>
              <w:rPr>
                <w:rFonts w:hint="eastAsia"/>
                <w:b/>
                <w:color w:val="FFFFFF" w:themeColor="background1"/>
              </w:rPr>
            </w:pPr>
            <w:r>
              <w:rPr>
                <w:b/>
                <w:color w:val="FFFFFF" w:themeColor="background1"/>
              </w:rPr>
              <w:t>Cápsulas de Vitamina E</w:t>
            </w:r>
          </w:p>
        </w:tc>
      </w:tr>
      <w:tr w:rsidR="00CD65C2" w14:paraId="1D53916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2A20983" w14:textId="77777777" w:rsidR="00CD65C2" w:rsidRDefault="00FA41FC">
            <w:pPr>
              <w:pStyle w:val="Corpo"/>
              <w:jc w:val="center"/>
              <w:rPr>
                <w:rFonts w:hint="eastAsia"/>
                <w:color w:val="404040" w:themeColor="text1" w:themeTint="BF"/>
              </w:rPr>
            </w:pPr>
            <w:r>
              <w:rPr>
                <w:color w:val="404040" w:themeColor="text1" w:themeTint="BF"/>
              </w:rPr>
              <w:t>Vitamina E.........................................200 UI</w:t>
            </w:r>
          </w:p>
        </w:tc>
      </w:tr>
      <w:tr w:rsidR="00CD65C2" w14:paraId="64FE2CE8"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9FCDEDA" w14:textId="5FB7BF3E" w:rsidR="00CD65C2" w:rsidRDefault="00FA41FC">
            <w:pPr>
              <w:pStyle w:val="Corpo"/>
              <w:jc w:val="center"/>
              <w:rPr>
                <w:rFonts w:hint="eastAsia"/>
                <w:color w:val="404040" w:themeColor="text1" w:themeTint="BF"/>
              </w:rPr>
            </w:pPr>
            <w:r>
              <w:rPr>
                <w:color w:val="404040" w:themeColor="text1" w:themeTint="BF"/>
              </w:rPr>
              <w:t>Excipiente q.s.p. ........................1 Cápsula</w:t>
            </w:r>
          </w:p>
        </w:tc>
      </w:tr>
    </w:tbl>
    <w:p w14:paraId="060DA6B6" w14:textId="77777777" w:rsidR="00CD65C2" w:rsidRDefault="00FA41FC">
      <w:pPr>
        <w:pStyle w:val="Corpo"/>
        <w:ind w:right="4762"/>
        <w:jc w:val="center"/>
        <w:rPr>
          <w:rFonts w:hint="eastAsia"/>
          <w:color w:val="404040" w:themeColor="text1" w:themeTint="BF"/>
          <w:sz w:val="22"/>
          <w:szCs w:val="22"/>
        </w:rPr>
      </w:pPr>
      <w:r>
        <w:rPr>
          <w:color w:val="404040" w:themeColor="text1" w:themeTint="BF"/>
          <w:sz w:val="22"/>
          <w:szCs w:val="22"/>
        </w:rPr>
        <w:t>Administrar 1 cápsula 2 vezes ao dia ou conforme orientação médica.</w:t>
      </w:r>
    </w:p>
    <w:p w14:paraId="54C15335" w14:textId="77777777" w:rsidR="00CD65C2" w:rsidRDefault="00CD65C2">
      <w:pPr>
        <w:pStyle w:val="SemEspaamento"/>
      </w:pPr>
    </w:p>
    <w:p w14:paraId="17A1EFD9" w14:textId="77777777" w:rsidR="00CD65C2" w:rsidRDefault="00CD65C2">
      <w:pPr>
        <w:pStyle w:val="SemEspaamento"/>
      </w:pPr>
    </w:p>
    <w:p w14:paraId="3A7B1845" w14:textId="77777777" w:rsidR="00CD65C2" w:rsidRDefault="00CD65C2">
      <w:pPr>
        <w:pStyle w:val="SemEspaamento"/>
      </w:pPr>
    </w:p>
    <w:p w14:paraId="1F5EF100" w14:textId="77777777" w:rsidR="00CD65C2" w:rsidRDefault="00CD65C2">
      <w:pPr>
        <w:pStyle w:val="SemEspaamento"/>
      </w:pPr>
    </w:p>
    <w:p w14:paraId="18504FFD" w14:textId="77777777" w:rsidR="00CD65C2" w:rsidRDefault="00CD65C2">
      <w:pPr>
        <w:pStyle w:val="SemEspaamento"/>
      </w:pPr>
    </w:p>
    <w:p w14:paraId="5C195F38" w14:textId="77777777" w:rsidR="00CD65C2" w:rsidRDefault="00CD65C2">
      <w:pPr>
        <w:pStyle w:val="SemEspaamento"/>
      </w:pPr>
    </w:p>
    <w:p w14:paraId="5466DE07" w14:textId="77777777" w:rsidR="00CD65C2" w:rsidRDefault="00CD65C2">
      <w:pPr>
        <w:pStyle w:val="SemEspaamento"/>
      </w:pPr>
    </w:p>
    <w:p w14:paraId="0960A7F6" w14:textId="77777777" w:rsidR="00CD65C2" w:rsidRDefault="00CD65C2">
      <w:pPr>
        <w:pStyle w:val="SemEspaamento"/>
      </w:pPr>
    </w:p>
    <w:p w14:paraId="5C182DAE" w14:textId="77777777" w:rsidR="00CD65C2" w:rsidRDefault="00CD65C2">
      <w:pPr>
        <w:pStyle w:val="SemEspaamento"/>
      </w:pPr>
    </w:p>
    <w:p w14:paraId="269D5796" w14:textId="77777777" w:rsidR="00CD65C2" w:rsidRDefault="00CD65C2">
      <w:pPr>
        <w:pStyle w:val="SemEspaamento"/>
      </w:pPr>
    </w:p>
    <w:p w14:paraId="7D35D421" w14:textId="77777777" w:rsidR="00CD65C2" w:rsidRDefault="00CD65C2">
      <w:pPr>
        <w:pStyle w:val="SemEspaamento"/>
      </w:pPr>
    </w:p>
    <w:p w14:paraId="1517F080" w14:textId="77777777" w:rsidR="00CD65C2" w:rsidRDefault="00CD65C2">
      <w:pPr>
        <w:pStyle w:val="SemEspaamento"/>
      </w:pPr>
    </w:p>
    <w:p w14:paraId="52721160" w14:textId="77777777" w:rsidR="00CD65C2" w:rsidRDefault="00CD65C2">
      <w:pPr>
        <w:pStyle w:val="SemEspaamento"/>
      </w:pPr>
    </w:p>
    <w:p w14:paraId="7D117686" w14:textId="77777777" w:rsidR="00CD65C2" w:rsidRDefault="00CD65C2">
      <w:pPr>
        <w:pStyle w:val="SemEspaamento"/>
      </w:pPr>
    </w:p>
    <w:p w14:paraId="21FCED0A" w14:textId="77777777" w:rsidR="00CD65C2" w:rsidRDefault="00CD65C2">
      <w:pPr>
        <w:pStyle w:val="SemEspaamento"/>
      </w:pPr>
    </w:p>
    <w:p w14:paraId="7F1E63EF" w14:textId="77777777" w:rsidR="00CD65C2" w:rsidRDefault="00CD65C2">
      <w:pPr>
        <w:pStyle w:val="SemEspaamento"/>
      </w:pPr>
    </w:p>
    <w:p w14:paraId="4BECB6B8" w14:textId="77777777" w:rsidR="00CD65C2" w:rsidRDefault="00CD65C2">
      <w:pPr>
        <w:pStyle w:val="SemEspaamento"/>
      </w:pPr>
    </w:p>
    <w:p w14:paraId="532A8417" w14:textId="77777777" w:rsidR="00CD65C2" w:rsidRDefault="00CD65C2">
      <w:pPr>
        <w:pStyle w:val="SemEspaamento"/>
      </w:pPr>
    </w:p>
    <w:p w14:paraId="211A38A1" w14:textId="77777777" w:rsidR="00CD65C2" w:rsidRDefault="00FA41FC">
      <w:pPr>
        <w:pStyle w:val="Ttulo1"/>
        <w:jc w:val="center"/>
        <w:rPr>
          <w:rFonts w:hint="eastAsia"/>
        </w:rPr>
      </w:pPr>
      <w:bookmarkStart w:id="111" w:name="_Toc165537260"/>
      <w:r>
        <w:rPr>
          <w:bCs/>
          <w:iCs/>
        </w:rPr>
        <w:t>Silimarina</w:t>
      </w:r>
      <w:bookmarkEnd w:id="111"/>
    </w:p>
    <w:p w14:paraId="05FB3CE7" w14:textId="77777777" w:rsidR="00CD65C2" w:rsidRPr="00D1428E" w:rsidRDefault="00FA41FC">
      <w:pPr>
        <w:pStyle w:val="Corpo"/>
        <w:spacing w:after="120"/>
        <w:jc w:val="center"/>
        <w:rPr>
          <w:rFonts w:hint="eastAsia"/>
          <w:b/>
          <w:color w:val="0070C0"/>
          <w:sz w:val="40"/>
        </w:rPr>
      </w:pPr>
      <w:r w:rsidRPr="00D1428E">
        <w:rPr>
          <w:b/>
          <w:color w:val="0070C0"/>
          <w:sz w:val="40"/>
        </w:rPr>
        <w:t>Diminui a Severidade e a Frequência dos Fogachos</w:t>
      </w:r>
    </w:p>
    <w:p w14:paraId="125C172E" w14:textId="77777777" w:rsidR="00CD65C2" w:rsidRDefault="00CD65C2">
      <w:pPr>
        <w:pStyle w:val="Corpo"/>
        <w:spacing w:after="120"/>
        <w:rPr>
          <w:rFonts w:hint="eastAsia"/>
          <w:color w:val="404040" w:themeColor="text1" w:themeTint="BF"/>
          <w:sz w:val="24"/>
        </w:rPr>
      </w:pPr>
    </w:p>
    <w:p w14:paraId="71F1E818" w14:textId="27308FC2" w:rsidR="00CD65C2" w:rsidRDefault="00FA41FC">
      <w:pPr>
        <w:pStyle w:val="Corpo"/>
        <w:spacing w:after="120"/>
        <w:rPr>
          <w:rFonts w:hint="eastAsia"/>
          <w:color w:val="404040" w:themeColor="text1" w:themeTint="BF"/>
          <w:sz w:val="24"/>
        </w:rPr>
      </w:pPr>
      <w:r>
        <w:rPr>
          <w:color w:val="404040" w:themeColor="text1" w:themeTint="BF"/>
          <w:sz w:val="24"/>
        </w:rPr>
        <w:t xml:space="preserve">Este estudo publicado no periódico internacional </w:t>
      </w:r>
      <w:r>
        <w:rPr>
          <w:i/>
          <w:iCs/>
          <w:color w:val="404040" w:themeColor="text1" w:themeTint="BF"/>
          <w:sz w:val="24"/>
        </w:rPr>
        <w:t>Phytotherapy Research</w:t>
      </w:r>
      <w:r>
        <w:rPr>
          <w:color w:val="404040" w:themeColor="text1" w:themeTint="BF"/>
          <w:sz w:val="24"/>
        </w:rPr>
        <w:t xml:space="preserve"> teve como objetivo avaliar os efeitos do </w:t>
      </w:r>
      <w:r>
        <w:rPr>
          <w:i/>
          <w:iCs/>
          <w:color w:val="404040" w:themeColor="text1" w:themeTint="BF"/>
          <w:sz w:val="24"/>
        </w:rPr>
        <w:t>Silybum marianum</w:t>
      </w:r>
      <w:r>
        <w:rPr>
          <w:color w:val="404040" w:themeColor="text1" w:themeTint="BF"/>
          <w:sz w:val="24"/>
        </w:rPr>
        <w:t xml:space="preserve"> (silimarina) em mulheres com fogachos (</w:t>
      </w:r>
      <w:r>
        <w:rPr>
          <w:color w:val="404040" w:themeColor="text1" w:themeTint="BF"/>
        </w:rPr>
        <w:t xml:space="preserve">SABERI </w:t>
      </w:r>
      <w:r>
        <w:rPr>
          <w:i/>
          <w:color w:val="404040" w:themeColor="text1" w:themeTint="BF"/>
        </w:rPr>
        <w:t xml:space="preserve">et a., </w:t>
      </w:r>
      <w:r>
        <w:rPr>
          <w:color w:val="404040" w:themeColor="text1" w:themeTint="BF"/>
        </w:rPr>
        <w:t>2020).</w:t>
      </w:r>
    </w:p>
    <w:p w14:paraId="6861DD3F"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91712" behindDoc="0" locked="0" layoutInCell="1" allowOverlap="1">
                <wp:simplePos x="0" y="0"/>
                <wp:positionH relativeFrom="margin">
                  <wp:posOffset>-1905</wp:posOffset>
                </wp:positionH>
                <wp:positionV relativeFrom="paragraph">
                  <wp:posOffset>137795</wp:posOffset>
                </wp:positionV>
                <wp:extent cx="5735955" cy="544195"/>
                <wp:effectExtent l="0" t="0" r="17780" b="27305"/>
                <wp:wrapNone/>
                <wp:docPr id="739657780" name="Caixa de texto 7396577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781" cy="544286"/>
                        </a:xfrm>
                        <a:prstGeom prst="rect">
                          <a:avLst/>
                        </a:prstGeom>
                        <a:solidFill>
                          <a:schemeClr val="bg1">
                            <a:lumMod val="100000"/>
                            <a:lumOff val="0"/>
                          </a:schemeClr>
                        </a:solidFill>
                        <a:ln w="9525">
                          <a:solidFill>
                            <a:srgbClr val="0070C0"/>
                          </a:solidFill>
                          <a:miter lim="800000"/>
                        </a:ln>
                      </wps:spPr>
                      <wps:txbx>
                        <w:txbxContent>
                          <w:p w14:paraId="05447A0F" w14:textId="69588307" w:rsidR="00FA41FC" w:rsidRDefault="00FA41FC">
                            <w:pPr>
                              <w:spacing w:line="276" w:lineRule="auto"/>
                              <w:jc w:val="center"/>
                              <w:rPr>
                                <w:rFonts w:ascii="Swis721 Th BT" w:hAnsi="Swis721 Th BT"/>
                                <w:sz w:val="23"/>
                                <w:szCs w:val="23"/>
                              </w:rPr>
                            </w:pPr>
                            <w:r>
                              <w:rPr>
                                <w:rFonts w:ascii="Swis721 Th BT" w:hAnsi="Swis721 Th BT"/>
                                <w:sz w:val="23"/>
                                <w:szCs w:val="23"/>
                              </w:rPr>
                              <w:t>Assim, 80 mulheres com idade entre 40-60 anos foram randomizadas em dois grupos iguais para receberem durante oito semanas:</w:t>
                            </w:r>
                          </w:p>
                          <w:p w14:paraId="2F0B4AB2"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780" o:spid="_x0000_s1172" type="#_x0000_t202" style="position:absolute;left:0;text-align:left;margin-left:-.15pt;margin-top:10.85pt;width:451.65pt;height:42.85pt;z-index:2518917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" fillcolor="white [3212]" strokecolor="#0070c0">
                <v:textbox>
                  <w:txbxContent>
                    <w:p w14:paraId="05447A0F" w14:textId="69588307" w:rsidR="00FA41FC" w:rsidRDefault="00FA41FC">
                      <w:pPr>
                        <w:spacing w:line="276" w:lineRule="auto"/>
                        <w:jc w:val="center"/>
                        <w:rPr>
                          <w:rFonts w:ascii="Swis721 Th BT" w:hAnsi="Swis721 Th BT"/>
                          <w:sz w:val="23"/>
                          <w:szCs w:val="23"/>
                        </w:rPr>
                      </w:pPr>
                      <w:r>
                        <w:rPr>
                          <w:rFonts w:ascii="Swis721 Th BT" w:hAnsi="Swis721 Th BT"/>
                          <w:sz w:val="23"/>
                          <w:szCs w:val="23"/>
                        </w:rPr>
                        <w:t>Assim, 80 mulheres com idade entre 40-60 anos foram randomizadas em dois grupos iguais para receberem durante oito semanas:</w:t>
                      </w:r>
                    </w:p>
                    <w:p w14:paraId="2F0B4AB2"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5F3D5FCF" w14:textId="77777777" w:rsidR="00CD65C2" w:rsidRDefault="00CD65C2">
      <w:pPr>
        <w:pStyle w:val="Corpo"/>
        <w:rPr>
          <w:rFonts w:hint="eastAsia"/>
          <w:color w:val="404040" w:themeColor="text1" w:themeTint="BF"/>
          <w:sz w:val="24"/>
        </w:rPr>
      </w:pPr>
    </w:p>
    <w:p w14:paraId="50917D89"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892736" behindDoc="0" locked="0" layoutInCell="1" allowOverlap="1">
                <wp:simplePos x="0" y="0"/>
                <wp:positionH relativeFrom="column">
                  <wp:posOffset>4594860</wp:posOffset>
                </wp:positionH>
                <wp:positionV relativeFrom="paragraph">
                  <wp:posOffset>169545</wp:posOffset>
                </wp:positionV>
                <wp:extent cx="226695" cy="138430"/>
                <wp:effectExtent l="0" t="0" r="1905" b="0"/>
                <wp:wrapNone/>
                <wp:docPr id="739657781" name="Triângulo isósceles 7396577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781" o:spid="_x0000_s1026" o:spt="5" type="#_x0000_t5" style="position:absolute;left:0pt;flip:y;margin-left:361.8pt;margin-top:13.35pt;height:10.9pt;width:17.85pt;z-index:251892736;mso-width-relative:page;mso-height-relative:page;" fillcolor="#D9D9D9 [3212]" filled="t" stroked="f" coordsize="21600,21600" o:gfxdata="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ElaQk7ZAAAACQEAAA8AAAAAAAAAAQAgAAAAIgAAAGRycy9kb3ducmV2LnhtbFBLAQIUABQA&#10;AAAIAIdO4kCYEuLzYQIAALMEAAAOAAAAAAAAAAEAIAAAACgBAABkcnMvZTJvRG9jLnhtbFBLBQYA&#10;AAAABgAGAFkBAAD7BQ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893760" behindDoc="0" locked="0" layoutInCell="1" allowOverlap="1">
                <wp:simplePos x="0" y="0"/>
                <wp:positionH relativeFrom="column">
                  <wp:posOffset>805180</wp:posOffset>
                </wp:positionH>
                <wp:positionV relativeFrom="paragraph">
                  <wp:posOffset>169545</wp:posOffset>
                </wp:positionV>
                <wp:extent cx="226695" cy="138430"/>
                <wp:effectExtent l="0" t="0" r="1905" b="0"/>
                <wp:wrapNone/>
                <wp:docPr id="739657782" name="Triângulo isósceles 739657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782" o:spid="_x0000_s1026" o:spt="5" type="#_x0000_t5" style="position:absolute;left:0pt;flip:y;margin-left:63.4pt;margin-top:13.35pt;height:10.9pt;width:17.85pt;z-index:251893760;mso-width-relative:page;mso-height-relative:page;" fillcolor="#D9D9D9 [3212]" filled="t" stroked="f" coordsize="21600,21600" o:gfxdata="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gI9pL1wAAAAkBAAAPAAAAAAAAAAEAIAAAACIAAABkcnMvZG93bnJldi54bWxQSwECFAAUAAAA&#10;CACHTuJAYODqOGECAACzBAAADgAAAAAAAAABACAAAAAmAQAAZHJzL2Uyb0RvYy54bWxQSwUGAAAA&#10;AAYABgBZAQAA+QUAAAAA&#10;" adj="10800">
                <v:fill on="t" focussize="0,0"/>
                <v:stroke on="f"/>
                <v:imagedata o:title=""/>
                <o:lock v:ext="edit" aspectratio="f"/>
              </v:shape>
            </w:pict>
          </mc:Fallback>
        </mc:AlternateContent>
      </w:r>
    </w:p>
    <w:p w14:paraId="7889DBD7" w14:textId="77777777" w:rsidR="00CD65C2" w:rsidRDefault="00CD65C2">
      <w:pPr>
        <w:pStyle w:val="Corpo"/>
        <w:rPr>
          <w:rFonts w:hint="eastAsia"/>
          <w:color w:val="404040" w:themeColor="text1" w:themeTint="BF"/>
        </w:rPr>
      </w:pPr>
    </w:p>
    <w:p w14:paraId="5BC3B699"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890688" behindDoc="0" locked="0" layoutInCell="1" allowOverlap="1">
                <wp:simplePos x="0" y="0"/>
                <wp:positionH relativeFrom="column">
                  <wp:posOffset>3752850</wp:posOffset>
                </wp:positionH>
                <wp:positionV relativeFrom="paragraph">
                  <wp:posOffset>87630</wp:posOffset>
                </wp:positionV>
                <wp:extent cx="1969770" cy="990600"/>
                <wp:effectExtent l="0" t="0" r="11430" b="19685"/>
                <wp:wrapNone/>
                <wp:docPr id="739657783" name="Caixa de texto 7396577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861" cy="990509"/>
                        </a:xfrm>
                        <a:prstGeom prst="rect">
                          <a:avLst/>
                        </a:prstGeom>
                        <a:solidFill>
                          <a:srgbClr val="0070C0"/>
                        </a:solidFill>
                        <a:ln w="9525">
                          <a:solidFill>
                            <a:srgbClr val="0070C0"/>
                          </a:solidFill>
                          <a:miter lim="800000"/>
                        </a:ln>
                      </wps:spPr>
                      <wps:txbx>
                        <w:txbxContent>
                          <w:p w14:paraId="2F58FB14"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3A4F3A7" w14:textId="77777777" w:rsidR="00FA41FC" w:rsidRDefault="00FA41FC">
                            <w:pPr>
                              <w:spacing w:after="0" w:line="240" w:lineRule="auto"/>
                              <w:jc w:val="center"/>
                              <w:rPr>
                                <w:rFonts w:ascii="Swis721 Th BT" w:hAnsi="Swis721 Th BT"/>
                                <w:bCs/>
                                <w:color w:val="FFFFFF" w:themeColor="background1"/>
                                <w:sz w:val="23"/>
                                <w:szCs w:val="23"/>
                              </w:rPr>
                            </w:pPr>
                          </w:p>
                          <w:p w14:paraId="6A2408C9"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14:paraId="0371ECED" w14:textId="77777777" w:rsidR="00FA41FC" w:rsidRDefault="00FA41FC">
                            <w:pPr>
                              <w:spacing w:after="0" w:line="240" w:lineRule="auto"/>
                              <w:jc w:val="center"/>
                              <w:rPr>
                                <w:rFonts w:ascii="Swis721 Th BT" w:hAnsi="Swis721 Th BT"/>
                                <w:b/>
                                <w:color w:val="FFFFFF" w:themeColor="background1"/>
                                <w:sz w:val="12"/>
                                <w:szCs w:val="12"/>
                              </w:rPr>
                            </w:pPr>
                          </w:p>
                          <w:p w14:paraId="449AF4C6" w14:textId="77777777" w:rsidR="00FA41FC" w:rsidRDefault="00FA41FC">
                            <w:pPr>
                              <w:spacing w:after="0" w:line="240" w:lineRule="auto"/>
                              <w:jc w:val="center"/>
                              <w:rPr>
                                <w:rFonts w:ascii="Swis721 Th BT" w:hAnsi="Swis721 Th BT"/>
                                <w:b/>
                                <w:color w:val="FFFFFF" w:themeColor="background1"/>
                                <w:sz w:val="23"/>
                                <w:szCs w:val="23"/>
                              </w:rPr>
                            </w:pPr>
                          </w:p>
                          <w:p w14:paraId="07AD1E02" w14:textId="77777777" w:rsidR="00FA41FC" w:rsidRDefault="00FA41FC">
                            <w:pPr>
                              <w:spacing w:after="0" w:line="240" w:lineRule="auto"/>
                              <w:jc w:val="center"/>
                              <w:rPr>
                                <w:rFonts w:ascii="Swis721 Th BT" w:hAnsi="Swis721 Th BT"/>
                                <w:b/>
                                <w:color w:val="FFFFFF" w:themeColor="background1"/>
                                <w:sz w:val="12"/>
                                <w:szCs w:val="12"/>
                              </w:rPr>
                            </w:pPr>
                          </w:p>
                          <w:p w14:paraId="1764F08C" w14:textId="77777777" w:rsidR="00FA41FC" w:rsidRDefault="00FA41FC"/>
                        </w:txbxContent>
                      </wps:txbx>
                      <wps:bodyPr rot="0" vert="horz" wrap="square" lIns="91440" tIns="45720" rIns="91440" bIns="45720" anchor="t" anchorCtr="0" upright="1">
                        <a:noAutofit/>
                      </wps:bodyPr>
                    </wps:wsp>
                  </a:graphicData>
                </a:graphic>
              </wp:anchor>
            </w:drawing>
          </mc:Choice>
          <mc:Fallback>
            <w:pict>
              <v:shape id="Caixa de texto 739657783" o:spid="_x0000_s1173" type="#_x0000_t202" style="position:absolute;left:0;text-align:left;margin-left:295.5pt;margin-top:6.9pt;width:155.1pt;height:78pt;z-index:251890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" fillcolor="#0070c0" strokecolor="#0070c0">
                <v:textbox>
                  <w:txbxContent>
                    <w:p w14:paraId="2F58FB14"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3A4F3A7" w14:textId="77777777" w:rsidR="00FA41FC" w:rsidRDefault="00FA41FC">
                      <w:pPr>
                        <w:spacing w:after="0" w:line="240" w:lineRule="auto"/>
                        <w:jc w:val="center"/>
                        <w:rPr>
                          <w:rFonts w:ascii="Swis721 Th BT" w:hAnsi="Swis721 Th BT"/>
                          <w:bCs/>
                          <w:color w:val="FFFFFF" w:themeColor="background1"/>
                          <w:sz w:val="23"/>
                          <w:szCs w:val="23"/>
                        </w:rPr>
                      </w:pPr>
                    </w:p>
                    <w:p w14:paraId="6A2408C9"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14:paraId="0371ECED" w14:textId="77777777" w:rsidR="00FA41FC" w:rsidRDefault="00FA41FC">
                      <w:pPr>
                        <w:spacing w:after="0" w:line="240" w:lineRule="auto"/>
                        <w:jc w:val="center"/>
                        <w:rPr>
                          <w:rFonts w:ascii="Swis721 Th BT" w:hAnsi="Swis721 Th BT"/>
                          <w:b/>
                          <w:color w:val="FFFFFF" w:themeColor="background1"/>
                          <w:sz w:val="12"/>
                          <w:szCs w:val="12"/>
                        </w:rPr>
                      </w:pPr>
                    </w:p>
                    <w:p w14:paraId="449AF4C6" w14:textId="77777777" w:rsidR="00FA41FC" w:rsidRDefault="00FA41FC">
                      <w:pPr>
                        <w:spacing w:after="0" w:line="240" w:lineRule="auto"/>
                        <w:jc w:val="center"/>
                        <w:rPr>
                          <w:rFonts w:ascii="Swis721 Th BT" w:hAnsi="Swis721 Th BT"/>
                          <w:b/>
                          <w:color w:val="FFFFFF" w:themeColor="background1"/>
                          <w:sz w:val="23"/>
                          <w:szCs w:val="23"/>
                        </w:rPr>
                      </w:pPr>
                    </w:p>
                    <w:p w14:paraId="07AD1E02" w14:textId="77777777" w:rsidR="00FA41FC" w:rsidRDefault="00FA41FC">
                      <w:pPr>
                        <w:spacing w:after="0" w:line="240" w:lineRule="auto"/>
                        <w:jc w:val="center"/>
                        <w:rPr>
                          <w:rFonts w:ascii="Swis721 Th BT" w:hAnsi="Swis721 Th BT"/>
                          <w:b/>
                          <w:color w:val="FFFFFF" w:themeColor="background1"/>
                          <w:sz w:val="12"/>
                          <w:szCs w:val="12"/>
                        </w:rPr>
                      </w:pPr>
                    </w:p>
                    <w:p w14:paraId="1764F08C" w14:textId="77777777" w:rsidR="00FA41FC" w:rsidRDefault="00FA41FC"/>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889664" behindDoc="0" locked="0" layoutInCell="1" allowOverlap="1">
                <wp:simplePos x="0" y="0"/>
                <wp:positionH relativeFrom="column">
                  <wp:posOffset>-1905</wp:posOffset>
                </wp:positionH>
                <wp:positionV relativeFrom="paragraph">
                  <wp:posOffset>76835</wp:posOffset>
                </wp:positionV>
                <wp:extent cx="1915795" cy="1001395"/>
                <wp:effectExtent l="0" t="0" r="27305" b="27305"/>
                <wp:wrapNone/>
                <wp:docPr id="739657784" name="Caixa de texto 739657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885" cy="1001486"/>
                        </a:xfrm>
                        <a:prstGeom prst="rect">
                          <a:avLst/>
                        </a:prstGeom>
                        <a:solidFill>
                          <a:srgbClr val="0070C0"/>
                        </a:solidFill>
                        <a:ln w="9525">
                          <a:solidFill>
                            <a:srgbClr val="0070C0"/>
                          </a:solidFill>
                          <a:miter lim="800000"/>
                        </a:ln>
                      </wps:spPr>
                      <wps:txbx>
                        <w:txbxContent>
                          <w:p w14:paraId="12FD969A" w14:textId="77777777" w:rsidR="00FA41FC" w:rsidRDefault="00FA41FC">
                            <w:pPr>
                              <w:pStyle w:val="Corpo"/>
                              <w:jc w:val="center"/>
                              <w:rPr>
                                <w:rFonts w:hint="eastAsia"/>
                                <w:color w:val="FFFFFF" w:themeColor="background1"/>
                              </w:rPr>
                            </w:pPr>
                            <w:r>
                              <w:rPr>
                                <w:b/>
                                <w:color w:val="FFFFFF" w:themeColor="background1"/>
                                <w:szCs w:val="23"/>
                              </w:rPr>
                              <w:t xml:space="preserve">Grupo 1 </w:t>
                            </w:r>
                            <w:r>
                              <w:rPr>
                                <w:b/>
                                <w:color w:val="FFFFFF" w:themeColor="background1"/>
                                <w:szCs w:val="23"/>
                              </w:rPr>
                              <w:br/>
                            </w:r>
                          </w:p>
                          <w:p w14:paraId="25874413" w14:textId="77777777" w:rsidR="00FA41FC" w:rsidRDefault="00FA41FC">
                            <w:pPr>
                              <w:pStyle w:val="Corpo"/>
                              <w:jc w:val="center"/>
                              <w:rPr>
                                <w:rFonts w:hint="eastAsia"/>
                                <w:color w:val="FFFFFF" w:themeColor="background1"/>
                              </w:rPr>
                            </w:pPr>
                            <w:r>
                              <w:rPr>
                                <w:color w:val="FFFFFF" w:themeColor="background1"/>
                              </w:rPr>
                              <w:t>Silimarina 200 mg</w:t>
                            </w:r>
                          </w:p>
                          <w:p w14:paraId="514B543C" w14:textId="77777777" w:rsidR="00FA41FC" w:rsidRDefault="00FA41FC">
                            <w:pPr>
                              <w:pStyle w:val="Corpo"/>
                              <w:jc w:val="center"/>
                              <w:rPr>
                                <w:rFonts w:hint="eastAsia"/>
                                <w:b/>
                                <w:color w:val="FFFFFF" w:themeColor="background1"/>
                                <w:szCs w:val="23"/>
                              </w:rPr>
                            </w:pPr>
                            <w:r>
                              <w:rPr>
                                <w:color w:val="FFFFFF" w:themeColor="background1"/>
                              </w:rPr>
                              <w:t>2 vezes ao dia</w:t>
                            </w:r>
                          </w:p>
                          <w:p w14:paraId="51EB58A3"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739657784" o:spid="_x0000_s1174" type="#_x0000_t202" style="position:absolute;left:0;text-align:left;margin-left:-.15pt;margin-top:6.05pt;width:150.85pt;height:78.85pt;z-index:251889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" fillcolor="#0070c0" strokecolor="#0070c0">
                <v:textbox>
                  <w:txbxContent>
                    <w:p w14:paraId="12FD969A" w14:textId="77777777" w:rsidR="00FA41FC" w:rsidRDefault="00FA41FC">
                      <w:pPr>
                        <w:pStyle w:val="Corpo"/>
                        <w:jc w:val="center"/>
                        <w:rPr>
                          <w:rFonts w:hint="eastAsia"/>
                          <w:color w:val="FFFFFF" w:themeColor="background1"/>
                        </w:rPr>
                      </w:pPr>
                      <w:r>
                        <w:rPr>
                          <w:b/>
                          <w:color w:val="FFFFFF" w:themeColor="background1"/>
                          <w:szCs w:val="23"/>
                        </w:rPr>
                        <w:t xml:space="preserve">Grupo 1 </w:t>
                      </w:r>
                      <w:r>
                        <w:rPr>
                          <w:b/>
                          <w:color w:val="FFFFFF" w:themeColor="background1"/>
                          <w:szCs w:val="23"/>
                        </w:rPr>
                        <w:br/>
                      </w:r>
                    </w:p>
                    <w:p w14:paraId="25874413" w14:textId="77777777" w:rsidR="00FA41FC" w:rsidRDefault="00FA41FC">
                      <w:pPr>
                        <w:pStyle w:val="Corpo"/>
                        <w:jc w:val="center"/>
                        <w:rPr>
                          <w:rFonts w:hint="eastAsia"/>
                          <w:color w:val="FFFFFF" w:themeColor="background1"/>
                        </w:rPr>
                      </w:pPr>
                      <w:r>
                        <w:rPr>
                          <w:color w:val="FFFFFF" w:themeColor="background1"/>
                        </w:rPr>
                        <w:t>Silimarina 200 mg</w:t>
                      </w:r>
                    </w:p>
                    <w:p w14:paraId="514B543C" w14:textId="77777777" w:rsidR="00FA41FC" w:rsidRDefault="00FA41FC">
                      <w:pPr>
                        <w:pStyle w:val="Corpo"/>
                        <w:jc w:val="center"/>
                        <w:rPr>
                          <w:rFonts w:hint="eastAsia"/>
                          <w:b/>
                          <w:color w:val="FFFFFF" w:themeColor="background1"/>
                          <w:szCs w:val="23"/>
                        </w:rPr>
                      </w:pPr>
                      <w:r>
                        <w:rPr>
                          <w:color w:val="FFFFFF" w:themeColor="background1"/>
                        </w:rPr>
                        <w:t>2 vezes ao dia</w:t>
                      </w:r>
                    </w:p>
                    <w:p w14:paraId="51EB58A3"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p>
    <w:p w14:paraId="4CB4530F" w14:textId="77777777" w:rsidR="00CD65C2" w:rsidRDefault="00CD65C2">
      <w:pPr>
        <w:pStyle w:val="Corpo"/>
        <w:rPr>
          <w:rFonts w:hint="eastAsia"/>
          <w:color w:val="404040" w:themeColor="text1" w:themeTint="BF"/>
        </w:rPr>
      </w:pPr>
    </w:p>
    <w:p w14:paraId="3CE34B3A" w14:textId="77777777" w:rsidR="00CD65C2" w:rsidRDefault="00CD65C2">
      <w:pPr>
        <w:pStyle w:val="Corpo"/>
        <w:rPr>
          <w:rFonts w:hint="eastAsia"/>
          <w:color w:val="404040" w:themeColor="text1" w:themeTint="BF"/>
        </w:rPr>
      </w:pPr>
    </w:p>
    <w:p w14:paraId="76C9D5AC" w14:textId="77777777" w:rsidR="00CD65C2" w:rsidRDefault="00CD65C2">
      <w:pPr>
        <w:pStyle w:val="Corpo"/>
        <w:rPr>
          <w:rFonts w:hint="eastAsia"/>
          <w:color w:val="404040" w:themeColor="text1" w:themeTint="BF"/>
        </w:rPr>
      </w:pPr>
    </w:p>
    <w:p w14:paraId="38170D03" w14:textId="77777777" w:rsidR="00CD65C2" w:rsidRDefault="00CD65C2">
      <w:pPr>
        <w:pStyle w:val="Corpo"/>
        <w:rPr>
          <w:rFonts w:hint="eastAsia"/>
          <w:color w:val="404040" w:themeColor="text1" w:themeTint="BF"/>
        </w:rPr>
      </w:pPr>
    </w:p>
    <w:p w14:paraId="675B0AB9" w14:textId="77777777" w:rsidR="00CD65C2" w:rsidRDefault="00CD65C2">
      <w:pPr>
        <w:pStyle w:val="Corpo"/>
        <w:rPr>
          <w:rFonts w:hint="eastAsia"/>
          <w:color w:val="404040" w:themeColor="text1" w:themeTint="BF"/>
        </w:rPr>
      </w:pPr>
    </w:p>
    <w:p w14:paraId="2AB744DC" w14:textId="77777777" w:rsidR="00CD65C2" w:rsidRDefault="00FA41FC" w:rsidP="00D1428E">
      <w:pPr>
        <w:pStyle w:val="Corpo"/>
        <w:numPr>
          <w:ilvl w:val="0"/>
          <w:numId w:val="43"/>
        </w:numPr>
        <w:rPr>
          <w:rFonts w:hint="eastAsia"/>
          <w:color w:val="404040" w:themeColor="text1" w:themeTint="BF"/>
        </w:rPr>
      </w:pPr>
      <w:r>
        <w:rPr>
          <w:color w:val="404040" w:themeColor="text1" w:themeTint="BF"/>
        </w:rPr>
        <w:t xml:space="preserve">A frequência e severidade dos fogachos foram avaliadas em 12 semanas através do </w:t>
      </w:r>
      <w:r>
        <w:rPr>
          <w:i/>
          <w:iCs/>
          <w:color w:val="404040" w:themeColor="text1" w:themeTint="BF"/>
        </w:rPr>
        <w:t>Greene Climacteric Scale</w:t>
      </w:r>
      <w:r>
        <w:rPr>
          <w:color w:val="404040" w:themeColor="text1" w:themeTint="BF"/>
        </w:rPr>
        <w:t xml:space="preserve"> (GCS) e </w:t>
      </w:r>
      <w:r>
        <w:rPr>
          <w:i/>
          <w:iCs/>
          <w:color w:val="404040" w:themeColor="text1" w:themeTint="BF"/>
        </w:rPr>
        <w:t>Hot Flash Related Daily Interference Scale</w:t>
      </w:r>
      <w:r>
        <w:rPr>
          <w:color w:val="404040" w:themeColor="text1" w:themeTint="BF"/>
        </w:rPr>
        <w:t xml:space="preserve"> (HFRDIS).</w:t>
      </w:r>
    </w:p>
    <w:p w14:paraId="53D963BE" w14:textId="77777777" w:rsidR="00CD65C2" w:rsidRDefault="00CD65C2">
      <w:pPr>
        <w:pStyle w:val="Corpo"/>
        <w:rPr>
          <w:rFonts w:hint="eastAsia"/>
          <w:color w:val="404040" w:themeColor="text1" w:themeTint="BF"/>
        </w:rPr>
      </w:pPr>
    </w:p>
    <w:p w14:paraId="55D4563A"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4DFCBF9E" w14:textId="77777777" w:rsidR="00CD65C2" w:rsidRDefault="00CD65C2">
      <w:pPr>
        <w:pStyle w:val="Corpo"/>
        <w:rPr>
          <w:rFonts w:hint="eastAsia"/>
          <w:color w:val="404040" w:themeColor="text1" w:themeTint="BF"/>
          <w:sz w:val="16"/>
          <w:szCs w:val="16"/>
        </w:rPr>
      </w:pPr>
    </w:p>
    <w:p w14:paraId="744FF45A" w14:textId="0D07BDFA" w:rsidR="00CD65C2" w:rsidRDefault="00FA41FC">
      <w:pPr>
        <w:pStyle w:val="PargrafodaLista"/>
        <w:numPr>
          <w:ilvl w:val="0"/>
          <w:numId w:val="37"/>
        </w:numPr>
        <w:rPr>
          <w:rFonts w:ascii="Swis721 Th BT" w:eastAsia="MS Mincho" w:hAnsi="Swis721 Th BT" w:hint="eastAsia"/>
          <w:bCs/>
          <w:color w:val="404040" w:themeColor="text1" w:themeTint="BF"/>
          <w:sz w:val="24"/>
          <w:szCs w:val="24"/>
        </w:rPr>
      </w:pPr>
      <w:r>
        <w:rPr>
          <w:rFonts w:ascii="Swis721 Th BT" w:eastAsia="MS Mincho" w:hAnsi="Swis721 Th BT"/>
          <w:bCs/>
          <w:color w:val="404040" w:themeColor="text1" w:themeTint="BF"/>
          <w:sz w:val="24"/>
          <w:szCs w:val="24"/>
        </w:rPr>
        <w:t>A frequência e severidade dos fogachos diminuíram de 4,32/dia para 1,31/dia e de 5,25 para 1,62, respectivamente, no grupo 1, que foi significativamente melhor que o placebo em todas as etapas do estudo;</w:t>
      </w:r>
    </w:p>
    <w:p w14:paraId="3A5E0660" w14:textId="7D0FD1A5" w:rsidR="00CD65C2" w:rsidRDefault="00FA41FC">
      <w:pPr>
        <w:pStyle w:val="PargrafodaLista"/>
        <w:numPr>
          <w:ilvl w:val="0"/>
          <w:numId w:val="37"/>
        </w:numPr>
        <w:rPr>
          <w:rFonts w:ascii="Swis721 Th BT" w:eastAsia="MS Mincho" w:hAnsi="Swis721 Th BT" w:hint="eastAsia"/>
          <w:bCs/>
          <w:color w:val="404040" w:themeColor="text1" w:themeTint="BF"/>
          <w:sz w:val="24"/>
          <w:szCs w:val="24"/>
        </w:rPr>
      </w:pPr>
      <w:r>
        <w:rPr>
          <w:rFonts w:ascii="Swis721 Th BT" w:eastAsia="MS Mincho" w:hAnsi="Swis721 Th BT"/>
          <w:bCs/>
          <w:color w:val="404040" w:themeColor="text1" w:themeTint="BF"/>
          <w:sz w:val="24"/>
          <w:szCs w:val="24"/>
        </w:rPr>
        <w:t>Uma redução significativa nos escores de GCS e HFRDIS também foi detectada no grupo 1 em comparação ao placebo após 4, 8 e 12 semanas.</w:t>
      </w:r>
    </w:p>
    <w:p w14:paraId="44275715" w14:textId="77777777" w:rsidR="00CD65C2" w:rsidRDefault="00FA41FC">
      <w:pPr>
        <w:pStyle w:val="Corpo"/>
        <w:ind w:left="360"/>
        <w:rPr>
          <w:rFonts w:hint="eastAsia"/>
          <w:b/>
          <w:bCs/>
          <w:color w:val="404040" w:themeColor="text1" w:themeTint="BF"/>
        </w:rPr>
      </w:pPr>
      <w:r>
        <w:rPr>
          <w:b/>
          <w:bCs/>
          <w:color w:val="404040" w:themeColor="text1" w:themeTint="BF"/>
        </w:rPr>
        <w:t>Comparação da Porcentagem de Melhora dos Parâmetros Avaliados em Ambos os Grupos</w:t>
      </w:r>
    </w:p>
    <w:tbl>
      <w:tblPr>
        <w:tblStyle w:val="Tabelacomgrade"/>
        <w:tblW w:w="0" w:type="auto"/>
        <w:tblInd w:w="562" w:type="dxa"/>
        <w:tblLook w:val="04A0" w:firstRow="1" w:lastRow="0" w:firstColumn="1" w:lastColumn="0" w:noHBand="0" w:noVBand="1"/>
      </w:tblPr>
      <w:tblGrid>
        <w:gridCol w:w="2831"/>
        <w:gridCol w:w="2831"/>
        <w:gridCol w:w="2832"/>
      </w:tblGrid>
      <w:tr w:rsidR="00CD65C2" w14:paraId="3235A46D" w14:textId="77777777">
        <w:tc>
          <w:tcPr>
            <w:tcW w:w="2831" w:type="dxa"/>
          </w:tcPr>
          <w:p w14:paraId="3444A209" w14:textId="77777777" w:rsidR="00CD65C2" w:rsidRDefault="00CD65C2">
            <w:pPr>
              <w:pStyle w:val="Corpo"/>
              <w:jc w:val="center"/>
              <w:rPr>
                <w:rFonts w:hint="eastAsia"/>
                <w:bCs/>
                <w:color w:val="404040" w:themeColor="text1" w:themeTint="BF"/>
              </w:rPr>
            </w:pPr>
          </w:p>
        </w:tc>
        <w:tc>
          <w:tcPr>
            <w:tcW w:w="2831" w:type="dxa"/>
          </w:tcPr>
          <w:p w14:paraId="48091234" w14:textId="77777777" w:rsidR="00CD65C2" w:rsidRDefault="00FA41FC">
            <w:pPr>
              <w:pStyle w:val="Corpo"/>
              <w:jc w:val="center"/>
              <w:rPr>
                <w:rFonts w:hint="eastAsia"/>
                <w:b/>
                <w:bCs/>
                <w:color w:val="404040" w:themeColor="text1" w:themeTint="BF"/>
              </w:rPr>
            </w:pPr>
            <w:r>
              <w:rPr>
                <w:b/>
                <w:bCs/>
                <w:color w:val="404040" w:themeColor="text1" w:themeTint="BF"/>
              </w:rPr>
              <w:t>Silimarina (%)</w:t>
            </w:r>
          </w:p>
        </w:tc>
        <w:tc>
          <w:tcPr>
            <w:tcW w:w="2832" w:type="dxa"/>
          </w:tcPr>
          <w:p w14:paraId="1F0C340D" w14:textId="77777777" w:rsidR="00CD65C2" w:rsidRDefault="00FA41FC">
            <w:pPr>
              <w:pStyle w:val="Corpo"/>
              <w:jc w:val="center"/>
              <w:rPr>
                <w:rFonts w:hint="eastAsia"/>
                <w:b/>
                <w:bCs/>
                <w:color w:val="404040" w:themeColor="text1" w:themeTint="BF"/>
              </w:rPr>
            </w:pPr>
            <w:r>
              <w:rPr>
                <w:b/>
                <w:bCs/>
                <w:color w:val="404040" w:themeColor="text1" w:themeTint="BF"/>
              </w:rPr>
              <w:t>Placebo (%)</w:t>
            </w:r>
          </w:p>
        </w:tc>
      </w:tr>
      <w:tr w:rsidR="00CD65C2" w14:paraId="606B1A7B" w14:textId="77777777">
        <w:tc>
          <w:tcPr>
            <w:tcW w:w="2831" w:type="dxa"/>
          </w:tcPr>
          <w:p w14:paraId="4EF1AAEF" w14:textId="77777777" w:rsidR="00CD65C2" w:rsidRDefault="00FA41FC">
            <w:pPr>
              <w:pStyle w:val="Corpo"/>
              <w:jc w:val="center"/>
              <w:rPr>
                <w:rFonts w:hint="eastAsia"/>
                <w:b/>
                <w:bCs/>
                <w:color w:val="404040" w:themeColor="text1" w:themeTint="BF"/>
              </w:rPr>
            </w:pPr>
            <w:r>
              <w:rPr>
                <w:b/>
                <w:bCs/>
                <w:color w:val="404040" w:themeColor="text1" w:themeTint="BF"/>
              </w:rPr>
              <w:t>Frequência dos Fogachos</w:t>
            </w:r>
          </w:p>
        </w:tc>
        <w:tc>
          <w:tcPr>
            <w:tcW w:w="2831" w:type="dxa"/>
          </w:tcPr>
          <w:p w14:paraId="28377BA7" w14:textId="77777777" w:rsidR="00CD65C2" w:rsidRDefault="00FA41FC">
            <w:pPr>
              <w:pStyle w:val="Corpo"/>
              <w:jc w:val="center"/>
              <w:rPr>
                <w:rFonts w:hint="eastAsia"/>
                <w:bCs/>
                <w:color w:val="404040" w:themeColor="text1" w:themeTint="BF"/>
              </w:rPr>
            </w:pPr>
            <w:r>
              <w:rPr>
                <w:bCs/>
                <w:color w:val="404040" w:themeColor="text1" w:themeTint="BF"/>
              </w:rPr>
              <w:t>68,9</w:t>
            </w:r>
          </w:p>
        </w:tc>
        <w:tc>
          <w:tcPr>
            <w:tcW w:w="2832" w:type="dxa"/>
          </w:tcPr>
          <w:p w14:paraId="738F6D90" w14:textId="77777777" w:rsidR="00CD65C2" w:rsidRDefault="00FA41FC">
            <w:pPr>
              <w:pStyle w:val="Corpo"/>
              <w:jc w:val="center"/>
              <w:rPr>
                <w:rFonts w:hint="eastAsia"/>
                <w:bCs/>
                <w:color w:val="404040" w:themeColor="text1" w:themeTint="BF"/>
              </w:rPr>
            </w:pPr>
            <w:r>
              <w:rPr>
                <w:bCs/>
                <w:color w:val="404040" w:themeColor="text1" w:themeTint="BF"/>
              </w:rPr>
              <w:t>7,2</w:t>
            </w:r>
          </w:p>
        </w:tc>
      </w:tr>
      <w:tr w:rsidR="00CD65C2" w14:paraId="395B33F1" w14:textId="77777777">
        <w:tc>
          <w:tcPr>
            <w:tcW w:w="2831" w:type="dxa"/>
          </w:tcPr>
          <w:p w14:paraId="07E3D38D" w14:textId="77777777" w:rsidR="00CD65C2" w:rsidRDefault="00FA41FC">
            <w:pPr>
              <w:pStyle w:val="Corpo"/>
              <w:jc w:val="center"/>
              <w:rPr>
                <w:rFonts w:hint="eastAsia"/>
                <w:b/>
                <w:bCs/>
                <w:color w:val="404040" w:themeColor="text1" w:themeTint="BF"/>
              </w:rPr>
            </w:pPr>
            <w:r>
              <w:rPr>
                <w:b/>
                <w:bCs/>
                <w:color w:val="404040" w:themeColor="text1" w:themeTint="BF"/>
              </w:rPr>
              <w:t>Severidade dos Fogachos</w:t>
            </w:r>
          </w:p>
        </w:tc>
        <w:tc>
          <w:tcPr>
            <w:tcW w:w="2831" w:type="dxa"/>
          </w:tcPr>
          <w:p w14:paraId="4A378D28" w14:textId="77777777" w:rsidR="00CD65C2" w:rsidRDefault="00FA41FC">
            <w:pPr>
              <w:pStyle w:val="Corpo"/>
              <w:jc w:val="center"/>
              <w:rPr>
                <w:rFonts w:hint="eastAsia"/>
                <w:bCs/>
                <w:color w:val="404040" w:themeColor="text1" w:themeTint="BF"/>
              </w:rPr>
            </w:pPr>
            <w:r>
              <w:rPr>
                <w:bCs/>
                <w:color w:val="404040" w:themeColor="text1" w:themeTint="BF"/>
              </w:rPr>
              <w:t>67,6</w:t>
            </w:r>
          </w:p>
        </w:tc>
        <w:tc>
          <w:tcPr>
            <w:tcW w:w="2832" w:type="dxa"/>
          </w:tcPr>
          <w:p w14:paraId="502F1591" w14:textId="77777777" w:rsidR="00CD65C2" w:rsidRDefault="00FA41FC">
            <w:pPr>
              <w:pStyle w:val="Corpo"/>
              <w:jc w:val="center"/>
              <w:rPr>
                <w:rFonts w:hint="eastAsia"/>
                <w:bCs/>
                <w:color w:val="404040" w:themeColor="text1" w:themeTint="BF"/>
              </w:rPr>
            </w:pPr>
            <w:r>
              <w:rPr>
                <w:bCs/>
                <w:color w:val="404040" w:themeColor="text1" w:themeTint="BF"/>
              </w:rPr>
              <w:t>4,7</w:t>
            </w:r>
          </w:p>
        </w:tc>
      </w:tr>
      <w:tr w:rsidR="00CD65C2" w14:paraId="6DA170B6" w14:textId="77777777">
        <w:tc>
          <w:tcPr>
            <w:tcW w:w="2831" w:type="dxa"/>
          </w:tcPr>
          <w:p w14:paraId="7AE47D56" w14:textId="77777777" w:rsidR="00CD65C2" w:rsidRDefault="00FA41FC">
            <w:pPr>
              <w:pStyle w:val="Corpo"/>
              <w:jc w:val="center"/>
              <w:rPr>
                <w:rFonts w:hint="eastAsia"/>
                <w:b/>
                <w:bCs/>
                <w:color w:val="404040" w:themeColor="text1" w:themeTint="BF"/>
              </w:rPr>
            </w:pPr>
            <w:r>
              <w:rPr>
                <w:b/>
                <w:bCs/>
                <w:color w:val="404040" w:themeColor="text1" w:themeTint="BF"/>
              </w:rPr>
              <w:t>Média dos Escores GCS</w:t>
            </w:r>
          </w:p>
        </w:tc>
        <w:tc>
          <w:tcPr>
            <w:tcW w:w="2831" w:type="dxa"/>
          </w:tcPr>
          <w:p w14:paraId="2AA955D0" w14:textId="77777777" w:rsidR="00CD65C2" w:rsidRDefault="00FA41FC">
            <w:pPr>
              <w:pStyle w:val="Corpo"/>
              <w:jc w:val="center"/>
              <w:rPr>
                <w:rFonts w:hint="eastAsia"/>
                <w:color w:val="404040" w:themeColor="text1" w:themeTint="BF"/>
              </w:rPr>
            </w:pPr>
            <w:r>
              <w:rPr>
                <w:color w:val="404040" w:themeColor="text1" w:themeTint="BF"/>
              </w:rPr>
              <w:t>55,5</w:t>
            </w:r>
          </w:p>
        </w:tc>
        <w:tc>
          <w:tcPr>
            <w:tcW w:w="2832" w:type="dxa"/>
          </w:tcPr>
          <w:p w14:paraId="3D4DD2EC" w14:textId="77777777" w:rsidR="00CD65C2" w:rsidRDefault="00FA41FC">
            <w:pPr>
              <w:pStyle w:val="Corpo"/>
              <w:jc w:val="center"/>
              <w:rPr>
                <w:rFonts w:hint="eastAsia"/>
                <w:color w:val="404040" w:themeColor="text1" w:themeTint="BF"/>
              </w:rPr>
            </w:pPr>
            <w:r>
              <w:rPr>
                <w:color w:val="404040" w:themeColor="text1" w:themeTint="BF"/>
              </w:rPr>
              <w:t>7,1</w:t>
            </w:r>
          </w:p>
        </w:tc>
      </w:tr>
      <w:tr w:rsidR="00CD65C2" w14:paraId="7B1A5C93" w14:textId="77777777">
        <w:tc>
          <w:tcPr>
            <w:tcW w:w="2831" w:type="dxa"/>
          </w:tcPr>
          <w:p w14:paraId="656DF32C" w14:textId="77777777" w:rsidR="00CD65C2" w:rsidRDefault="00FA41FC">
            <w:pPr>
              <w:pStyle w:val="Corpo"/>
              <w:jc w:val="center"/>
              <w:rPr>
                <w:rFonts w:hint="eastAsia"/>
                <w:b/>
                <w:bCs/>
                <w:color w:val="404040" w:themeColor="text1" w:themeTint="BF"/>
              </w:rPr>
            </w:pPr>
            <w:r>
              <w:rPr>
                <w:b/>
                <w:bCs/>
                <w:color w:val="404040" w:themeColor="text1" w:themeTint="BF"/>
              </w:rPr>
              <w:t>Média dos Escores HFRDIS</w:t>
            </w:r>
          </w:p>
        </w:tc>
        <w:tc>
          <w:tcPr>
            <w:tcW w:w="2831" w:type="dxa"/>
          </w:tcPr>
          <w:p w14:paraId="4616BEF8" w14:textId="77777777" w:rsidR="00CD65C2" w:rsidRDefault="00FA41FC">
            <w:pPr>
              <w:pStyle w:val="Corpo"/>
              <w:jc w:val="center"/>
              <w:rPr>
                <w:rFonts w:hint="eastAsia"/>
                <w:color w:val="404040" w:themeColor="text1" w:themeTint="BF"/>
              </w:rPr>
            </w:pPr>
            <w:r>
              <w:rPr>
                <w:color w:val="404040" w:themeColor="text1" w:themeTint="BF"/>
              </w:rPr>
              <w:t>38,9</w:t>
            </w:r>
          </w:p>
        </w:tc>
        <w:tc>
          <w:tcPr>
            <w:tcW w:w="2832" w:type="dxa"/>
          </w:tcPr>
          <w:p w14:paraId="71A8FDB7" w14:textId="77777777" w:rsidR="00CD65C2" w:rsidRDefault="00FA41FC">
            <w:pPr>
              <w:pStyle w:val="Corpo"/>
              <w:jc w:val="center"/>
              <w:rPr>
                <w:rFonts w:hint="eastAsia"/>
                <w:color w:val="404040" w:themeColor="text1" w:themeTint="BF"/>
              </w:rPr>
            </w:pPr>
            <w:r>
              <w:rPr>
                <w:color w:val="404040" w:themeColor="text1" w:themeTint="BF"/>
              </w:rPr>
              <w:t>4,6</w:t>
            </w:r>
          </w:p>
        </w:tc>
      </w:tr>
    </w:tbl>
    <w:p w14:paraId="3D5E606C"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68A5F429"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4194BC6F"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020DCB9D" w14:textId="77777777" w:rsidR="00CD65C2" w:rsidRDefault="00FA41FC">
      <w:pPr>
        <w:pStyle w:val="Corpo"/>
        <w:jc w:val="center"/>
        <w:rPr>
          <w:rFonts w:hint="eastAsia"/>
          <w:b/>
          <w:i/>
          <w:color w:val="404040" w:themeColor="text1" w:themeTint="BF"/>
        </w:rPr>
      </w:pPr>
      <w:r>
        <w:rPr>
          <w:b/>
          <w:i/>
          <w:color w:val="404040" w:themeColor="text1" w:themeTint="BF"/>
        </w:rPr>
        <w:t>Os resultados do estudo demonstraram que a silimarina pode reduzir a frequência e severidade dos fogachos significativamente.</w:t>
      </w:r>
    </w:p>
    <w:p w14:paraId="6648FEFB" w14:textId="77777777" w:rsidR="00CD65C2" w:rsidRDefault="00CD65C2">
      <w:pPr>
        <w:pStyle w:val="Corpo"/>
        <w:spacing w:line="276" w:lineRule="auto"/>
        <w:jc w:val="center"/>
        <w:rPr>
          <w:rFonts w:hint="eastAsia"/>
          <w:b/>
          <w:i/>
          <w:color w:val="404040" w:themeColor="text1" w:themeTint="BF"/>
        </w:rPr>
      </w:pPr>
    </w:p>
    <w:p w14:paraId="196ABED3" w14:textId="77777777" w:rsidR="00CD65C2" w:rsidRDefault="00FA41FC">
      <w:pPr>
        <w:pStyle w:val="Ttulo1"/>
        <w:jc w:val="center"/>
        <w:rPr>
          <w:rFonts w:hint="eastAsia"/>
        </w:rPr>
      </w:pPr>
      <w:bookmarkStart w:id="112" w:name="_Toc165537261"/>
      <w:r>
        <w:t>Formulário</w:t>
      </w:r>
      <w:bookmarkEnd w:id="112"/>
    </w:p>
    <w:p w14:paraId="2F2774C1" w14:textId="77777777" w:rsidR="00CD65C2" w:rsidRDefault="00CD65C2">
      <w:pPr>
        <w:pStyle w:val="Corpo"/>
        <w:rPr>
          <w:rFonts w:hint="eastAsia"/>
          <w:b/>
          <w:i/>
          <w:color w:val="404040" w:themeColor="text1" w:themeTint="BF"/>
        </w:rPr>
      </w:pPr>
    </w:p>
    <w:p w14:paraId="17B6CA43" w14:textId="77777777" w:rsidR="00CD65C2" w:rsidRDefault="00CD65C2">
      <w:pPr>
        <w:pStyle w:val="Corpo"/>
        <w:rPr>
          <w:rFonts w:hint="eastAsia"/>
          <w:b/>
          <w:i/>
          <w:color w:val="404040" w:themeColor="text1" w:themeTint="BF"/>
        </w:rPr>
      </w:pPr>
    </w:p>
    <w:p w14:paraId="5A7A1E04" w14:textId="77777777" w:rsidR="00CD65C2" w:rsidRDefault="00FA41FC">
      <w:pPr>
        <w:pStyle w:val="Corpo"/>
        <w:rPr>
          <w:rFonts w:hint="eastAsia"/>
          <w:b/>
          <w:i/>
          <w:color w:val="404040" w:themeColor="text1" w:themeTint="BF"/>
          <w:sz w:val="24"/>
        </w:rPr>
      </w:pPr>
      <w:r>
        <w:rPr>
          <w:b/>
          <w:i/>
          <w:color w:val="404040" w:themeColor="text1" w:themeTint="BF"/>
          <w:sz w:val="24"/>
        </w:rPr>
        <w:t>Silimarina Diminui os Sinais e Sintomas Relacionados ao Fogachos</w:t>
      </w:r>
    </w:p>
    <w:p w14:paraId="19DE69B4" w14:textId="77777777" w:rsidR="00CD65C2" w:rsidRDefault="00CD65C2">
      <w:pPr>
        <w:pStyle w:val="Corpo"/>
        <w:rPr>
          <w:rFonts w:hint="eastAsia"/>
          <w:b/>
          <w:i/>
          <w:color w:val="404040" w:themeColor="text1" w:themeTint="BF"/>
          <w:sz w:val="24"/>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39869DD1"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0489E799" w14:textId="77777777" w:rsidR="00CD65C2" w:rsidRDefault="00FA41FC">
            <w:pPr>
              <w:pStyle w:val="Corpo"/>
              <w:jc w:val="center"/>
              <w:rPr>
                <w:rFonts w:hint="eastAsia"/>
                <w:b/>
                <w:color w:val="FFFFFF" w:themeColor="background1"/>
                <w:szCs w:val="23"/>
              </w:rPr>
            </w:pPr>
            <w:r>
              <w:rPr>
                <w:b/>
                <w:color w:val="FFFFFF" w:themeColor="background1"/>
                <w:szCs w:val="23"/>
              </w:rPr>
              <w:t>Cápsulas de Silimarina</w:t>
            </w:r>
          </w:p>
        </w:tc>
      </w:tr>
      <w:tr w:rsidR="00CD65C2" w14:paraId="37409FBD"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C612E78" w14:textId="77777777" w:rsidR="00CD65C2" w:rsidRDefault="00FA41FC">
            <w:pPr>
              <w:pStyle w:val="Corpo"/>
              <w:rPr>
                <w:rFonts w:hint="eastAsia"/>
                <w:color w:val="404040" w:themeColor="text1" w:themeTint="BF"/>
              </w:rPr>
            </w:pPr>
            <w:r>
              <w:rPr>
                <w:iCs/>
                <w:color w:val="404040" w:themeColor="text1" w:themeTint="BF"/>
              </w:rPr>
              <w:t>Silimarina.......................................</w:t>
            </w:r>
            <w:r>
              <w:rPr>
                <w:color w:val="404040" w:themeColor="text1" w:themeTint="BF"/>
              </w:rPr>
              <w:t>200 mg</w:t>
            </w:r>
          </w:p>
        </w:tc>
      </w:tr>
      <w:tr w:rsidR="00CD65C2" w14:paraId="4DD3D223"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53CF019" w14:textId="62EA9F20" w:rsidR="00CD65C2" w:rsidRDefault="00FA41FC">
            <w:pPr>
              <w:pStyle w:val="Corpo"/>
              <w:rPr>
                <w:rFonts w:hint="eastAsia"/>
                <w:iCs/>
                <w:color w:val="404040" w:themeColor="text1" w:themeTint="BF"/>
              </w:rPr>
            </w:pPr>
            <w:r>
              <w:rPr>
                <w:iCs/>
                <w:color w:val="404040" w:themeColor="text1" w:themeTint="BF"/>
              </w:rPr>
              <w:t>Excipiente q.s.p. ........................1 Cápsula</w:t>
            </w:r>
          </w:p>
        </w:tc>
      </w:tr>
    </w:tbl>
    <w:p w14:paraId="52316780" w14:textId="5DE775F3" w:rsidR="00CD65C2" w:rsidRDefault="00FA41FC">
      <w:pPr>
        <w:pStyle w:val="Corpo"/>
        <w:ind w:right="4762"/>
        <w:jc w:val="center"/>
        <w:rPr>
          <w:rFonts w:hint="eastAsia"/>
          <w:color w:val="404040" w:themeColor="text1" w:themeTint="BF"/>
          <w:sz w:val="22"/>
          <w:szCs w:val="22"/>
        </w:rPr>
      </w:pPr>
      <w:r>
        <w:rPr>
          <w:color w:val="404040" w:themeColor="text1" w:themeTint="BF"/>
          <w:sz w:val="22"/>
          <w:szCs w:val="22"/>
        </w:rPr>
        <w:t>Administrar 1 cápsula duas vezes ao dia ou conforme orientação médica.</w:t>
      </w:r>
    </w:p>
    <w:p w14:paraId="4C5C6AB9" w14:textId="77777777" w:rsidR="00CD65C2" w:rsidRDefault="00CD65C2">
      <w:pPr>
        <w:pStyle w:val="SemEspaamento"/>
      </w:pPr>
    </w:p>
    <w:p w14:paraId="10771127" w14:textId="77777777" w:rsidR="00CD65C2" w:rsidRDefault="00CD65C2">
      <w:pPr>
        <w:pStyle w:val="SemEspaamento"/>
      </w:pPr>
    </w:p>
    <w:p w14:paraId="42D9C5C2" w14:textId="77777777" w:rsidR="00CD65C2" w:rsidRDefault="00CD65C2">
      <w:pPr>
        <w:pStyle w:val="SemEspaamento"/>
      </w:pPr>
    </w:p>
    <w:p w14:paraId="37846CFB" w14:textId="77777777" w:rsidR="00CD65C2" w:rsidRDefault="00CD65C2">
      <w:pPr>
        <w:pStyle w:val="SemEspaamento"/>
      </w:pPr>
    </w:p>
    <w:p w14:paraId="6E55BA4A" w14:textId="77777777" w:rsidR="00CD65C2" w:rsidRDefault="00CD65C2">
      <w:pPr>
        <w:pStyle w:val="SemEspaamento"/>
      </w:pPr>
    </w:p>
    <w:p w14:paraId="69D8924E" w14:textId="77777777" w:rsidR="00CD65C2" w:rsidRDefault="00CD65C2">
      <w:pPr>
        <w:pStyle w:val="SemEspaamento"/>
      </w:pPr>
    </w:p>
    <w:p w14:paraId="3471AA0E" w14:textId="77777777" w:rsidR="00CD65C2" w:rsidRDefault="00CD65C2">
      <w:pPr>
        <w:pStyle w:val="SemEspaamento"/>
      </w:pPr>
    </w:p>
    <w:p w14:paraId="0795AE43" w14:textId="77777777" w:rsidR="00CD65C2" w:rsidRDefault="00CD65C2">
      <w:pPr>
        <w:pStyle w:val="SemEspaamento"/>
      </w:pPr>
    </w:p>
    <w:p w14:paraId="144AE548" w14:textId="77777777" w:rsidR="00CD65C2" w:rsidRDefault="00CD65C2">
      <w:pPr>
        <w:pStyle w:val="SemEspaamento"/>
      </w:pPr>
    </w:p>
    <w:p w14:paraId="184AC3B1" w14:textId="77777777" w:rsidR="00CD65C2" w:rsidRDefault="00CD65C2">
      <w:pPr>
        <w:pStyle w:val="SemEspaamento"/>
      </w:pPr>
    </w:p>
    <w:p w14:paraId="07420A30" w14:textId="77777777" w:rsidR="00CD65C2" w:rsidRDefault="00CD65C2">
      <w:pPr>
        <w:pStyle w:val="SemEspaamento"/>
      </w:pPr>
    </w:p>
    <w:p w14:paraId="0B8D7F59" w14:textId="77777777" w:rsidR="00CD65C2" w:rsidRDefault="00CD65C2">
      <w:pPr>
        <w:pStyle w:val="SemEspaamento"/>
      </w:pPr>
    </w:p>
    <w:p w14:paraId="4E5B3DBE" w14:textId="77777777" w:rsidR="00CD65C2" w:rsidRDefault="00CD65C2">
      <w:pPr>
        <w:pStyle w:val="SemEspaamento"/>
      </w:pPr>
    </w:p>
    <w:p w14:paraId="1D5C75A5" w14:textId="77777777" w:rsidR="00CD65C2" w:rsidRDefault="00CD65C2">
      <w:pPr>
        <w:pStyle w:val="SemEspaamento"/>
      </w:pPr>
    </w:p>
    <w:p w14:paraId="7F1A09B0" w14:textId="77777777" w:rsidR="00CD65C2" w:rsidRDefault="00CD65C2">
      <w:pPr>
        <w:pStyle w:val="SemEspaamento"/>
      </w:pPr>
    </w:p>
    <w:p w14:paraId="24F2A178" w14:textId="77777777" w:rsidR="00CD65C2" w:rsidRDefault="00CD65C2">
      <w:pPr>
        <w:pStyle w:val="SemEspaamento"/>
      </w:pPr>
    </w:p>
    <w:p w14:paraId="0B294E3E" w14:textId="77777777" w:rsidR="00CD65C2" w:rsidRDefault="00CD65C2">
      <w:pPr>
        <w:pStyle w:val="SemEspaamento"/>
      </w:pPr>
    </w:p>
    <w:p w14:paraId="4AAB453D" w14:textId="77777777" w:rsidR="00CD65C2" w:rsidRDefault="00CD65C2">
      <w:pPr>
        <w:pStyle w:val="SemEspaamento"/>
      </w:pPr>
    </w:p>
    <w:p w14:paraId="278C0F27" w14:textId="77777777" w:rsidR="00CD65C2" w:rsidRDefault="00CD65C2">
      <w:pPr>
        <w:pStyle w:val="SemEspaamento"/>
      </w:pPr>
    </w:p>
    <w:p w14:paraId="432E046A" w14:textId="77777777" w:rsidR="00CD65C2" w:rsidRDefault="00CD65C2">
      <w:pPr>
        <w:pStyle w:val="SemEspaamento"/>
      </w:pPr>
    </w:p>
    <w:p w14:paraId="576C27A7" w14:textId="77777777" w:rsidR="00CD65C2" w:rsidRDefault="00CD65C2">
      <w:pPr>
        <w:pStyle w:val="SemEspaamento"/>
      </w:pPr>
    </w:p>
    <w:p w14:paraId="6B3A2701" w14:textId="77777777" w:rsidR="00CD65C2" w:rsidRDefault="00CD65C2">
      <w:pPr>
        <w:pStyle w:val="SemEspaamento"/>
      </w:pPr>
    </w:p>
    <w:p w14:paraId="30F73C70" w14:textId="77777777" w:rsidR="00CD65C2" w:rsidRDefault="00CD65C2">
      <w:pPr>
        <w:pStyle w:val="SemEspaamento"/>
      </w:pPr>
    </w:p>
    <w:p w14:paraId="17D65DE5" w14:textId="77777777" w:rsidR="00CD65C2" w:rsidRDefault="00CD65C2">
      <w:pPr>
        <w:pStyle w:val="SemEspaamento"/>
      </w:pPr>
    </w:p>
    <w:p w14:paraId="15DCDF6E" w14:textId="77777777" w:rsidR="00CD65C2" w:rsidRDefault="00CD65C2">
      <w:pPr>
        <w:pStyle w:val="SemEspaamento"/>
      </w:pPr>
    </w:p>
    <w:p w14:paraId="55742C24" w14:textId="77777777" w:rsidR="00CD65C2" w:rsidRDefault="00CD65C2">
      <w:pPr>
        <w:pStyle w:val="SemEspaamento"/>
      </w:pPr>
    </w:p>
    <w:p w14:paraId="64CE4F39" w14:textId="77777777" w:rsidR="00CD65C2" w:rsidRDefault="00CD65C2">
      <w:pPr>
        <w:pStyle w:val="SemEspaamento"/>
      </w:pPr>
    </w:p>
    <w:p w14:paraId="59C217FF" w14:textId="77777777" w:rsidR="00CD65C2" w:rsidRDefault="00CD65C2">
      <w:pPr>
        <w:pStyle w:val="SemEspaamento"/>
      </w:pPr>
    </w:p>
    <w:p w14:paraId="061F66C2" w14:textId="77777777" w:rsidR="00CD65C2" w:rsidRDefault="00CD65C2">
      <w:pPr>
        <w:pStyle w:val="SemEspaamento"/>
      </w:pPr>
    </w:p>
    <w:p w14:paraId="7DB5E123" w14:textId="77777777" w:rsidR="00CD65C2" w:rsidRDefault="00CD65C2">
      <w:pPr>
        <w:pStyle w:val="SemEspaamento"/>
      </w:pPr>
    </w:p>
    <w:p w14:paraId="458AF28D" w14:textId="77777777" w:rsidR="00CD65C2" w:rsidRDefault="00FA41FC">
      <w:pPr>
        <w:pStyle w:val="Ttulo1"/>
        <w:jc w:val="center"/>
        <w:rPr>
          <w:rFonts w:hint="eastAsia"/>
        </w:rPr>
      </w:pPr>
      <w:bookmarkStart w:id="113" w:name="_Toc165537262"/>
      <w:r>
        <w:rPr>
          <w:bCs/>
          <w:iCs/>
        </w:rPr>
        <w:t>Ormona</w:t>
      </w:r>
      <w:bookmarkEnd w:id="113"/>
    </w:p>
    <w:p w14:paraId="7E87E85B" w14:textId="77777777" w:rsidR="00CD65C2" w:rsidRDefault="00FA41FC">
      <w:pPr>
        <w:pStyle w:val="Subtitulocorpo"/>
        <w:rPr>
          <w:rFonts w:hint="eastAsia"/>
        </w:rPr>
      </w:pPr>
      <w:r>
        <w:t>Melhora o Perfil Metabólico, Ósseo e os Sintomas do Climatério</w:t>
      </w:r>
    </w:p>
    <w:p w14:paraId="3EE9E2CB" w14:textId="77777777" w:rsidR="00CD65C2" w:rsidRDefault="00CD65C2">
      <w:pPr>
        <w:pStyle w:val="Corpo"/>
        <w:spacing w:line="276" w:lineRule="auto"/>
        <w:rPr>
          <w:rFonts w:cstheme="minorHAnsi" w:hint="eastAsia"/>
          <w:color w:val="404040" w:themeColor="text1" w:themeTint="BF"/>
          <w:sz w:val="24"/>
        </w:rPr>
      </w:pPr>
    </w:p>
    <w:p w14:paraId="2DAE69C7" w14:textId="77777777" w:rsidR="00CD65C2" w:rsidRDefault="00FA41FC">
      <w:pPr>
        <w:spacing w:after="20" w:line="276" w:lineRule="auto"/>
        <w:jc w:val="both"/>
        <w:rPr>
          <w:rFonts w:ascii="Swis721 Th BT" w:eastAsia="Arial" w:hAnsi="Swis721 Th BT" w:cs="Times New Roman"/>
          <w:color w:val="404040"/>
        </w:rPr>
      </w:pPr>
      <w:r>
        <w:rPr>
          <w:rFonts w:ascii="Swis721 Th BT" w:eastAsia="Arial" w:hAnsi="Swis721 Th BT" w:cs="Times New Roman"/>
          <w:color w:val="404040"/>
        </w:rPr>
        <w:t>Neste estudo duplo-cego e randomizado, publicado no peri</w:t>
      </w:r>
      <w:r>
        <w:rPr>
          <w:rFonts w:ascii="Swis721 Th BT" w:eastAsia="Arial" w:hAnsi="Swis721 Th BT" w:cs="Times New Roman" w:hint="eastAsia"/>
          <w:color w:val="404040"/>
        </w:rPr>
        <w:t>ó</w:t>
      </w:r>
      <w:r>
        <w:rPr>
          <w:rFonts w:ascii="Swis721 Th BT" w:eastAsia="Arial" w:hAnsi="Swis721 Th BT" w:cs="Times New Roman"/>
          <w:color w:val="404040"/>
        </w:rPr>
        <w:t xml:space="preserve">dico </w:t>
      </w:r>
      <w:r>
        <w:rPr>
          <w:rFonts w:ascii="Swis721 Th BT" w:eastAsia="Arial" w:hAnsi="Swis721 Th BT" w:cs="Times New Roman"/>
          <w:i/>
          <w:iCs/>
          <w:color w:val="404040"/>
        </w:rPr>
        <w:t>Nutrition Research and Practice,</w:t>
      </w:r>
      <w:r>
        <w:rPr>
          <w:rFonts w:ascii="Swis721 Th BT" w:eastAsia="Arial" w:hAnsi="Swis721 Th BT" w:cs="Times New Roman"/>
          <w:color w:val="404040"/>
        </w:rPr>
        <w:t xml:space="preserve"> foi avaliada a efic</w:t>
      </w:r>
      <w:r>
        <w:rPr>
          <w:rFonts w:ascii="Swis721 Th BT" w:eastAsia="Arial" w:hAnsi="Swis721 Th BT" w:cs="Times New Roman" w:hint="eastAsia"/>
          <w:color w:val="404040"/>
        </w:rPr>
        <w:t>á</w:t>
      </w:r>
      <w:r>
        <w:rPr>
          <w:rFonts w:ascii="Swis721 Th BT" w:eastAsia="Arial" w:hAnsi="Swis721 Th BT" w:cs="Times New Roman"/>
          <w:color w:val="404040"/>
        </w:rPr>
        <w:t xml:space="preserve">cia das isoflavonas de soja nos biomarcadores </w:t>
      </w:r>
      <w:r>
        <w:rPr>
          <w:rFonts w:ascii="Swis721 Th BT" w:eastAsia="Arial" w:hAnsi="Swis721 Th BT" w:cs="Times New Roman" w:hint="eastAsia"/>
          <w:color w:val="404040"/>
        </w:rPr>
        <w:t>ó</w:t>
      </w:r>
      <w:r>
        <w:rPr>
          <w:rFonts w:ascii="Swis721 Th BT" w:eastAsia="Arial" w:hAnsi="Swis721 Th BT" w:cs="Times New Roman"/>
          <w:color w:val="404040"/>
        </w:rPr>
        <w:t>sseos em mulheres p</w:t>
      </w:r>
      <w:r>
        <w:rPr>
          <w:rFonts w:ascii="Swis721 Th BT" w:eastAsia="Arial" w:hAnsi="Swis721 Th BT" w:cs="Times New Roman" w:hint="eastAsia"/>
          <w:color w:val="404040"/>
        </w:rPr>
        <w:t>ó</w:t>
      </w:r>
      <w:r>
        <w:rPr>
          <w:rFonts w:ascii="Swis721 Th BT" w:eastAsia="Arial" w:hAnsi="Swis721 Th BT" w:cs="Times New Roman"/>
          <w:color w:val="404040"/>
        </w:rPr>
        <w:t xml:space="preserve">s-menopausadas. Os resultados foram avaliados por meio de biomarcadores do metabolismo </w:t>
      </w:r>
      <w:r>
        <w:rPr>
          <w:rFonts w:ascii="Swis721 Th BT" w:eastAsia="Arial" w:hAnsi="Swis721 Th BT" w:cs="Times New Roman" w:hint="eastAsia"/>
          <w:color w:val="404040"/>
        </w:rPr>
        <w:t>ó</w:t>
      </w:r>
      <w:r>
        <w:rPr>
          <w:rFonts w:ascii="Swis721 Th BT" w:eastAsia="Arial" w:hAnsi="Swis721 Th BT" w:cs="Times New Roman"/>
          <w:color w:val="404040"/>
        </w:rPr>
        <w:t xml:space="preserve">sseo, como fosfatase alcalina </w:t>
      </w:r>
      <w:r>
        <w:rPr>
          <w:rFonts w:ascii="Swis721 Th BT" w:eastAsia="Arial" w:hAnsi="Swis721 Th BT" w:cs="Times New Roman" w:hint="eastAsia"/>
          <w:color w:val="404040"/>
        </w:rPr>
        <w:t>ó</w:t>
      </w:r>
      <w:r>
        <w:rPr>
          <w:rFonts w:ascii="Swis721 Th BT" w:eastAsia="Arial" w:hAnsi="Swis721 Th BT" w:cs="Times New Roman"/>
          <w:color w:val="404040"/>
        </w:rPr>
        <w:t>ssea (BALP), osteocalcina (OC), N-telopept</w:t>
      </w:r>
      <w:r>
        <w:rPr>
          <w:rFonts w:ascii="Swis721 Th BT" w:eastAsia="Arial" w:hAnsi="Swis721 Th BT" w:cs="Times New Roman" w:hint="eastAsia"/>
          <w:color w:val="404040"/>
        </w:rPr>
        <w:t>í</w:t>
      </w:r>
      <w:r>
        <w:rPr>
          <w:rFonts w:ascii="Swis721 Th BT" w:eastAsia="Arial" w:hAnsi="Swis721 Th BT" w:cs="Times New Roman"/>
          <w:color w:val="404040"/>
        </w:rPr>
        <w:t>deo (NTX) e C-telopept</w:t>
      </w:r>
      <w:r>
        <w:rPr>
          <w:rFonts w:ascii="Swis721 Th BT" w:eastAsia="Arial" w:hAnsi="Swis721 Th BT" w:cs="Times New Roman" w:hint="eastAsia"/>
          <w:color w:val="404040"/>
        </w:rPr>
        <w:t>í</w:t>
      </w:r>
      <w:r>
        <w:rPr>
          <w:rFonts w:ascii="Swis721 Th BT" w:eastAsia="Arial" w:hAnsi="Swis721 Th BT" w:cs="Times New Roman"/>
          <w:color w:val="404040"/>
        </w:rPr>
        <w:t>deo (CTX) de liga</w:t>
      </w:r>
      <w:r>
        <w:rPr>
          <w:rFonts w:ascii="Swis721 Th BT" w:eastAsia="Arial" w:hAnsi="Swis721 Th BT" w:cs="Times New Roman" w:hint="eastAsia"/>
          <w:color w:val="404040"/>
        </w:rPr>
        <w:t>çã</w:t>
      </w:r>
      <w:r>
        <w:rPr>
          <w:rFonts w:ascii="Swis721 Th BT" w:eastAsia="Arial" w:hAnsi="Swis721 Th BT" w:cs="Times New Roman"/>
          <w:color w:val="404040"/>
        </w:rPr>
        <w:t>o cruzada do col</w:t>
      </w:r>
      <w:r>
        <w:rPr>
          <w:rFonts w:ascii="Swis721 Th BT" w:eastAsia="Arial" w:hAnsi="Swis721 Th BT" w:cs="Times New Roman" w:hint="eastAsia"/>
          <w:color w:val="404040"/>
        </w:rPr>
        <w:t>á</w:t>
      </w:r>
      <w:r>
        <w:rPr>
          <w:rFonts w:ascii="Swis721 Th BT" w:eastAsia="Arial" w:hAnsi="Swis721 Th BT" w:cs="Times New Roman"/>
          <w:color w:val="404040"/>
        </w:rPr>
        <w:t>geno tipo I e deoxipiridinolina urin</w:t>
      </w:r>
      <w:r>
        <w:rPr>
          <w:rFonts w:ascii="Swis721 Th BT" w:eastAsia="Arial" w:hAnsi="Swis721 Th BT" w:cs="Times New Roman" w:hint="eastAsia"/>
          <w:color w:val="404040"/>
        </w:rPr>
        <w:t>á</w:t>
      </w:r>
      <w:r>
        <w:rPr>
          <w:rFonts w:ascii="Swis721 Th BT" w:eastAsia="Arial" w:hAnsi="Swis721 Th BT" w:cs="Times New Roman"/>
          <w:color w:val="404040"/>
        </w:rPr>
        <w:t>ria (u-DPD). Ap</w:t>
      </w:r>
      <w:r>
        <w:rPr>
          <w:rFonts w:ascii="Swis721 Th BT" w:eastAsia="Arial" w:hAnsi="Swis721 Th BT" w:cs="Times New Roman" w:hint="eastAsia"/>
          <w:color w:val="404040"/>
        </w:rPr>
        <w:t>ó</w:t>
      </w:r>
      <w:r>
        <w:rPr>
          <w:rFonts w:ascii="Swis721 Th BT" w:eastAsia="Arial" w:hAnsi="Swis721 Th BT" w:cs="Times New Roman"/>
          <w:color w:val="404040"/>
        </w:rPr>
        <w:t>s a suplementa</w:t>
      </w:r>
      <w:r>
        <w:rPr>
          <w:rFonts w:ascii="Swis721 Th BT" w:eastAsia="Arial" w:hAnsi="Swis721 Th BT" w:cs="Times New Roman" w:hint="eastAsia"/>
          <w:color w:val="404040"/>
        </w:rPr>
        <w:t>çã</w:t>
      </w:r>
      <w:r>
        <w:rPr>
          <w:rFonts w:ascii="Swis721 Th BT" w:eastAsia="Arial" w:hAnsi="Swis721 Th BT" w:cs="Times New Roman"/>
          <w:color w:val="404040"/>
        </w:rPr>
        <w:t>o de isoflavonas, os n</w:t>
      </w:r>
      <w:r>
        <w:rPr>
          <w:rFonts w:ascii="Swis721 Th BT" w:eastAsia="Arial" w:hAnsi="Swis721 Th BT" w:cs="Times New Roman" w:hint="eastAsia"/>
          <w:color w:val="404040"/>
        </w:rPr>
        <w:t>í</w:t>
      </w:r>
      <w:r>
        <w:rPr>
          <w:rFonts w:ascii="Swis721 Th BT" w:eastAsia="Arial" w:hAnsi="Swis721 Th BT" w:cs="Times New Roman"/>
          <w:color w:val="404040"/>
        </w:rPr>
        <w:t>veis s</w:t>
      </w:r>
      <w:r>
        <w:rPr>
          <w:rFonts w:ascii="Swis721 Th BT" w:eastAsia="Arial" w:hAnsi="Swis721 Th BT" w:cs="Times New Roman" w:hint="eastAsia"/>
          <w:color w:val="404040"/>
        </w:rPr>
        <w:t>é</w:t>
      </w:r>
      <w:r>
        <w:rPr>
          <w:rFonts w:ascii="Swis721 Th BT" w:eastAsia="Arial" w:hAnsi="Swis721 Th BT" w:cs="Times New Roman"/>
          <w:color w:val="404040"/>
        </w:rPr>
        <w:t>ricos de BALP e de OC aumentaram, por</w:t>
      </w:r>
      <w:r>
        <w:rPr>
          <w:rFonts w:ascii="Swis721 Th BT" w:eastAsia="Arial" w:hAnsi="Swis721 Th BT" w:cs="Times New Roman" w:hint="eastAsia"/>
          <w:color w:val="404040"/>
        </w:rPr>
        <w:t>é</w:t>
      </w:r>
      <w:r>
        <w:rPr>
          <w:rFonts w:ascii="Swis721 Th BT" w:eastAsia="Arial" w:hAnsi="Swis721 Th BT" w:cs="Times New Roman"/>
          <w:color w:val="404040"/>
        </w:rPr>
        <w:t>m no grupo placebo n</w:t>
      </w:r>
      <w:r>
        <w:rPr>
          <w:rFonts w:ascii="Swis721 Th BT" w:eastAsia="Arial" w:hAnsi="Swis721 Th BT" w:cs="Times New Roman" w:hint="eastAsia"/>
          <w:color w:val="404040"/>
        </w:rPr>
        <w:t>ã</w:t>
      </w:r>
      <w:r>
        <w:rPr>
          <w:rFonts w:ascii="Swis721 Th BT" w:eastAsia="Arial" w:hAnsi="Swis721 Th BT" w:cs="Times New Roman"/>
          <w:color w:val="404040"/>
        </w:rPr>
        <w:t>o houve altera</w:t>
      </w:r>
      <w:r>
        <w:rPr>
          <w:rFonts w:ascii="Swis721 Th BT" w:eastAsia="Arial" w:hAnsi="Swis721 Th BT" w:cs="Times New Roman" w:hint="eastAsia"/>
          <w:color w:val="404040"/>
        </w:rPr>
        <w:t>çõ</w:t>
      </w:r>
      <w:r>
        <w:rPr>
          <w:rFonts w:ascii="Swis721 Th BT" w:eastAsia="Arial" w:hAnsi="Swis721 Th BT" w:cs="Times New Roman"/>
          <w:color w:val="404040"/>
        </w:rPr>
        <w:t>es. De acordo com os resultados do estudo, foi poss</w:t>
      </w:r>
      <w:r>
        <w:rPr>
          <w:rFonts w:ascii="Swis721 Th BT" w:eastAsia="Arial" w:hAnsi="Swis721 Th BT" w:cs="Times New Roman" w:hint="eastAsia"/>
          <w:color w:val="404040"/>
        </w:rPr>
        <w:t>í</w:t>
      </w:r>
      <w:r>
        <w:rPr>
          <w:rFonts w:ascii="Swis721 Th BT" w:eastAsia="Arial" w:hAnsi="Swis721 Th BT" w:cs="Times New Roman"/>
          <w:color w:val="404040"/>
        </w:rPr>
        <w:t>vel concluir que a suplementa</w:t>
      </w:r>
      <w:r>
        <w:rPr>
          <w:rFonts w:ascii="Swis721 Th BT" w:eastAsia="Arial" w:hAnsi="Swis721 Th BT" w:cs="Times New Roman" w:hint="eastAsia"/>
          <w:color w:val="404040"/>
        </w:rPr>
        <w:t>çã</w:t>
      </w:r>
      <w:r>
        <w:rPr>
          <w:rFonts w:ascii="Swis721 Th BT" w:eastAsia="Arial" w:hAnsi="Swis721 Th BT" w:cs="Times New Roman"/>
          <w:color w:val="404040"/>
        </w:rPr>
        <w:t>o com isoflavonas de soja possui efeitos ben</w:t>
      </w:r>
      <w:r>
        <w:rPr>
          <w:rFonts w:ascii="Swis721 Th BT" w:eastAsia="Arial" w:hAnsi="Swis721 Th BT" w:cs="Times New Roman" w:hint="eastAsia"/>
          <w:color w:val="404040"/>
        </w:rPr>
        <w:t>é</w:t>
      </w:r>
      <w:r>
        <w:rPr>
          <w:rFonts w:ascii="Swis721 Th BT" w:eastAsia="Arial" w:hAnsi="Swis721 Th BT" w:cs="Times New Roman"/>
          <w:color w:val="404040"/>
        </w:rPr>
        <w:t>ficos nos marcadores de forma</w:t>
      </w:r>
      <w:r>
        <w:rPr>
          <w:rFonts w:ascii="Swis721 Th BT" w:eastAsia="Arial" w:hAnsi="Swis721 Th BT" w:cs="Times New Roman" w:hint="eastAsia"/>
          <w:color w:val="404040"/>
        </w:rPr>
        <w:t>çã</w:t>
      </w:r>
      <w:r>
        <w:rPr>
          <w:rFonts w:ascii="Swis721 Th BT" w:eastAsia="Arial" w:hAnsi="Swis721 Th BT" w:cs="Times New Roman"/>
          <w:color w:val="404040"/>
        </w:rPr>
        <w:t xml:space="preserve">o </w:t>
      </w:r>
      <w:r>
        <w:rPr>
          <w:rFonts w:ascii="Swis721 Th BT" w:eastAsia="Arial" w:hAnsi="Swis721 Th BT" w:cs="Times New Roman" w:hint="eastAsia"/>
          <w:color w:val="404040"/>
        </w:rPr>
        <w:t>ó</w:t>
      </w:r>
      <w:r>
        <w:rPr>
          <w:rFonts w:ascii="Swis721 Th BT" w:eastAsia="Arial" w:hAnsi="Swis721 Th BT" w:cs="Times New Roman"/>
          <w:color w:val="404040"/>
        </w:rPr>
        <w:t>ssea.</w:t>
      </w:r>
    </w:p>
    <w:p w14:paraId="171CBD94" w14:textId="77777777" w:rsidR="00CD65C2" w:rsidRDefault="00CD65C2">
      <w:pPr>
        <w:spacing w:after="20" w:line="276" w:lineRule="auto"/>
        <w:jc w:val="both"/>
        <w:rPr>
          <w:rFonts w:ascii="Swis721 Th BT" w:eastAsia="Arial" w:hAnsi="Swis721 Th BT" w:cs="Times New Roman"/>
          <w:color w:val="404040"/>
          <w:sz w:val="16"/>
          <w:szCs w:val="16"/>
        </w:rPr>
      </w:pPr>
    </w:p>
    <w:p w14:paraId="44A198C7" w14:textId="35F0E1A1" w:rsidR="00CD65C2" w:rsidRDefault="00FA41FC">
      <w:pPr>
        <w:spacing w:after="20" w:line="276" w:lineRule="auto"/>
        <w:jc w:val="both"/>
        <w:rPr>
          <w:rFonts w:ascii="Swis721 Th BT" w:eastAsia="Arial" w:hAnsi="Swis721 Th BT" w:cs="Times New Roman"/>
          <w:color w:val="404040"/>
        </w:rPr>
      </w:pPr>
      <w:r>
        <w:rPr>
          <w:rFonts w:ascii="Swis721 Th BT" w:eastAsia="Arial" w:hAnsi="Swis721 Th BT" w:cs="Times New Roman"/>
          <w:color w:val="404040"/>
        </w:rPr>
        <w:t xml:space="preserve">Um estudo de revisão, publicado no periódico </w:t>
      </w:r>
      <w:r>
        <w:rPr>
          <w:rFonts w:ascii="Swis721 Th BT" w:eastAsia="Arial" w:hAnsi="Swis721 Th BT" w:cs="Times New Roman"/>
          <w:i/>
          <w:iCs/>
          <w:color w:val="404040"/>
        </w:rPr>
        <w:t>Phytomedicine,</w:t>
      </w:r>
      <w:r>
        <w:rPr>
          <w:rFonts w:ascii="Swis721 Th BT" w:eastAsia="Arial" w:hAnsi="Swis721 Th BT" w:cs="Times New Roman"/>
          <w:color w:val="404040"/>
        </w:rPr>
        <w:t xml:space="preserve"> teve como objetivo avaliar os benefícios do extrato de </w:t>
      </w:r>
      <w:r>
        <w:rPr>
          <w:rFonts w:ascii="Swis721 Th BT" w:eastAsia="Arial" w:hAnsi="Swis721 Th BT" w:cs="Times New Roman"/>
          <w:i/>
          <w:color w:val="404040"/>
        </w:rPr>
        <w:t>Trifolium pratense</w:t>
      </w:r>
      <w:r>
        <w:rPr>
          <w:rFonts w:ascii="Swis721 Th BT" w:eastAsia="Arial" w:hAnsi="Swis721 Th BT" w:cs="Times New Roman"/>
          <w:color w:val="404040"/>
        </w:rPr>
        <w:t xml:space="preserve"> (red clover) no gerenciamento dos fogachos. A meta-análise dos resultados desses estudos demonstrou uma relevância clínica e estatisticamente significativa na redução da severidade e frequência dos fogachos na comparação entre o grupo tratado com </w:t>
      </w:r>
      <w:r>
        <w:rPr>
          <w:rFonts w:ascii="Swis721 Th BT" w:eastAsia="Arial" w:hAnsi="Swis721 Th BT" w:cs="Times New Roman"/>
          <w:i/>
          <w:iCs/>
          <w:color w:val="404040"/>
        </w:rPr>
        <w:t xml:space="preserve">T. pratense </w:t>
      </w:r>
      <w:r>
        <w:rPr>
          <w:rFonts w:ascii="Swis721 Th BT" w:eastAsia="Arial" w:hAnsi="Swis721 Th BT" w:cs="Times New Roman"/>
          <w:color w:val="404040"/>
        </w:rPr>
        <w:t>e placebo.</w:t>
      </w:r>
    </w:p>
    <w:p w14:paraId="066EE51C" w14:textId="77777777" w:rsidR="00CD65C2" w:rsidRDefault="00CD65C2">
      <w:pPr>
        <w:spacing w:after="20" w:line="276" w:lineRule="auto"/>
        <w:jc w:val="both"/>
        <w:rPr>
          <w:rFonts w:ascii="Swis721 Th BT" w:eastAsia="Arial" w:hAnsi="Swis721 Th BT" w:cs="Times New Roman"/>
          <w:color w:val="404040"/>
          <w:sz w:val="16"/>
          <w:szCs w:val="16"/>
        </w:rPr>
      </w:pPr>
    </w:p>
    <w:p w14:paraId="67581C57" w14:textId="77777777" w:rsidR="00CD65C2" w:rsidRDefault="00FA41FC">
      <w:pPr>
        <w:spacing w:after="20" w:line="276" w:lineRule="auto"/>
        <w:jc w:val="both"/>
        <w:rPr>
          <w:rFonts w:ascii="Swis721 Th BT" w:eastAsia="Arial" w:hAnsi="Swis721 Th BT" w:cs="Times New Roman"/>
          <w:color w:val="404040"/>
        </w:rPr>
      </w:pPr>
      <w:r>
        <w:rPr>
          <w:rFonts w:ascii="Swis721 Th BT" w:eastAsia="Arial" w:hAnsi="Swis721 Th BT" w:cs="Times New Roman"/>
          <w:color w:val="404040"/>
        </w:rPr>
        <w:t>Um outro estudo, publicado no peri</w:t>
      </w:r>
      <w:r>
        <w:rPr>
          <w:rFonts w:ascii="Swis721 Th BT" w:eastAsia="Arial" w:hAnsi="Swis721 Th BT" w:cs="Times New Roman" w:hint="eastAsia"/>
          <w:color w:val="404040"/>
        </w:rPr>
        <w:t>ó</w:t>
      </w:r>
      <w:r>
        <w:rPr>
          <w:rFonts w:ascii="Swis721 Th BT" w:eastAsia="Arial" w:hAnsi="Swis721 Th BT" w:cs="Times New Roman"/>
          <w:color w:val="404040"/>
        </w:rPr>
        <w:t xml:space="preserve">dico </w:t>
      </w:r>
      <w:r>
        <w:rPr>
          <w:rFonts w:ascii="Swis721 Th BT" w:eastAsia="Arial" w:hAnsi="Swis721 Th BT" w:cs="Times New Roman"/>
          <w:i/>
          <w:iCs/>
          <w:color w:val="404040"/>
        </w:rPr>
        <w:t>Osteoporosis International,</w:t>
      </w:r>
      <w:r>
        <w:rPr>
          <w:rFonts w:ascii="Swis721 Th BT" w:eastAsia="Arial" w:hAnsi="Swis721 Th BT" w:cs="Times New Roman"/>
          <w:color w:val="404040"/>
        </w:rPr>
        <w:t xml:space="preserve"> teve como objetivo avaliar o efeito da suplementa</w:t>
      </w:r>
      <w:r>
        <w:rPr>
          <w:rFonts w:ascii="Swis721 Th BT" w:eastAsia="Arial" w:hAnsi="Swis721 Th BT" w:cs="Times New Roman" w:hint="eastAsia"/>
          <w:color w:val="404040"/>
        </w:rPr>
        <w:t>çã</w:t>
      </w:r>
      <w:r>
        <w:rPr>
          <w:rFonts w:ascii="Swis721 Th BT" w:eastAsia="Arial" w:hAnsi="Swis721 Th BT" w:cs="Times New Roman"/>
          <w:color w:val="404040"/>
        </w:rPr>
        <w:t>o de tocotrien</w:t>
      </w:r>
      <w:r>
        <w:rPr>
          <w:rFonts w:ascii="Swis721 Th BT" w:eastAsia="Arial" w:hAnsi="Swis721 Th BT" w:cs="Times New Roman" w:hint="eastAsia"/>
          <w:color w:val="404040"/>
        </w:rPr>
        <w:t>ó</w:t>
      </w:r>
      <w:r>
        <w:rPr>
          <w:rFonts w:ascii="Swis721 Th BT" w:eastAsia="Arial" w:hAnsi="Swis721 Th BT" w:cs="Times New Roman"/>
          <w:color w:val="404040"/>
        </w:rPr>
        <w:t xml:space="preserve">is por 12 semanas nos marcadores </w:t>
      </w:r>
      <w:r>
        <w:rPr>
          <w:rFonts w:ascii="Swis721 Th BT" w:eastAsia="Arial" w:hAnsi="Swis721 Th BT" w:cs="Times New Roman" w:hint="eastAsia"/>
          <w:color w:val="404040"/>
        </w:rPr>
        <w:t>ó</w:t>
      </w:r>
      <w:r>
        <w:rPr>
          <w:rFonts w:ascii="Swis721 Th BT" w:eastAsia="Arial" w:hAnsi="Swis721 Th BT" w:cs="Times New Roman"/>
          <w:color w:val="404040"/>
        </w:rPr>
        <w:t>sseos (BALP), NTX, ativador s</w:t>
      </w:r>
      <w:r>
        <w:rPr>
          <w:rFonts w:ascii="Swis721 Th BT" w:eastAsia="Arial" w:hAnsi="Swis721 Th BT" w:cs="Times New Roman" w:hint="eastAsia"/>
          <w:color w:val="404040"/>
        </w:rPr>
        <w:t>é</w:t>
      </w:r>
      <w:r>
        <w:rPr>
          <w:rFonts w:ascii="Swis721 Th BT" w:eastAsia="Arial" w:hAnsi="Swis721 Th BT" w:cs="Times New Roman"/>
          <w:color w:val="404040"/>
        </w:rPr>
        <w:t>rico do receptor sol</w:t>
      </w:r>
      <w:r>
        <w:rPr>
          <w:rFonts w:ascii="Swis721 Th BT" w:eastAsia="Arial" w:hAnsi="Swis721 Th BT" w:cs="Times New Roman" w:hint="eastAsia"/>
          <w:color w:val="404040"/>
        </w:rPr>
        <w:t>ú</w:t>
      </w:r>
      <w:r>
        <w:rPr>
          <w:rFonts w:ascii="Swis721 Th BT" w:eastAsia="Arial" w:hAnsi="Swis721 Th BT" w:cs="Times New Roman"/>
          <w:color w:val="404040"/>
        </w:rPr>
        <w:t>vel do fator nuclear kappa B, osteoprotegerina s</w:t>
      </w:r>
      <w:r>
        <w:rPr>
          <w:rFonts w:ascii="Swis721 Th BT" w:eastAsia="Arial" w:hAnsi="Swis721 Th BT" w:cs="Times New Roman" w:hint="eastAsia"/>
          <w:color w:val="404040"/>
        </w:rPr>
        <w:t>é</w:t>
      </w:r>
      <w:r>
        <w:rPr>
          <w:rFonts w:ascii="Swis721 Th BT" w:eastAsia="Arial" w:hAnsi="Swis721 Th BT" w:cs="Times New Roman"/>
          <w:color w:val="404040"/>
        </w:rPr>
        <w:t>rica (OPG) e um biomarcador de estresse oxidativo (8-hidroxi-2'-desoxiguanosina [8-OHdG]) em mulheres na p</w:t>
      </w:r>
      <w:r>
        <w:rPr>
          <w:rFonts w:ascii="Swis721 Th BT" w:eastAsia="Arial" w:hAnsi="Swis721 Th BT" w:cs="Times New Roman" w:hint="eastAsia"/>
          <w:color w:val="404040"/>
        </w:rPr>
        <w:t>ó</w:t>
      </w:r>
      <w:r>
        <w:rPr>
          <w:rFonts w:ascii="Swis721 Th BT" w:eastAsia="Arial" w:hAnsi="Swis721 Th BT" w:cs="Times New Roman"/>
          <w:color w:val="404040"/>
        </w:rPr>
        <w:t>s-menopausa com osteopenia. A suplementa</w:t>
      </w:r>
      <w:r>
        <w:rPr>
          <w:rFonts w:ascii="Swis721 Th BT" w:eastAsia="Arial" w:hAnsi="Swis721 Th BT" w:cs="Times New Roman" w:hint="eastAsia"/>
          <w:color w:val="404040"/>
        </w:rPr>
        <w:t>çã</w:t>
      </w:r>
      <w:r>
        <w:rPr>
          <w:rFonts w:ascii="Swis721 Th BT" w:eastAsia="Arial" w:hAnsi="Swis721 Th BT" w:cs="Times New Roman"/>
          <w:color w:val="404040"/>
        </w:rPr>
        <w:t>o de tocotrien</w:t>
      </w:r>
      <w:r>
        <w:rPr>
          <w:rFonts w:ascii="Swis721 Th BT" w:eastAsia="Arial" w:hAnsi="Swis721 Th BT" w:cs="Times New Roman" w:hint="eastAsia"/>
          <w:color w:val="404040"/>
        </w:rPr>
        <w:t>ó</w:t>
      </w:r>
      <w:r>
        <w:rPr>
          <w:rFonts w:ascii="Swis721 Th BT" w:eastAsia="Arial" w:hAnsi="Swis721 Th BT" w:cs="Times New Roman"/>
          <w:color w:val="404040"/>
        </w:rPr>
        <w:t>is extra</w:t>
      </w:r>
      <w:r>
        <w:rPr>
          <w:rFonts w:ascii="Swis721 Th BT" w:eastAsia="Arial" w:hAnsi="Swis721 Th BT" w:cs="Times New Roman" w:hint="eastAsia"/>
          <w:color w:val="404040"/>
        </w:rPr>
        <w:t>í</w:t>
      </w:r>
      <w:r>
        <w:rPr>
          <w:rFonts w:ascii="Swis721 Th BT" w:eastAsia="Arial" w:hAnsi="Swis721 Th BT" w:cs="Times New Roman"/>
          <w:color w:val="404040"/>
        </w:rPr>
        <w:t>do de urucum por doze semanas diminuiu a reabsor</w:t>
      </w:r>
      <w:r>
        <w:rPr>
          <w:rFonts w:ascii="Swis721 Th BT" w:eastAsia="Arial" w:hAnsi="Swis721 Th BT" w:cs="Times New Roman" w:hint="eastAsia"/>
          <w:color w:val="404040"/>
        </w:rPr>
        <w:t>çã</w:t>
      </w:r>
      <w:r>
        <w:rPr>
          <w:rFonts w:ascii="Swis721 Th BT" w:eastAsia="Arial" w:hAnsi="Swis721 Th BT" w:cs="Times New Roman"/>
          <w:color w:val="404040"/>
        </w:rPr>
        <w:t xml:space="preserve">o </w:t>
      </w:r>
      <w:r>
        <w:rPr>
          <w:rFonts w:ascii="Swis721 Th BT" w:eastAsia="Arial" w:hAnsi="Swis721 Th BT" w:cs="Times New Roman" w:hint="eastAsia"/>
          <w:color w:val="404040"/>
        </w:rPr>
        <w:t>ó</w:t>
      </w:r>
      <w:r>
        <w:rPr>
          <w:rFonts w:ascii="Swis721 Th BT" w:eastAsia="Arial" w:hAnsi="Swis721 Th BT" w:cs="Times New Roman"/>
          <w:color w:val="404040"/>
        </w:rPr>
        <w:t>ssea e melhorou a taxa de renova</w:t>
      </w:r>
      <w:r>
        <w:rPr>
          <w:rFonts w:ascii="Swis721 Th BT" w:eastAsia="Arial" w:hAnsi="Swis721 Th BT" w:cs="Times New Roman" w:hint="eastAsia"/>
          <w:color w:val="404040"/>
        </w:rPr>
        <w:t>çã</w:t>
      </w:r>
      <w:r>
        <w:rPr>
          <w:rFonts w:ascii="Swis721 Th BT" w:eastAsia="Arial" w:hAnsi="Swis721 Th BT" w:cs="Times New Roman"/>
          <w:color w:val="404040"/>
        </w:rPr>
        <w:t>o dos ossos por meio da supress</w:t>
      </w:r>
      <w:r>
        <w:rPr>
          <w:rFonts w:ascii="Swis721 Th BT" w:eastAsia="Arial" w:hAnsi="Swis721 Th BT" w:cs="Times New Roman" w:hint="eastAsia"/>
          <w:color w:val="404040"/>
        </w:rPr>
        <w:t>ã</w:t>
      </w:r>
      <w:r>
        <w:rPr>
          <w:rFonts w:ascii="Swis721 Th BT" w:eastAsia="Arial" w:hAnsi="Swis721 Th BT" w:cs="Times New Roman"/>
          <w:color w:val="404040"/>
        </w:rPr>
        <w:t>o dos reguladores da reabsor</w:t>
      </w:r>
      <w:r>
        <w:rPr>
          <w:rFonts w:ascii="Swis721 Th BT" w:eastAsia="Arial" w:hAnsi="Swis721 Th BT" w:cs="Times New Roman" w:hint="eastAsia"/>
          <w:color w:val="404040"/>
        </w:rPr>
        <w:t>çã</w:t>
      </w:r>
      <w:r>
        <w:rPr>
          <w:rFonts w:ascii="Swis721 Th BT" w:eastAsia="Arial" w:hAnsi="Swis721 Th BT" w:cs="Times New Roman"/>
          <w:color w:val="404040"/>
        </w:rPr>
        <w:t xml:space="preserve">o </w:t>
      </w:r>
      <w:r>
        <w:rPr>
          <w:rFonts w:ascii="Swis721 Th BT" w:eastAsia="Arial" w:hAnsi="Swis721 Th BT" w:cs="Times New Roman" w:hint="eastAsia"/>
          <w:color w:val="404040"/>
        </w:rPr>
        <w:t>ó</w:t>
      </w:r>
      <w:r>
        <w:rPr>
          <w:rFonts w:ascii="Swis721 Th BT" w:eastAsia="Arial" w:hAnsi="Swis721 Th BT" w:cs="Times New Roman"/>
          <w:color w:val="404040"/>
        </w:rPr>
        <w:t>ssea nessas pacientes. Os efeitos osteoprotetores dessa subst</w:t>
      </w:r>
      <w:r>
        <w:rPr>
          <w:rFonts w:ascii="Swis721 Th BT" w:eastAsia="Arial" w:hAnsi="Swis721 Th BT" w:cs="Times New Roman" w:hint="eastAsia"/>
          <w:color w:val="404040"/>
        </w:rPr>
        <w:t>â</w:t>
      </w:r>
      <w:r>
        <w:rPr>
          <w:rFonts w:ascii="Swis721 Th BT" w:eastAsia="Arial" w:hAnsi="Swis721 Th BT" w:cs="Times New Roman"/>
          <w:color w:val="404040"/>
        </w:rPr>
        <w:t>ncia podem ser, em parte, mediados por uma inibi</w:t>
      </w:r>
      <w:r>
        <w:rPr>
          <w:rFonts w:ascii="Swis721 Th BT" w:eastAsia="Arial" w:hAnsi="Swis721 Th BT" w:cs="Times New Roman" w:hint="eastAsia"/>
          <w:color w:val="404040"/>
        </w:rPr>
        <w:t>çã</w:t>
      </w:r>
      <w:r>
        <w:rPr>
          <w:rFonts w:ascii="Swis721 Th BT" w:eastAsia="Arial" w:hAnsi="Swis721 Th BT" w:cs="Times New Roman"/>
          <w:color w:val="404040"/>
        </w:rPr>
        <w:t>o do estresse oxidativo.</w:t>
      </w:r>
    </w:p>
    <w:p w14:paraId="3A442626" w14:textId="77777777" w:rsidR="00CD65C2" w:rsidRDefault="00CD65C2">
      <w:pPr>
        <w:spacing w:after="20" w:line="276" w:lineRule="auto"/>
        <w:jc w:val="both"/>
        <w:rPr>
          <w:rFonts w:ascii="Swis721 Th BT" w:eastAsia="Arial" w:hAnsi="Swis721 Th BT" w:cs="Times New Roman"/>
          <w:color w:val="404040"/>
          <w:sz w:val="16"/>
          <w:szCs w:val="16"/>
        </w:rPr>
      </w:pPr>
    </w:p>
    <w:p w14:paraId="637852E6" w14:textId="77777777" w:rsidR="00CD65C2" w:rsidRDefault="00FA41FC">
      <w:pPr>
        <w:spacing w:after="0" w:line="276" w:lineRule="auto"/>
        <w:jc w:val="both"/>
        <w:rPr>
          <w:rFonts w:ascii="Swis721 Th BT" w:eastAsia="MS Mincho" w:hAnsi="Swis721 Th BT" w:hint="eastAsia"/>
          <w:color w:val="404040" w:themeColor="text1" w:themeTint="BF"/>
        </w:rPr>
      </w:pPr>
      <w:r>
        <w:rPr>
          <w:rFonts w:ascii="Swis721 Th BT" w:eastAsia="MS Mincho" w:hAnsi="Swis721 Th BT"/>
          <w:color w:val="404040" w:themeColor="text1" w:themeTint="BF"/>
        </w:rPr>
        <w:t xml:space="preserve">Alguns compostos significativos presentes no urucum são o geranilgeraniol e os tocotrienóis. Esses compostos apresentam efeitos benéficos contra hiperlipidemias e doenças crônicas, nas quais o estresse oxidativo e a inflamação estão presentes, mas o mecanismo exato de ação de tais atividades ainda é alvo de pesquisas. Assim, um estudo publicado no periódico internacional </w:t>
      </w:r>
      <w:r>
        <w:rPr>
          <w:rFonts w:ascii="Swis721 Th BT" w:eastAsia="MS Mincho" w:hAnsi="Swis721 Th BT"/>
          <w:i/>
          <w:iCs/>
          <w:color w:val="404040" w:themeColor="text1" w:themeTint="BF"/>
        </w:rPr>
        <w:t xml:space="preserve">Molecules </w:t>
      </w:r>
      <w:r>
        <w:rPr>
          <w:rFonts w:ascii="Swis721 Th BT" w:eastAsia="MS Mincho" w:hAnsi="Swis721 Th BT"/>
          <w:color w:val="404040" w:themeColor="text1" w:themeTint="BF"/>
        </w:rPr>
        <w:t>teve como objetivo investigar os possíveis mecanismos de ação que poderiam estar subjacentes às atividades dessas moléculas (que fazem parte da composição do Ormona</w:t>
      </w:r>
      <w:r>
        <w:rPr>
          <w:rFonts w:ascii="Calibri" w:eastAsia="MS Mincho" w:hAnsi="Calibri" w:cs="Calibri"/>
          <w:color w:val="404040" w:themeColor="text1" w:themeTint="BF"/>
        </w:rPr>
        <w:t>®</w:t>
      </w:r>
      <w:r>
        <w:rPr>
          <w:rStyle w:val="CorpoChar"/>
          <w:color w:val="404040" w:themeColor="text1" w:themeTint="BF"/>
        </w:rPr>
        <w:t>)</w:t>
      </w:r>
      <w:r>
        <w:rPr>
          <w:rFonts w:ascii="Swis721 Th BT" w:eastAsia="MS Mincho" w:hAnsi="Swis721 Th BT"/>
          <w:color w:val="404040" w:themeColor="text1" w:themeTint="BF"/>
        </w:rPr>
        <w:t xml:space="preserve">. Os resultados corroboram as atividades antidislipidemias e anti-inflamatórias do geranilgeraniol e dos tocotrienóis. Ademais, essas moléculas auxiliam no gerenciamento de doenças crônica, nas quais o perfil antioxidante se faz necessário. </w:t>
      </w:r>
    </w:p>
    <w:p w14:paraId="1A112C41" w14:textId="77777777" w:rsidR="00CD65C2" w:rsidRDefault="00CD65C2">
      <w:pPr>
        <w:spacing w:after="20" w:line="276" w:lineRule="auto"/>
        <w:jc w:val="both"/>
        <w:rPr>
          <w:rFonts w:ascii="Swis721 Th BT" w:eastAsia="Arial" w:hAnsi="Swis721 Th BT" w:cs="Times New Roman"/>
          <w:color w:val="404040"/>
          <w:sz w:val="16"/>
          <w:szCs w:val="16"/>
        </w:rPr>
      </w:pPr>
    </w:p>
    <w:p w14:paraId="1FDB8644" w14:textId="00BFE746" w:rsidR="00CD65C2" w:rsidRDefault="00FA41FC">
      <w:pPr>
        <w:spacing w:after="0" w:line="276" w:lineRule="auto"/>
        <w:jc w:val="both"/>
        <w:rPr>
          <w:rFonts w:ascii="Swis721 Th BT" w:eastAsia="MS Mincho" w:hAnsi="Swis721 Th BT" w:cs="Times New Roman" w:hint="eastAsia"/>
          <w:color w:val="404040"/>
        </w:rPr>
      </w:pPr>
      <w:r>
        <w:rPr>
          <w:rFonts w:ascii="Swis721 Th BT" w:eastAsia="MS Mincho" w:hAnsi="Swis721 Th BT" w:cs="Times New Roman"/>
          <w:color w:val="404040"/>
        </w:rPr>
        <w:t>Este ensaio cl</w:t>
      </w:r>
      <w:r>
        <w:rPr>
          <w:rFonts w:ascii="Swis721 Th BT" w:eastAsia="MS Mincho" w:hAnsi="Swis721 Th BT" w:cs="Times New Roman" w:hint="cs"/>
          <w:color w:val="404040"/>
        </w:rPr>
        <w:t>í</w:t>
      </w:r>
      <w:r>
        <w:rPr>
          <w:rFonts w:ascii="Swis721 Th BT" w:eastAsia="MS Mincho" w:hAnsi="Swis721 Th BT" w:cs="Times New Roman"/>
          <w:color w:val="404040"/>
        </w:rPr>
        <w:t xml:space="preserve">nico e </w:t>
      </w:r>
      <w:r>
        <w:rPr>
          <w:rFonts w:ascii="Swis721 Th BT" w:eastAsia="MS Mincho" w:hAnsi="Swis721 Th BT" w:cs="Times New Roman" w:hint="eastAsia"/>
          <w:color w:val="404040"/>
        </w:rPr>
        <w:t>randomizado</w:t>
      </w:r>
      <w:r>
        <w:rPr>
          <w:rFonts w:ascii="Swis721 Th BT" w:eastAsia="MS Mincho" w:hAnsi="Swis721 Th BT" w:cs="Times New Roman"/>
          <w:color w:val="404040"/>
        </w:rPr>
        <w:t>, publicado no peri</w:t>
      </w:r>
      <w:r>
        <w:rPr>
          <w:rFonts w:ascii="Swis721 Th BT" w:eastAsia="MS Mincho" w:hAnsi="Swis721 Th BT" w:cs="Times New Roman" w:hint="cs"/>
          <w:color w:val="404040"/>
        </w:rPr>
        <w:t>ó</w:t>
      </w:r>
      <w:r>
        <w:rPr>
          <w:rFonts w:ascii="Swis721 Th BT" w:eastAsia="MS Mincho" w:hAnsi="Swis721 Th BT" w:cs="Times New Roman"/>
          <w:color w:val="404040"/>
        </w:rPr>
        <w:t xml:space="preserve">dico </w:t>
      </w:r>
      <w:r>
        <w:rPr>
          <w:rFonts w:ascii="Swis721 Th BT" w:eastAsia="MS Mincho" w:hAnsi="Swis721 Th BT" w:cs="Times New Roman" w:hint="eastAsia"/>
          <w:i/>
          <w:iCs/>
          <w:color w:val="404040"/>
        </w:rPr>
        <w:t>European Journal of Clinical Nutrition</w:t>
      </w:r>
      <w:r>
        <w:rPr>
          <w:rFonts w:ascii="Swis721 Th BT" w:eastAsia="MS Mincho" w:hAnsi="Swis721 Th BT" w:cs="Times New Roman"/>
          <w:i/>
          <w:iCs/>
          <w:color w:val="404040"/>
        </w:rPr>
        <w:t>,</w:t>
      </w:r>
      <w:r>
        <w:rPr>
          <w:rFonts w:ascii="Swis721 Th BT" w:eastAsia="MS Mincho" w:hAnsi="Swis721 Th BT" w:cs="Times New Roman"/>
          <w:color w:val="404040"/>
        </w:rPr>
        <w:t xml:space="preserve"> avaliou se a suplementa</w:t>
      </w:r>
      <w:r>
        <w:rPr>
          <w:rFonts w:ascii="Swis721 Th BT" w:eastAsia="MS Mincho" w:hAnsi="Swis721 Th BT" w:cs="Times New Roman" w:hint="cs"/>
          <w:color w:val="404040"/>
        </w:rPr>
        <w:t>çã</w:t>
      </w:r>
      <w:r>
        <w:rPr>
          <w:rFonts w:ascii="Swis721 Th BT" w:eastAsia="MS Mincho" w:hAnsi="Swis721 Th BT" w:cs="Times New Roman"/>
          <w:color w:val="404040"/>
        </w:rPr>
        <w:t>o com antocianinas ao longo de um per</w:t>
      </w:r>
      <w:r>
        <w:rPr>
          <w:rFonts w:ascii="Swis721 Th BT" w:eastAsia="MS Mincho" w:hAnsi="Swis721 Th BT" w:cs="Times New Roman" w:hint="cs"/>
          <w:color w:val="404040"/>
        </w:rPr>
        <w:t>í</w:t>
      </w:r>
      <w:r>
        <w:rPr>
          <w:rFonts w:ascii="Swis721 Th BT" w:eastAsia="MS Mincho" w:hAnsi="Swis721 Th BT" w:cs="Times New Roman"/>
          <w:color w:val="404040"/>
        </w:rPr>
        <w:t xml:space="preserve">odo de 12 semanas poderia melhorar </w:t>
      </w:r>
      <w:r>
        <w:rPr>
          <w:rFonts w:ascii="Swis721 Th BT" w:eastAsia="MS Mincho" w:hAnsi="Swis721 Th BT" w:cs="Times New Roman" w:hint="eastAsia"/>
          <w:color w:val="404040"/>
        </w:rPr>
        <w:t xml:space="preserve">o perfil </w:t>
      </w:r>
      <w:r>
        <w:rPr>
          <w:rFonts w:ascii="Swis721 Th BT" w:eastAsia="MS Mincho" w:hAnsi="Swis721 Th BT" w:cs="Times New Roman"/>
          <w:color w:val="404040"/>
        </w:rPr>
        <w:t>lip</w:t>
      </w:r>
      <w:r>
        <w:rPr>
          <w:rFonts w:ascii="Swis721 Th BT" w:eastAsia="MS Mincho" w:hAnsi="Swis721 Th BT" w:cs="Times New Roman" w:hint="cs"/>
          <w:color w:val="404040"/>
        </w:rPr>
        <w:t>í</w:t>
      </w:r>
      <w:r>
        <w:rPr>
          <w:rFonts w:ascii="Swis721 Th BT" w:eastAsia="MS Mincho" w:hAnsi="Swis721 Th BT" w:cs="Times New Roman"/>
          <w:color w:val="404040"/>
        </w:rPr>
        <w:t>dico</w:t>
      </w:r>
      <w:r>
        <w:rPr>
          <w:rFonts w:ascii="Swis721 Th BT" w:eastAsia="MS Mincho" w:hAnsi="Swis721 Th BT" w:cs="Times New Roman" w:hint="eastAsia"/>
          <w:color w:val="404040"/>
        </w:rPr>
        <w:t xml:space="preserve"> </w:t>
      </w:r>
      <w:r>
        <w:rPr>
          <w:rFonts w:ascii="Swis721 Th BT" w:eastAsia="MS Mincho" w:hAnsi="Swis721 Th BT" w:cs="Times New Roman"/>
          <w:color w:val="404040"/>
        </w:rPr>
        <w:t>s</w:t>
      </w:r>
      <w:r>
        <w:rPr>
          <w:rFonts w:ascii="Swis721 Th BT" w:eastAsia="MS Mincho" w:hAnsi="Swis721 Th BT" w:cs="Times New Roman" w:hint="cs"/>
          <w:color w:val="404040"/>
        </w:rPr>
        <w:t>é</w:t>
      </w:r>
      <w:r>
        <w:rPr>
          <w:rFonts w:ascii="Swis721 Th BT" w:eastAsia="MS Mincho" w:hAnsi="Swis721 Th BT" w:cs="Times New Roman"/>
          <w:color w:val="404040"/>
        </w:rPr>
        <w:t>rico,</w:t>
      </w:r>
      <w:r>
        <w:rPr>
          <w:rFonts w:ascii="Swis721 Th BT" w:eastAsia="MS Mincho" w:hAnsi="Swis721 Th BT" w:cs="Times New Roman" w:hint="eastAsia"/>
          <w:color w:val="404040"/>
        </w:rPr>
        <w:t xml:space="preserve"> particularmente capacidade de efluxo de colesterol (CEC)</w:t>
      </w:r>
      <w:r>
        <w:rPr>
          <w:rFonts w:ascii="Swis721 Th BT" w:eastAsia="MS Mincho" w:hAnsi="Swis721 Th BT" w:cs="Times New Roman"/>
          <w:color w:val="404040"/>
        </w:rPr>
        <w:t xml:space="preserve"> em indiv</w:t>
      </w:r>
      <w:r>
        <w:rPr>
          <w:rFonts w:ascii="Swis721 Th BT" w:eastAsia="MS Mincho" w:hAnsi="Swis721 Th BT" w:cs="Times New Roman" w:hint="cs"/>
          <w:color w:val="404040"/>
        </w:rPr>
        <w:t>í</w:t>
      </w:r>
      <w:r>
        <w:rPr>
          <w:rFonts w:ascii="Swis721 Th BT" w:eastAsia="MS Mincho" w:hAnsi="Swis721 Th BT" w:cs="Times New Roman"/>
          <w:color w:val="404040"/>
        </w:rPr>
        <w:t>duos com dislipidemia. De acordo com os resultados, a suplementa</w:t>
      </w:r>
      <w:r>
        <w:rPr>
          <w:rFonts w:ascii="Swis721 Th BT" w:eastAsia="MS Mincho" w:hAnsi="Swis721 Th BT" w:cs="Times New Roman" w:hint="cs"/>
          <w:color w:val="404040"/>
        </w:rPr>
        <w:t>çã</w:t>
      </w:r>
      <w:r>
        <w:rPr>
          <w:rFonts w:ascii="Swis721 Th BT" w:eastAsia="MS Mincho" w:hAnsi="Swis721 Th BT" w:cs="Times New Roman"/>
          <w:color w:val="404040"/>
        </w:rPr>
        <w:t xml:space="preserve">o de antocianinas </w:t>
      </w:r>
      <w:r>
        <w:rPr>
          <w:rFonts w:ascii="Swis721 Th BT" w:eastAsia="MS Mincho" w:hAnsi="Swis721 Th BT" w:cs="Times New Roman" w:hint="eastAsia"/>
          <w:color w:val="404040"/>
        </w:rPr>
        <w:t>por 12 semanas aument</w:t>
      </w:r>
      <w:r>
        <w:rPr>
          <w:rFonts w:ascii="Swis721 Th BT" w:eastAsia="MS Mincho" w:hAnsi="Swis721 Th BT" w:cs="Times New Roman"/>
          <w:color w:val="404040"/>
        </w:rPr>
        <w:t xml:space="preserve">ou </w:t>
      </w:r>
      <w:r>
        <w:rPr>
          <w:rFonts w:ascii="Swis721 Th BT" w:eastAsia="MS Mincho" w:hAnsi="Swis721 Th BT" w:cs="Times New Roman" w:hint="eastAsia"/>
          <w:color w:val="404040"/>
        </w:rPr>
        <w:t xml:space="preserve">a CEC em </w:t>
      </w:r>
      <w:r>
        <w:rPr>
          <w:rFonts w:ascii="Swis721 Th BT" w:eastAsia="MS Mincho" w:hAnsi="Swis721 Th BT" w:cs="Times New Roman"/>
          <w:color w:val="404040"/>
        </w:rPr>
        <w:t>indiv</w:t>
      </w:r>
      <w:r>
        <w:rPr>
          <w:rFonts w:ascii="Swis721 Th BT" w:eastAsia="MS Mincho" w:hAnsi="Swis721 Th BT" w:cs="Times New Roman" w:hint="cs"/>
          <w:color w:val="404040"/>
        </w:rPr>
        <w:t>í</w:t>
      </w:r>
      <w:r>
        <w:rPr>
          <w:rFonts w:ascii="Swis721 Th BT" w:eastAsia="MS Mincho" w:hAnsi="Swis721 Th BT" w:cs="Times New Roman"/>
          <w:color w:val="404040"/>
        </w:rPr>
        <w:t>duos</w:t>
      </w:r>
      <w:r>
        <w:rPr>
          <w:rFonts w:ascii="Swis721 Th BT" w:eastAsia="MS Mincho" w:hAnsi="Swis721 Th BT" w:cs="Times New Roman" w:hint="eastAsia"/>
          <w:color w:val="404040"/>
        </w:rPr>
        <w:t xml:space="preserve"> </w:t>
      </w:r>
      <w:r>
        <w:rPr>
          <w:rFonts w:ascii="Swis721 Th BT" w:eastAsia="MS Mincho" w:hAnsi="Swis721 Th BT" w:cs="Times New Roman"/>
          <w:color w:val="404040"/>
        </w:rPr>
        <w:t>dislipid</w:t>
      </w:r>
      <w:r>
        <w:rPr>
          <w:rFonts w:ascii="Swis721 Th BT" w:eastAsia="MS Mincho" w:hAnsi="Swis721 Th BT" w:cs="Times New Roman" w:hint="cs"/>
          <w:color w:val="404040"/>
        </w:rPr>
        <w:t>ê</w:t>
      </w:r>
      <w:r>
        <w:rPr>
          <w:rFonts w:ascii="Swis721 Th BT" w:eastAsia="MS Mincho" w:hAnsi="Swis721 Th BT" w:cs="Times New Roman"/>
          <w:color w:val="404040"/>
        </w:rPr>
        <w:t>micos.</w:t>
      </w:r>
      <w:r>
        <w:rPr>
          <w:rFonts w:ascii="Swis721 Th BT" w:eastAsia="MS Mincho" w:hAnsi="Swis721 Th BT" w:cs="Times New Roman" w:hint="eastAsia"/>
          <w:color w:val="404040"/>
        </w:rPr>
        <w:t xml:space="preserve"> </w:t>
      </w:r>
      <w:r>
        <w:rPr>
          <w:rFonts w:ascii="Swis721 Th BT" w:eastAsia="MS Mincho" w:hAnsi="Swis721 Th BT" w:cs="Times New Roman"/>
          <w:color w:val="404040"/>
        </w:rPr>
        <w:t>Tamb</w:t>
      </w:r>
      <w:r>
        <w:rPr>
          <w:rFonts w:ascii="Swis721 Th BT" w:eastAsia="MS Mincho" w:hAnsi="Swis721 Th BT" w:cs="Times New Roman" w:hint="cs"/>
          <w:color w:val="404040"/>
        </w:rPr>
        <w:t>é</w:t>
      </w:r>
      <w:r>
        <w:rPr>
          <w:rFonts w:ascii="Swis721 Th BT" w:eastAsia="MS Mincho" w:hAnsi="Swis721 Th BT" w:cs="Times New Roman"/>
          <w:color w:val="404040"/>
        </w:rPr>
        <w:t>m</w:t>
      </w:r>
      <w:r>
        <w:rPr>
          <w:rFonts w:ascii="Swis721 Th BT" w:eastAsia="MS Mincho" w:hAnsi="Swis721 Th BT" w:cs="Times New Roman" w:hint="eastAsia"/>
          <w:color w:val="404040"/>
        </w:rPr>
        <w:t xml:space="preserve"> foram observadas melhoras nos </w:t>
      </w:r>
      <w:r>
        <w:rPr>
          <w:rFonts w:ascii="Swis721 Th BT" w:eastAsia="MS Mincho" w:hAnsi="Swis721 Th BT" w:cs="Times New Roman"/>
          <w:color w:val="404040"/>
        </w:rPr>
        <w:t>n</w:t>
      </w:r>
      <w:r>
        <w:rPr>
          <w:rFonts w:ascii="Swis721 Th BT" w:eastAsia="MS Mincho" w:hAnsi="Swis721 Th BT" w:cs="Times New Roman" w:hint="cs"/>
          <w:color w:val="404040"/>
        </w:rPr>
        <w:t>í</w:t>
      </w:r>
      <w:r>
        <w:rPr>
          <w:rFonts w:ascii="Swis721 Th BT" w:eastAsia="MS Mincho" w:hAnsi="Swis721 Th BT" w:cs="Times New Roman"/>
          <w:color w:val="404040"/>
        </w:rPr>
        <w:t>veis</w:t>
      </w:r>
      <w:r>
        <w:rPr>
          <w:rFonts w:ascii="Swis721 Th BT" w:eastAsia="MS Mincho" w:hAnsi="Swis721 Th BT" w:cs="Times New Roman" w:hint="eastAsia"/>
          <w:color w:val="404040"/>
        </w:rPr>
        <w:t xml:space="preserve"> </w:t>
      </w:r>
      <w:r>
        <w:rPr>
          <w:rFonts w:ascii="Swis721 Th BT" w:eastAsia="MS Mincho" w:hAnsi="Swis721 Th BT" w:cs="Times New Roman"/>
          <w:color w:val="404040"/>
        </w:rPr>
        <w:t>s</w:t>
      </w:r>
      <w:r>
        <w:rPr>
          <w:rFonts w:ascii="Swis721 Th BT" w:eastAsia="MS Mincho" w:hAnsi="Swis721 Th BT" w:cs="Times New Roman" w:hint="cs"/>
          <w:color w:val="404040"/>
        </w:rPr>
        <w:t>é</w:t>
      </w:r>
      <w:r>
        <w:rPr>
          <w:rFonts w:ascii="Swis721 Th BT" w:eastAsia="MS Mincho" w:hAnsi="Swis721 Th BT" w:cs="Times New Roman"/>
          <w:color w:val="404040"/>
        </w:rPr>
        <w:t>ricos</w:t>
      </w:r>
      <w:r>
        <w:rPr>
          <w:rFonts w:ascii="Swis721 Th BT" w:eastAsia="MS Mincho" w:hAnsi="Swis721 Th BT" w:cs="Times New Roman" w:hint="eastAsia"/>
          <w:color w:val="404040"/>
        </w:rPr>
        <w:t xml:space="preserve"> de colesterol HDL e </w:t>
      </w:r>
      <w:r>
        <w:rPr>
          <w:rFonts w:ascii="Swis721 Th BT" w:eastAsia="MS Mincho" w:hAnsi="Swis721 Th BT" w:cs="Times New Roman"/>
          <w:color w:val="404040"/>
        </w:rPr>
        <w:t>diminui</w:t>
      </w:r>
      <w:r>
        <w:rPr>
          <w:rFonts w:ascii="Swis721 Th BT" w:eastAsia="MS Mincho" w:hAnsi="Swis721 Th BT" w:cs="Times New Roman" w:hint="cs"/>
          <w:color w:val="404040"/>
        </w:rPr>
        <w:t>çã</w:t>
      </w:r>
      <w:r>
        <w:rPr>
          <w:rFonts w:ascii="Swis721 Th BT" w:eastAsia="MS Mincho" w:hAnsi="Swis721 Th BT" w:cs="Times New Roman"/>
          <w:color w:val="404040"/>
        </w:rPr>
        <w:t>o</w:t>
      </w:r>
      <w:r>
        <w:rPr>
          <w:rFonts w:ascii="Swis721 Th BT" w:eastAsia="MS Mincho" w:hAnsi="Swis721 Th BT" w:cs="Times New Roman" w:hint="eastAsia"/>
          <w:color w:val="404040"/>
        </w:rPr>
        <w:t xml:space="preserve"> do LDL.</w:t>
      </w:r>
    </w:p>
    <w:p w14:paraId="43BAB193" w14:textId="77777777" w:rsidR="00CD65C2" w:rsidRDefault="00CD65C2">
      <w:pPr>
        <w:spacing w:after="0" w:line="276" w:lineRule="auto"/>
        <w:jc w:val="both"/>
        <w:rPr>
          <w:rFonts w:ascii="Swis721 Th BT" w:eastAsia="MS Mincho" w:hAnsi="Swis721 Th BT" w:cs="Times New Roman" w:hint="eastAsia"/>
          <w:color w:val="404040"/>
        </w:rPr>
      </w:pPr>
    </w:p>
    <w:p w14:paraId="6C3B2A31" w14:textId="77777777" w:rsidR="00CD65C2" w:rsidRDefault="00CD65C2">
      <w:pPr>
        <w:spacing w:after="0" w:line="276" w:lineRule="auto"/>
        <w:jc w:val="both"/>
        <w:rPr>
          <w:rFonts w:ascii="Swis721 Th BT" w:eastAsia="MS Mincho" w:hAnsi="Swis721 Th BT" w:cs="Times New Roman" w:hint="eastAsia"/>
          <w:color w:val="404040"/>
        </w:rPr>
      </w:pPr>
    </w:p>
    <w:p w14:paraId="34CE992E" w14:textId="77777777" w:rsidR="00CD65C2" w:rsidRDefault="00CD65C2">
      <w:pPr>
        <w:spacing w:after="0" w:line="276" w:lineRule="auto"/>
        <w:jc w:val="both"/>
        <w:rPr>
          <w:rFonts w:ascii="Swis721 Th BT" w:eastAsia="MS Mincho" w:hAnsi="Swis721 Th BT" w:cs="Times New Roman" w:hint="eastAsia"/>
          <w:color w:val="404040"/>
        </w:rPr>
      </w:pPr>
    </w:p>
    <w:p w14:paraId="74D74B74" w14:textId="77777777" w:rsidR="00CD65C2" w:rsidRDefault="00CD65C2">
      <w:pPr>
        <w:jc w:val="both"/>
        <w:rPr>
          <w:rFonts w:ascii="Swis721 Th BT" w:eastAsia="MS Mincho" w:hAnsi="Swis721 Th BT" w:hint="eastAsia"/>
          <w:b/>
          <w:bCs/>
          <w:color w:val="404040" w:themeColor="text1" w:themeTint="BF"/>
          <w:sz w:val="24"/>
          <w:szCs w:val="24"/>
        </w:rPr>
      </w:pPr>
    </w:p>
    <w:p w14:paraId="0276A7DE" w14:textId="77777777" w:rsidR="00CD65C2" w:rsidRDefault="00FA41FC">
      <w:pPr>
        <w:pStyle w:val="Ttulo1"/>
        <w:jc w:val="center"/>
        <w:rPr>
          <w:rFonts w:hint="eastAsia"/>
        </w:rPr>
      </w:pPr>
      <w:bookmarkStart w:id="114" w:name="_Toc165537263"/>
      <w:r>
        <w:t>Formulário</w:t>
      </w:r>
      <w:bookmarkEnd w:id="114"/>
    </w:p>
    <w:p w14:paraId="1D12938B" w14:textId="77777777" w:rsidR="00CD65C2" w:rsidRDefault="00CD65C2">
      <w:pPr>
        <w:pStyle w:val="Corpo"/>
        <w:rPr>
          <w:rFonts w:hint="eastAsia"/>
          <w:b/>
          <w:i/>
          <w:color w:val="404040" w:themeColor="text1" w:themeTint="BF"/>
        </w:rPr>
      </w:pPr>
    </w:p>
    <w:p w14:paraId="6CB2EF32" w14:textId="77777777" w:rsidR="00CD65C2" w:rsidRDefault="00CD65C2">
      <w:pPr>
        <w:pStyle w:val="Corpo"/>
        <w:rPr>
          <w:rFonts w:hint="eastAsia"/>
          <w:b/>
          <w:i/>
          <w:color w:val="404040" w:themeColor="text1" w:themeTint="BF"/>
        </w:rPr>
      </w:pPr>
    </w:p>
    <w:p w14:paraId="278F4EBF" w14:textId="77777777" w:rsidR="00CD65C2" w:rsidRDefault="00FA41FC">
      <w:pPr>
        <w:pStyle w:val="Corpo"/>
        <w:rPr>
          <w:rFonts w:hint="eastAsia"/>
          <w:b/>
          <w:i/>
          <w:color w:val="404040" w:themeColor="text1" w:themeTint="BF"/>
          <w:sz w:val="10"/>
          <w:szCs w:val="10"/>
        </w:rPr>
      </w:pPr>
      <w:r>
        <w:rPr>
          <w:b/>
          <w:i/>
          <w:color w:val="404040" w:themeColor="text1" w:themeTint="BF"/>
          <w:sz w:val="24"/>
        </w:rPr>
        <w:t>Ormona</w:t>
      </w:r>
      <w:r>
        <w:rPr>
          <w:rFonts w:ascii="Corbel Light" w:hAnsi="Corbel Light"/>
          <w:b/>
          <w:i/>
          <w:color w:val="404040" w:themeColor="text1" w:themeTint="BF"/>
          <w:sz w:val="24"/>
        </w:rPr>
        <w:t>®</w:t>
      </w:r>
      <w:r>
        <w:rPr>
          <w:b/>
          <w:i/>
          <w:color w:val="404040" w:themeColor="text1" w:themeTint="BF"/>
          <w:sz w:val="24"/>
        </w:rPr>
        <w:t xml:space="preserve"> Controla os Níveis Lipídicos e Promovo Modulação Hormonal </w:t>
      </w:r>
    </w:p>
    <w:p w14:paraId="3FCCB959" w14:textId="77777777" w:rsidR="00CD65C2" w:rsidRDefault="00CD65C2">
      <w:pPr>
        <w:pStyle w:val="Corpo"/>
        <w:rPr>
          <w:rFonts w:hint="eastAsia"/>
          <w:b/>
          <w:i/>
          <w:color w:val="404040" w:themeColor="text1" w:themeTint="BF"/>
          <w:sz w:val="10"/>
          <w:szCs w:val="10"/>
        </w:rPr>
      </w:pPr>
    </w:p>
    <w:p w14:paraId="2BEF5B82" w14:textId="77777777" w:rsidR="00CD65C2" w:rsidRDefault="00CD65C2">
      <w:pPr>
        <w:pStyle w:val="Corpo"/>
        <w:rPr>
          <w:rFonts w:hint="eastAsia"/>
          <w:b/>
          <w:i/>
          <w:color w:val="404040" w:themeColor="text1" w:themeTint="BF"/>
          <w:sz w:val="10"/>
          <w:szCs w:val="10"/>
        </w:rPr>
      </w:pPr>
    </w:p>
    <w:tbl>
      <w:tblPr>
        <w:tblStyle w:val="Tabelacomgrade"/>
        <w:tblpPr w:leftFromText="141" w:rightFromText="141" w:vertAnchor="text" w:tblpY="1"/>
        <w:tblW w:w="4293" w:type="dxa"/>
        <w:tblLayout w:type="fixed"/>
        <w:tblLook w:val="04A0" w:firstRow="1" w:lastRow="0" w:firstColumn="1" w:lastColumn="0" w:noHBand="0" w:noVBand="1"/>
      </w:tblPr>
      <w:tblGrid>
        <w:gridCol w:w="4293"/>
      </w:tblGrid>
      <w:tr w:rsidR="00CD65C2" w14:paraId="58D51C86" w14:textId="77777777">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0070C0"/>
            <w:vAlign w:val="center"/>
          </w:tcPr>
          <w:p w14:paraId="18964B58" w14:textId="77777777" w:rsidR="00CD65C2" w:rsidRDefault="00FA41FC">
            <w:pPr>
              <w:pStyle w:val="Corpo"/>
              <w:jc w:val="center"/>
              <w:rPr>
                <w:rFonts w:hint="eastAsia"/>
                <w:b/>
                <w:color w:val="FFFFFF" w:themeColor="background1"/>
                <w:szCs w:val="23"/>
              </w:rPr>
            </w:pPr>
            <w:r>
              <w:rPr>
                <w:b/>
                <w:color w:val="FFFFFF" w:themeColor="background1"/>
                <w:szCs w:val="23"/>
              </w:rPr>
              <w:t>Cápsulas de</w:t>
            </w:r>
            <w:r>
              <w:rPr>
                <w:color w:val="404040" w:themeColor="text1" w:themeTint="BF"/>
              </w:rPr>
              <w:t xml:space="preserve"> </w:t>
            </w:r>
            <w:r>
              <w:rPr>
                <w:b/>
                <w:color w:val="FFFFFF" w:themeColor="background1"/>
                <w:szCs w:val="23"/>
              </w:rPr>
              <w:t>Ormona</w:t>
            </w:r>
            <w:r>
              <w:rPr>
                <w:rFonts w:ascii="Corbel Light" w:hAnsi="Corbel Light"/>
                <w:b/>
                <w:color w:val="FFFFFF" w:themeColor="background1"/>
                <w:szCs w:val="23"/>
              </w:rPr>
              <w:t>®</w:t>
            </w:r>
          </w:p>
        </w:tc>
      </w:tr>
      <w:tr w:rsidR="00CD65C2" w14:paraId="54EE1505" w14:textId="77777777">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02B42B4F" w14:textId="77777777" w:rsidR="00CD65C2" w:rsidRDefault="00FA41FC">
            <w:pPr>
              <w:pStyle w:val="Corpo"/>
              <w:jc w:val="center"/>
              <w:rPr>
                <w:rFonts w:hint="eastAsia"/>
                <w:color w:val="404040" w:themeColor="text1" w:themeTint="BF"/>
              </w:rPr>
            </w:pPr>
            <w:r>
              <w:rPr>
                <w:color w:val="404040" w:themeColor="text1" w:themeTint="BF"/>
              </w:rPr>
              <w:t>Ormona</w:t>
            </w:r>
            <w:r>
              <w:rPr>
                <w:rFonts w:ascii="Corbel Light" w:hAnsi="Corbel Light"/>
                <w:color w:val="404040" w:themeColor="text1" w:themeTint="BF"/>
              </w:rPr>
              <w:t>®</w:t>
            </w:r>
            <w:r>
              <w:rPr>
                <w:color w:val="404040" w:themeColor="text1" w:themeTint="BF"/>
              </w:rPr>
              <w:t>........................................500 mg</w:t>
            </w:r>
          </w:p>
        </w:tc>
      </w:tr>
      <w:tr w:rsidR="00CD65C2" w14:paraId="12CEECA0" w14:textId="77777777">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4CA937CF" w14:textId="77777777" w:rsidR="00CD65C2" w:rsidRDefault="00FA41FC">
            <w:pPr>
              <w:pStyle w:val="Corpo"/>
              <w:jc w:val="center"/>
              <w:rPr>
                <w:rFonts w:hint="eastAsia"/>
                <w:iCs/>
                <w:color w:val="404040" w:themeColor="text1" w:themeTint="BF"/>
              </w:rPr>
            </w:pPr>
            <w:r>
              <w:rPr>
                <w:color w:val="404040" w:themeColor="text1" w:themeTint="BF"/>
              </w:rPr>
              <w:t>Excipiente q.s.p. ........................1 Cápsula</w:t>
            </w:r>
          </w:p>
        </w:tc>
      </w:tr>
    </w:tbl>
    <w:p w14:paraId="2758633C" w14:textId="77777777" w:rsidR="00CD65C2" w:rsidRDefault="00FA41FC">
      <w:pPr>
        <w:pStyle w:val="Corpo"/>
        <w:ind w:right="4818"/>
        <w:jc w:val="center"/>
        <w:rPr>
          <w:rFonts w:hint="eastAsia"/>
          <w:color w:val="404040" w:themeColor="text1" w:themeTint="BF"/>
          <w:sz w:val="22"/>
          <w:szCs w:val="22"/>
        </w:rPr>
      </w:pPr>
      <w:bookmarkStart w:id="115" w:name="_Hlk127519807"/>
      <w:bookmarkEnd w:id="115"/>
      <w:r>
        <w:rPr>
          <w:color w:val="404040" w:themeColor="text1" w:themeTint="BF"/>
          <w:sz w:val="22"/>
          <w:szCs w:val="22"/>
        </w:rPr>
        <w:t>Administrar 1 cápsula uma a duas vezes ao dia ou conforme orientação médica.</w:t>
      </w:r>
    </w:p>
    <w:p w14:paraId="04E3B59D" w14:textId="77777777" w:rsidR="00CD65C2" w:rsidRDefault="00CD65C2">
      <w:pPr>
        <w:pStyle w:val="SemEspaamento"/>
      </w:pPr>
    </w:p>
    <w:p w14:paraId="2EBB0015" w14:textId="77777777" w:rsidR="00CD65C2" w:rsidRDefault="00CD65C2">
      <w:pPr>
        <w:pStyle w:val="SemEspaamento"/>
      </w:pPr>
    </w:p>
    <w:p w14:paraId="56FEFA5F" w14:textId="77777777" w:rsidR="00CD65C2" w:rsidRDefault="00CD65C2">
      <w:pPr>
        <w:pStyle w:val="SemEspaamento"/>
      </w:pPr>
    </w:p>
    <w:p w14:paraId="0ED7F910" w14:textId="77777777" w:rsidR="00CD65C2" w:rsidRDefault="00CD65C2">
      <w:pPr>
        <w:pStyle w:val="SemEspaamento"/>
      </w:pPr>
    </w:p>
    <w:p w14:paraId="0E7A9988" w14:textId="77777777" w:rsidR="00CD65C2" w:rsidRDefault="00CD65C2">
      <w:pPr>
        <w:pStyle w:val="SemEspaamento"/>
      </w:pPr>
    </w:p>
    <w:p w14:paraId="1060AB29" w14:textId="77777777" w:rsidR="00CD65C2" w:rsidRDefault="00CD65C2">
      <w:pPr>
        <w:pStyle w:val="SemEspaamento"/>
      </w:pPr>
    </w:p>
    <w:p w14:paraId="6792F293" w14:textId="77777777" w:rsidR="00CD65C2" w:rsidRDefault="00CD65C2">
      <w:pPr>
        <w:pStyle w:val="SemEspaamento"/>
      </w:pPr>
    </w:p>
    <w:p w14:paraId="0B70D177" w14:textId="77777777" w:rsidR="00CD65C2" w:rsidRDefault="00CD65C2">
      <w:pPr>
        <w:pStyle w:val="SemEspaamento"/>
      </w:pPr>
    </w:p>
    <w:p w14:paraId="02207077" w14:textId="77777777" w:rsidR="00CD65C2" w:rsidRDefault="00CD65C2">
      <w:pPr>
        <w:pStyle w:val="SemEspaamento"/>
      </w:pPr>
    </w:p>
    <w:p w14:paraId="31873B7B" w14:textId="77777777" w:rsidR="00CD65C2" w:rsidRDefault="00CD65C2">
      <w:pPr>
        <w:pStyle w:val="SemEspaamento"/>
      </w:pPr>
    </w:p>
    <w:p w14:paraId="2C01A4A5" w14:textId="77777777" w:rsidR="00CD65C2" w:rsidRDefault="00CD65C2">
      <w:pPr>
        <w:pStyle w:val="SemEspaamento"/>
      </w:pPr>
    </w:p>
    <w:p w14:paraId="561618F2" w14:textId="77777777" w:rsidR="00CD65C2" w:rsidRDefault="00CD65C2">
      <w:pPr>
        <w:pStyle w:val="SemEspaamento"/>
      </w:pPr>
    </w:p>
    <w:p w14:paraId="28C7CEF0" w14:textId="77777777" w:rsidR="00CD65C2" w:rsidRDefault="00CD65C2">
      <w:pPr>
        <w:pStyle w:val="SemEspaamento"/>
      </w:pPr>
    </w:p>
    <w:p w14:paraId="145A8A8F" w14:textId="77777777" w:rsidR="00CD65C2" w:rsidRDefault="00CD65C2">
      <w:pPr>
        <w:pStyle w:val="SemEspaamento"/>
      </w:pPr>
    </w:p>
    <w:p w14:paraId="70823A5B" w14:textId="77777777" w:rsidR="00CD65C2" w:rsidRDefault="00CD65C2">
      <w:pPr>
        <w:pStyle w:val="SemEspaamento"/>
      </w:pPr>
    </w:p>
    <w:p w14:paraId="4F05ADEB" w14:textId="77777777" w:rsidR="00CD65C2" w:rsidRDefault="00CD65C2">
      <w:pPr>
        <w:pStyle w:val="SemEspaamento"/>
      </w:pPr>
    </w:p>
    <w:p w14:paraId="27EDE9C3" w14:textId="77777777" w:rsidR="00CD65C2" w:rsidRDefault="00CD65C2">
      <w:pPr>
        <w:pStyle w:val="SemEspaamento"/>
      </w:pPr>
    </w:p>
    <w:p w14:paraId="6D2DAC10" w14:textId="77777777" w:rsidR="00CD65C2" w:rsidRDefault="00CD65C2">
      <w:pPr>
        <w:pStyle w:val="SemEspaamento"/>
      </w:pPr>
    </w:p>
    <w:p w14:paraId="0C2ED3EF" w14:textId="77777777" w:rsidR="00CD65C2" w:rsidRDefault="00CD65C2">
      <w:pPr>
        <w:pStyle w:val="SemEspaamento"/>
      </w:pPr>
    </w:p>
    <w:p w14:paraId="7B851D83" w14:textId="77777777" w:rsidR="00CD65C2" w:rsidRDefault="00CD65C2">
      <w:pPr>
        <w:pStyle w:val="SemEspaamento"/>
      </w:pPr>
    </w:p>
    <w:p w14:paraId="3CCA1271" w14:textId="77777777" w:rsidR="00CD65C2" w:rsidRDefault="00FA41FC">
      <w:pPr>
        <w:pStyle w:val="Ttulo1"/>
        <w:jc w:val="center"/>
        <w:rPr>
          <w:rFonts w:hint="eastAsia"/>
        </w:rPr>
      </w:pPr>
      <w:bookmarkStart w:id="116" w:name="_Toc165537264"/>
      <w:r>
        <w:rPr>
          <w:bCs/>
          <w:iCs/>
        </w:rPr>
        <w:t>ISRSs e IRSNs</w:t>
      </w:r>
      <w:bookmarkEnd w:id="116"/>
    </w:p>
    <w:p w14:paraId="2F32499A" w14:textId="77777777" w:rsidR="00CD65C2" w:rsidRPr="00D1428E" w:rsidRDefault="00FA41FC">
      <w:pPr>
        <w:pStyle w:val="Corpo"/>
        <w:jc w:val="center"/>
        <w:rPr>
          <w:rFonts w:hint="eastAsia"/>
          <w:b/>
          <w:bCs/>
          <w:color w:val="0070C0"/>
          <w:sz w:val="40"/>
        </w:rPr>
      </w:pPr>
      <w:r w:rsidRPr="00D1428E">
        <w:rPr>
          <w:b/>
          <w:bCs/>
          <w:color w:val="0070C0"/>
          <w:sz w:val="40"/>
        </w:rPr>
        <w:t>Eficazes o Gerenciamento de Sintomas Vasomotores na Menopausa</w:t>
      </w:r>
    </w:p>
    <w:p w14:paraId="373E568A" w14:textId="77777777" w:rsidR="00CD65C2" w:rsidRDefault="00CD65C2">
      <w:pPr>
        <w:pStyle w:val="Corpo"/>
        <w:rPr>
          <w:rFonts w:hint="eastAsia"/>
          <w:color w:val="404040" w:themeColor="text1" w:themeTint="BF"/>
          <w:sz w:val="24"/>
        </w:rPr>
      </w:pPr>
    </w:p>
    <w:p w14:paraId="6D8AAB72" w14:textId="77777777" w:rsidR="00CD65C2" w:rsidRDefault="00CD65C2">
      <w:pPr>
        <w:pStyle w:val="Corpo"/>
        <w:rPr>
          <w:rFonts w:hint="eastAsia"/>
          <w:color w:val="404040" w:themeColor="text1" w:themeTint="BF"/>
          <w:sz w:val="24"/>
        </w:rPr>
      </w:pPr>
    </w:p>
    <w:p w14:paraId="7BE020E8" w14:textId="77777777" w:rsidR="00CD65C2" w:rsidRDefault="00CD65C2">
      <w:pPr>
        <w:pStyle w:val="Corpo"/>
        <w:rPr>
          <w:rFonts w:hint="eastAsia"/>
          <w:color w:val="404040" w:themeColor="text1" w:themeTint="BF"/>
          <w:sz w:val="24"/>
        </w:rPr>
      </w:pPr>
    </w:p>
    <w:p w14:paraId="605B6515" w14:textId="5D181A68" w:rsidR="00CD65C2" w:rsidRDefault="00FA41FC">
      <w:pPr>
        <w:pStyle w:val="Corpo"/>
        <w:rPr>
          <w:rFonts w:hint="eastAsia"/>
          <w:color w:val="404040" w:themeColor="text1" w:themeTint="BF"/>
          <w:sz w:val="24"/>
        </w:rPr>
      </w:pPr>
      <w:r>
        <w:rPr>
          <w:color w:val="404040" w:themeColor="text1" w:themeTint="BF"/>
          <w:sz w:val="24"/>
        </w:rPr>
        <w:t xml:space="preserve">Este estudo teve como objetivo avaliar a eficácia e segurança dos medicamentos ISRSs e IRSNs no tratamento das ondas de calor de mulheres na menopausa </w:t>
      </w:r>
      <w:r>
        <w:rPr>
          <w:color w:val="404040" w:themeColor="text1" w:themeTint="BF"/>
          <w:sz w:val="24"/>
        </w:rPr>
        <w:fldChar w:fldCharType="begin">
          <w:fldData xml:space="preserve">PEVuZE5vdGU+PENpdGU+PEF1dGhvcj5Beml6aTwvQXV0aG9yPjxZZWFyPjIwMjI8L1llYXI+PElE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</w:fldData>
        </w:fldChar>
      </w:r>
      <w:r>
        <w:rPr>
          <w:color w:val="404040" w:themeColor="text1" w:themeTint="BF"/>
          <w:sz w:val="24"/>
        </w:rPr>
        <w:instrText xml:space="preserve"> ADDIN EN.CITE </w:instrText>
      </w:r>
      <w:r>
        <w:rPr>
          <w:color w:val="404040" w:themeColor="text1" w:themeTint="BF"/>
          <w:sz w:val="24"/>
        </w:rPr>
        <w:fldChar w:fldCharType="begin">
          <w:fldData xml:space="preserve">PEVuZE5vdGU+PENpdGU+PEF1dGhvcj5Beml6aTwvQXV0aG9yPjxZZWFyPjIwMjI8L1llYXI+PElE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</w:fldData>
        </w:fldChar>
      </w:r>
      <w:r>
        <w:rPr>
          <w:color w:val="404040" w:themeColor="text1" w:themeTint="BF"/>
          <w:sz w:val="24"/>
        </w:rPr>
        <w:instrText xml:space="preserve"> ADDIN EN.CITE.DATA </w:instrText>
      </w:r>
      <w:r>
        <w:rPr>
          <w:color w:val="404040" w:themeColor="text1" w:themeTint="BF"/>
          <w:sz w:val="24"/>
        </w:rPr>
      </w:r>
      <w:r>
        <w:rPr>
          <w:color w:val="404040" w:themeColor="text1" w:themeTint="BF"/>
          <w:sz w:val="24"/>
        </w:rPr>
        <w:fldChar w:fldCharType="end"/>
      </w:r>
      <w:r>
        <w:rPr>
          <w:color w:val="404040" w:themeColor="text1" w:themeTint="BF"/>
          <w:sz w:val="24"/>
        </w:rPr>
      </w:r>
      <w:r>
        <w:rPr>
          <w:color w:val="404040" w:themeColor="text1" w:themeTint="BF"/>
          <w:sz w:val="24"/>
        </w:rPr>
        <w:fldChar w:fldCharType="separate"/>
      </w:r>
      <w:r>
        <w:rPr>
          <w:color w:val="404040" w:themeColor="text1" w:themeTint="BF"/>
          <w:sz w:val="24"/>
        </w:rPr>
        <w:t>(AZIZI; KHANI; KAMALI; ELYASI, 2022)</w:t>
      </w:r>
      <w:r>
        <w:rPr>
          <w:color w:val="404040" w:themeColor="text1" w:themeTint="BF"/>
          <w:sz w:val="24"/>
        </w:rPr>
        <w:fldChar w:fldCharType="end"/>
      </w:r>
      <w:r>
        <w:rPr>
          <w:color w:val="404040" w:themeColor="text1" w:themeTint="BF"/>
          <w:sz w:val="24"/>
        </w:rPr>
        <w:t>.</w:t>
      </w:r>
    </w:p>
    <w:p w14:paraId="2D41B9C3"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948032" behindDoc="0" locked="0" layoutInCell="1" allowOverlap="1">
                <wp:simplePos x="0" y="0"/>
                <wp:positionH relativeFrom="margin">
                  <wp:posOffset>-1905</wp:posOffset>
                </wp:positionH>
                <wp:positionV relativeFrom="paragraph">
                  <wp:posOffset>146050</wp:posOffset>
                </wp:positionV>
                <wp:extent cx="5735955" cy="370205"/>
                <wp:effectExtent l="0" t="0" r="17780" b="11430"/>
                <wp:wrapNone/>
                <wp:docPr id="739657853" name="Caixa de texto 7396578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781" cy="370115"/>
                        </a:xfrm>
                        <a:prstGeom prst="rect">
                          <a:avLst/>
                        </a:prstGeom>
                        <a:solidFill>
                          <a:schemeClr val="bg1">
                            <a:lumMod val="100000"/>
                            <a:lumOff val="0"/>
                          </a:schemeClr>
                        </a:solidFill>
                        <a:ln w="9525">
                          <a:solidFill>
                            <a:srgbClr val="0070C0"/>
                          </a:solidFill>
                          <a:miter lim="800000"/>
                        </a:ln>
                      </wps:spPr>
                      <wps:txbx>
                        <w:txbxContent>
                          <w:p w14:paraId="36324716" w14:textId="77777777" w:rsidR="00FA41FC" w:rsidRDefault="00FA41FC">
                            <w:pPr>
                              <w:jc w:val="center"/>
                              <w:rPr>
                                <w:rFonts w:ascii="Swis721 Th BT" w:hAnsi="Swis721 Th BT"/>
                                <w:sz w:val="23"/>
                                <w:szCs w:val="23"/>
                              </w:rPr>
                            </w:pPr>
                            <w:r>
                              <w:rPr>
                                <w:rFonts w:ascii="Swis721 Th BT" w:hAnsi="Swis721 Th BT"/>
                                <w:sz w:val="23"/>
                                <w:szCs w:val="23"/>
                              </w:rPr>
                              <w:t>Para isso, 36 artigos de ensaios clínicos e randomizados foram incluidos.</w:t>
                            </w:r>
                          </w:p>
                          <w:p w14:paraId="41DDFA6C"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853" o:spid="_x0000_s1175" type="#_x0000_t202" style="position:absolute;left:0;text-align:left;margin-left:-.15pt;margin-top:11.5pt;width:451.65pt;height:29.15pt;z-index:2519480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" fillcolor="white [3212]" strokecolor="#0070c0">
                <v:textbox>
                  <w:txbxContent>
                    <w:p w14:paraId="36324716" w14:textId="77777777" w:rsidR="00FA41FC" w:rsidRDefault="00FA41FC">
                      <w:pPr>
                        <w:jc w:val="center"/>
                        <w:rPr>
                          <w:rFonts w:ascii="Swis721 Th BT" w:hAnsi="Swis721 Th BT"/>
                          <w:sz w:val="23"/>
                          <w:szCs w:val="23"/>
                        </w:rPr>
                      </w:pPr>
                      <w:r>
                        <w:rPr>
                          <w:rFonts w:ascii="Swis721 Th BT" w:hAnsi="Swis721 Th BT"/>
                          <w:sz w:val="23"/>
                          <w:szCs w:val="23"/>
                        </w:rPr>
                        <w:t>Para isso, 36 artigos de ensaios clínicos e randomizados foram incluidos.</w:t>
                      </w:r>
                    </w:p>
                    <w:p w14:paraId="41DDFA6C"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7BDCDC7E" w14:textId="77777777" w:rsidR="00CD65C2" w:rsidRDefault="00CD65C2">
      <w:pPr>
        <w:pStyle w:val="Corpo"/>
        <w:rPr>
          <w:rFonts w:hint="eastAsia"/>
          <w:color w:val="404040" w:themeColor="text1" w:themeTint="BF"/>
          <w:sz w:val="24"/>
        </w:rPr>
      </w:pPr>
    </w:p>
    <w:p w14:paraId="6303D71D" w14:textId="77777777" w:rsidR="00CD65C2" w:rsidRDefault="00CD65C2">
      <w:pPr>
        <w:pStyle w:val="Corpo"/>
        <w:rPr>
          <w:rFonts w:hint="eastAsia"/>
          <w:color w:val="404040" w:themeColor="text1" w:themeTint="BF"/>
        </w:rPr>
      </w:pPr>
    </w:p>
    <w:p w14:paraId="256071CB" w14:textId="77777777" w:rsidR="00CD65C2" w:rsidRDefault="00CD65C2">
      <w:pPr>
        <w:pStyle w:val="Corpo"/>
        <w:rPr>
          <w:rFonts w:hint="eastAsia"/>
          <w:color w:val="404040" w:themeColor="text1" w:themeTint="BF"/>
        </w:rPr>
      </w:pPr>
    </w:p>
    <w:p w14:paraId="7FFA2EB1"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3BDE341D" w14:textId="77777777" w:rsidR="00CD65C2" w:rsidRDefault="00CD65C2">
      <w:pPr>
        <w:pStyle w:val="Corpo"/>
        <w:rPr>
          <w:rFonts w:hint="eastAsia"/>
          <w:color w:val="404040" w:themeColor="text1" w:themeTint="BF"/>
          <w:sz w:val="16"/>
          <w:szCs w:val="16"/>
        </w:rPr>
      </w:pPr>
    </w:p>
    <w:p w14:paraId="56820118" w14:textId="77777777" w:rsidR="00CD65C2" w:rsidRDefault="00FA41FC">
      <w:pPr>
        <w:pStyle w:val="PargrafodaLista"/>
        <w:numPr>
          <w:ilvl w:val="0"/>
          <w:numId w:val="37"/>
        </w:numPr>
        <w:rPr>
          <w:rFonts w:ascii="Swis721 Th BT" w:eastAsia="MS Mincho" w:hAnsi="Swis721 Th BT" w:hint="eastAsia"/>
          <w:bCs/>
          <w:iCs/>
          <w:color w:val="404040" w:themeColor="text1" w:themeTint="BF"/>
          <w:sz w:val="24"/>
          <w:szCs w:val="24"/>
        </w:rPr>
      </w:pPr>
      <w:r>
        <w:rPr>
          <w:rFonts w:ascii="Swis721 Th BT" w:eastAsia="MS Mincho" w:hAnsi="Swis721 Th BT"/>
          <w:bCs/>
          <w:iCs/>
          <w:color w:val="404040" w:themeColor="text1" w:themeTint="BF"/>
          <w:sz w:val="24"/>
          <w:szCs w:val="24"/>
        </w:rPr>
        <w:t>As evidências sobre a classe de drogas ISRSs indicaram que escitalopram, paroxetina e fluoxetina têm maior eficácia e segurança no tratamento das Ondas de Calor (OC) menopausal do que outras drogas;</w:t>
      </w:r>
    </w:p>
    <w:p w14:paraId="5470D746" w14:textId="77777777" w:rsidR="00CD65C2" w:rsidRDefault="00FA41FC">
      <w:pPr>
        <w:pStyle w:val="PargrafodaLista"/>
        <w:numPr>
          <w:ilvl w:val="0"/>
          <w:numId w:val="37"/>
        </w:numPr>
        <w:rPr>
          <w:rFonts w:ascii="Swis721 Th BT" w:eastAsia="MS Mincho" w:hAnsi="Swis721 Th BT" w:hint="eastAsia"/>
          <w:bCs/>
          <w:iCs/>
          <w:color w:val="404040" w:themeColor="text1" w:themeTint="BF"/>
          <w:sz w:val="24"/>
          <w:szCs w:val="24"/>
        </w:rPr>
      </w:pPr>
      <w:r>
        <w:rPr>
          <w:rFonts w:ascii="Swis721 Th BT" w:eastAsia="MS Mincho" w:hAnsi="Swis721 Th BT"/>
          <w:bCs/>
          <w:iCs/>
          <w:color w:val="404040" w:themeColor="text1" w:themeTint="BF"/>
          <w:sz w:val="24"/>
          <w:szCs w:val="24"/>
        </w:rPr>
        <w:t>Os estudos sobre a eficácia da sertralina, citalopram e fluvoxamina são em número limitado ou apresentam resultados inconsistentes. Portanto, mais estudos de alta qualidade são necessários para confirmar sua eficácia no alívio da OC;</w:t>
      </w:r>
    </w:p>
    <w:p w14:paraId="07FF854E" w14:textId="77777777" w:rsidR="00CD65C2" w:rsidRDefault="00FA41FC">
      <w:pPr>
        <w:pStyle w:val="PargrafodaLista"/>
        <w:numPr>
          <w:ilvl w:val="0"/>
          <w:numId w:val="37"/>
        </w:numPr>
        <w:rPr>
          <w:rFonts w:ascii="Swis721 Th BT" w:eastAsia="MS Mincho" w:hAnsi="Swis721 Th BT" w:hint="eastAsia"/>
          <w:bCs/>
          <w:iCs/>
          <w:color w:val="404040" w:themeColor="text1" w:themeTint="BF"/>
          <w:sz w:val="24"/>
          <w:szCs w:val="24"/>
        </w:rPr>
      </w:pPr>
      <w:r>
        <w:rPr>
          <w:rFonts w:ascii="Swis721 Th BT" w:eastAsia="MS Mincho" w:hAnsi="Swis721 Th BT"/>
          <w:bCs/>
          <w:iCs/>
          <w:color w:val="404040" w:themeColor="text1" w:themeTint="BF"/>
          <w:sz w:val="24"/>
          <w:szCs w:val="24"/>
        </w:rPr>
        <w:t xml:space="preserve">Dentro da classe dos ISRSs, a venlafaxina e a desvenlafaxina mostraram eficácia significativa no tratamento da OC. </w:t>
      </w:r>
    </w:p>
    <w:p w14:paraId="70A9B1E3" w14:textId="77777777" w:rsidR="00CD65C2" w:rsidRDefault="00CD65C2">
      <w:pPr>
        <w:rPr>
          <w:rFonts w:ascii="Swis721 Th BT" w:eastAsia="MS Mincho" w:hAnsi="Swis721 Th BT" w:hint="eastAsia"/>
          <w:bCs/>
          <w:iCs/>
          <w:color w:val="404040" w:themeColor="text1" w:themeTint="BF"/>
          <w:sz w:val="24"/>
          <w:szCs w:val="24"/>
        </w:rPr>
      </w:pPr>
    </w:p>
    <w:p w14:paraId="391A4647" w14:textId="77777777" w:rsidR="00CD65C2" w:rsidRDefault="00CD65C2">
      <w:pPr>
        <w:rPr>
          <w:rFonts w:ascii="Swis721 Th BT" w:eastAsia="MS Mincho" w:hAnsi="Swis721 Th BT" w:hint="eastAsia"/>
          <w:bCs/>
          <w:iCs/>
          <w:color w:val="404040" w:themeColor="text1" w:themeTint="BF"/>
          <w:sz w:val="24"/>
          <w:szCs w:val="24"/>
        </w:rPr>
      </w:pPr>
    </w:p>
    <w:p w14:paraId="4006F287"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6592EBA0" w14:textId="77777777" w:rsidR="00CD65C2" w:rsidRDefault="00CD65C2" w:rsidP="00D1428E">
      <w:pPr>
        <w:pStyle w:val="Corpo"/>
        <w:jc w:val="center"/>
        <w:rPr>
          <w:rFonts w:hint="eastAsia"/>
          <w:b/>
          <w:color w:val="339966"/>
          <w14:textFill>
            <w14:solidFill>
              <w14:srgbClr w14:val="339966">
                <w14:lumMod w14:val="75000"/>
                <w14:lumOff w14:val="25000"/>
              </w14:srgbClr>
            </w14:solidFill>
          </w14:textFill>
        </w:rPr>
      </w:pPr>
    </w:p>
    <w:p w14:paraId="50663702" w14:textId="77777777" w:rsidR="00CD65C2" w:rsidRDefault="00FA41FC" w:rsidP="00D1428E">
      <w:pPr>
        <w:jc w:val="center"/>
        <w:rPr>
          <w:rFonts w:ascii="Swis721 Th BT" w:eastAsia="MS Mincho" w:hAnsi="Swis721 Th BT" w:hint="eastAsia"/>
          <w:b/>
          <w:i/>
          <w:color w:val="404040" w:themeColor="text1" w:themeTint="BF"/>
          <w:sz w:val="23"/>
          <w:szCs w:val="24"/>
        </w:rPr>
      </w:pPr>
      <w:r>
        <w:rPr>
          <w:rFonts w:ascii="Swis721 Th BT" w:eastAsia="MS Mincho" w:hAnsi="Swis721 Th BT"/>
          <w:b/>
          <w:bCs/>
          <w:i/>
          <w:color w:val="404040" w:themeColor="text1" w:themeTint="BF"/>
          <w:sz w:val="23"/>
          <w:szCs w:val="24"/>
        </w:rPr>
        <w:t>A maioria dos estudos indicou a eficácia e segurança de alguns antidepressivos, como ISRSs e IRSNs, na diminuição da frequência e gravidade da OC. Esses medicamentos são, portanto, recomendados para o tratamento da OC menopausal.</w:t>
      </w:r>
    </w:p>
    <w:p w14:paraId="7C59386A" w14:textId="77777777" w:rsidR="00CD65C2" w:rsidRDefault="00CD65C2">
      <w:pPr>
        <w:rPr>
          <w:rFonts w:ascii="Swis721 Th BT" w:eastAsia="MS Mincho" w:hAnsi="Swis721 Th BT" w:hint="eastAsia"/>
          <w:bCs/>
          <w:iCs/>
          <w:color w:val="404040" w:themeColor="text1" w:themeTint="BF"/>
          <w:sz w:val="24"/>
          <w:szCs w:val="24"/>
        </w:rPr>
      </w:pPr>
    </w:p>
    <w:p w14:paraId="05D641E8" w14:textId="77777777" w:rsidR="00CD65C2" w:rsidRDefault="00CD65C2">
      <w:pPr>
        <w:rPr>
          <w:rFonts w:ascii="Swis721 Th BT" w:eastAsia="MS Mincho" w:hAnsi="Swis721 Th BT" w:hint="eastAsia"/>
          <w:bCs/>
          <w:iCs/>
          <w:color w:val="404040" w:themeColor="text1" w:themeTint="BF"/>
          <w:sz w:val="24"/>
          <w:szCs w:val="24"/>
        </w:rPr>
      </w:pPr>
    </w:p>
    <w:p w14:paraId="07AB1D74" w14:textId="77777777" w:rsidR="00CD65C2" w:rsidRDefault="00CD65C2">
      <w:pPr>
        <w:rPr>
          <w:rFonts w:ascii="Swis721 Th BT" w:eastAsia="MS Mincho" w:hAnsi="Swis721 Th BT" w:hint="eastAsia"/>
          <w:bCs/>
          <w:iCs/>
          <w:color w:val="404040" w:themeColor="text1" w:themeTint="BF"/>
          <w:sz w:val="24"/>
          <w:szCs w:val="24"/>
        </w:rPr>
      </w:pPr>
    </w:p>
    <w:p w14:paraId="4A959925" w14:textId="77777777" w:rsidR="00CD65C2" w:rsidRDefault="00CD65C2">
      <w:pPr>
        <w:rPr>
          <w:rFonts w:ascii="Swis721 Th BT" w:eastAsia="MS Mincho" w:hAnsi="Swis721 Th BT" w:hint="eastAsia"/>
          <w:bCs/>
          <w:iCs/>
          <w:color w:val="404040" w:themeColor="text1" w:themeTint="BF"/>
          <w:sz w:val="24"/>
          <w:szCs w:val="24"/>
        </w:rPr>
      </w:pPr>
    </w:p>
    <w:p w14:paraId="68210E82" w14:textId="77777777" w:rsidR="00CD65C2" w:rsidRDefault="00FA41FC">
      <w:pPr>
        <w:pStyle w:val="Ttulo1"/>
        <w:jc w:val="center"/>
        <w:rPr>
          <w:rFonts w:hint="eastAsia"/>
        </w:rPr>
      </w:pPr>
      <w:bookmarkStart w:id="117" w:name="_Toc165537265"/>
      <w:r>
        <w:t>Formulário</w:t>
      </w:r>
      <w:bookmarkEnd w:id="117"/>
    </w:p>
    <w:p w14:paraId="57368AE9" w14:textId="77777777" w:rsidR="00CD65C2" w:rsidRDefault="00CD65C2">
      <w:pPr>
        <w:pStyle w:val="Corpo"/>
        <w:rPr>
          <w:rFonts w:hint="eastAsia"/>
          <w:b/>
          <w:i/>
          <w:color w:val="404040" w:themeColor="text1" w:themeTint="BF"/>
        </w:rPr>
      </w:pPr>
    </w:p>
    <w:p w14:paraId="627BE5E2" w14:textId="77777777" w:rsidR="00CD65C2" w:rsidRDefault="00CD65C2">
      <w:pPr>
        <w:pStyle w:val="Corpo"/>
        <w:rPr>
          <w:rFonts w:hint="eastAsia"/>
          <w:b/>
          <w:i/>
          <w:color w:val="404040" w:themeColor="text1" w:themeTint="BF"/>
        </w:rPr>
      </w:pPr>
    </w:p>
    <w:p w14:paraId="462EF5C1" w14:textId="77777777" w:rsidR="00CD65C2" w:rsidRDefault="00FA41FC">
      <w:pPr>
        <w:pStyle w:val="Corpo"/>
        <w:rPr>
          <w:rFonts w:hint="eastAsia"/>
          <w:color w:val="404040" w:themeColor="text1" w:themeTint="BF"/>
        </w:rPr>
      </w:pPr>
      <w:r>
        <w:rPr>
          <w:b/>
          <w:i/>
          <w:noProof/>
          <w:color w:val="404040" w:themeColor="text1" w:themeTint="BF"/>
          <w:lang w:eastAsia="pt-BR"/>
        </w:rPr>
        <mc:AlternateContent>
          <mc:Choice Requires="wps">
            <w:drawing>
              <wp:anchor distT="45720" distB="45720" distL="114300" distR="114300" simplePos="0" relativeHeight="251949056" behindDoc="0" locked="0" layoutInCell="1" allowOverlap="1">
                <wp:simplePos x="0" y="0"/>
                <wp:positionH relativeFrom="column">
                  <wp:posOffset>3339465</wp:posOffset>
                </wp:positionH>
                <wp:positionV relativeFrom="paragraph">
                  <wp:posOffset>179070</wp:posOffset>
                </wp:positionV>
                <wp:extent cx="2360930" cy="1339215"/>
                <wp:effectExtent l="0" t="0" r="1270" b="0"/>
                <wp:wrapNone/>
                <wp:docPr id="73965785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338943"/>
                        </a:xfrm>
                        <a:prstGeom prst="rect">
                          <a:avLst/>
                        </a:prstGeom>
                        <a:solidFill>
                          <a:schemeClr val="bg1">
                            <a:lumMod val="95000"/>
                          </a:schemeClr>
                        </a:solidFill>
                        <a:ln w="9525">
                          <a:noFill/>
                          <a:miter lim="800000"/>
                        </a:ln>
                      </wps:spPr>
                      <wps:txbx>
                        <w:txbxContent>
                          <w:p w14:paraId="59B0A2FB" w14:textId="03A78B79" w:rsidR="00FA41FC" w:rsidRDefault="00FA41FC">
                            <w:pPr>
                              <w:jc w:val="both"/>
                              <w:rPr>
                                <w:rFonts w:ascii="Swis721 Th BT" w:hAnsi="Swis721 Th BT"/>
                                <w:sz w:val="20"/>
                                <w:szCs w:val="20"/>
                              </w:rPr>
                            </w:pPr>
                            <w:r>
                              <w:rPr>
                                <w:rFonts w:ascii="Swis721 Th BT" w:hAnsi="Swis721 Th BT"/>
                                <w:sz w:val="20"/>
                                <w:szCs w:val="20"/>
                              </w:rPr>
                              <w:t xml:space="preserve">De acordo com um estudo, comparado com placebo, o escitalopram reduziu consideravelmente os fogachos após oito semanas. Além disso, outra evidência apontou sua eficácia na redução da insônia e melhora da qualidade subjetiva do sono em mulheres com fogachos. </w:t>
                            </w:r>
                          </w:p>
                          <w:p w14:paraId="68694E8C" w14:textId="77777777" w:rsidR="00FA41FC" w:rsidRDefault="00FA41FC"/>
                        </w:txbxContent>
                      </wps:txbx>
                      <wps:bodyPr rot="0" vert="horz" wrap="square" lIns="91440" tIns="45720" rIns="91440" bIns="45720" anchor="t" anchorCtr="0">
                        <a:noAutofit/>
                      </wps:bodyPr>
                    </wps:wsp>
                  </a:graphicData>
                </a:graphic>
                <wp14:sizeRelH relativeFrom="margin">
                  <wp14:pctWidth>40000</wp14:pctWidth>
                </wp14:sizeRelH>
                <wp14:sizeRelV relativeFrom="page">
                  <wp14:pctHeight>0</wp14:pctHeight>
                </wp14:sizeRelV>
              </wp:anchor>
            </w:drawing>
          </mc:Choice>
          <mc:Fallback>
            <w:pict>
              <v:shape id="_x0000_s1176" type="#_x0000_t202" style="position:absolute;left:0;text-align:left;margin-left:262.95pt;margin-top:14.1pt;width:185.9pt;height:105.45pt;z-index:2519490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" fillcolor="#f2f2f2 [3052]" stroked="f">
                <v:textbox>
                  <w:txbxContent>
                    <w:p w14:paraId="59B0A2FB" w14:textId="03A78B79" w:rsidR="00FA41FC" w:rsidRDefault="00FA41FC">
                      <w:pPr>
                        <w:jc w:val="both"/>
                        <w:rPr>
                          <w:rFonts w:ascii="Swis721 Th BT" w:hAnsi="Swis721 Th BT"/>
                          <w:sz w:val="20"/>
                          <w:szCs w:val="20"/>
                        </w:rPr>
                      </w:pPr>
                      <w:r>
                        <w:rPr>
                          <w:rFonts w:ascii="Swis721 Th BT" w:hAnsi="Swis721 Th BT"/>
                          <w:sz w:val="20"/>
                          <w:szCs w:val="20"/>
                        </w:rPr>
                        <w:t xml:space="preserve">De acordo com um estudo, comparado com placebo, o escitalopram reduziu consideravelmente os fogachos após oito semanas. Além disso, outra evidência apontou sua eficácia na redução da insônia e melhora da qualidade subjetiva do sono em mulheres com fogachos. </w:t>
                      </w:r>
                    </w:p>
                    <w:p w14:paraId="68694E8C" w14:textId="77777777" w:rsidR="00FA41FC" w:rsidRDefault="00FA41FC"/>
                  </w:txbxContent>
                </v:textbox>
              </v:shape>
            </w:pict>
          </mc:Fallback>
        </mc:AlternateContent>
      </w:r>
    </w:p>
    <w:tbl>
      <w:tblPr>
        <w:tblStyle w:val="Tabelacomgrade"/>
        <w:tblW w:w="467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673"/>
      </w:tblGrid>
      <w:tr w:rsidR="00CD65C2" w14:paraId="6BBCF231" w14:textId="77777777">
        <w:trPr>
          <w:trHeight w:val="515"/>
        </w:trPr>
        <w:tc>
          <w:tcPr>
            <w:tcW w:w="46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2AF7491F" w14:textId="77777777" w:rsidR="00CD65C2" w:rsidRDefault="00FA41FC">
            <w:pPr>
              <w:pStyle w:val="Corpo"/>
              <w:jc w:val="center"/>
              <w:rPr>
                <w:rFonts w:hint="eastAsia"/>
                <w:b/>
                <w:color w:val="FFFFFF" w:themeColor="background1"/>
              </w:rPr>
            </w:pPr>
            <w:r>
              <w:rPr>
                <w:b/>
                <w:color w:val="FFFFFF" w:themeColor="background1"/>
                <w:sz w:val="22"/>
              </w:rPr>
              <w:t>Cápsulas de Escitalopram</w:t>
            </w:r>
          </w:p>
        </w:tc>
      </w:tr>
      <w:tr w:rsidR="00CD65C2" w14:paraId="16ED1B7F" w14:textId="77777777">
        <w:trPr>
          <w:trHeight w:val="515"/>
        </w:trPr>
        <w:tc>
          <w:tcPr>
            <w:tcW w:w="46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AA42A07" w14:textId="77777777" w:rsidR="00CD65C2" w:rsidRDefault="00FA41FC">
            <w:pPr>
              <w:pStyle w:val="Corpo"/>
              <w:rPr>
                <w:rFonts w:hint="eastAsia"/>
                <w:color w:val="404040" w:themeColor="text1" w:themeTint="BF"/>
              </w:rPr>
            </w:pPr>
            <w:r>
              <w:rPr>
                <w:color w:val="404040" w:themeColor="text1" w:themeTint="BF"/>
              </w:rPr>
              <w:t>Escitalopram...................................10 a 20 mg</w:t>
            </w:r>
          </w:p>
        </w:tc>
      </w:tr>
      <w:tr w:rsidR="00CD65C2" w14:paraId="60A876A0" w14:textId="77777777">
        <w:trPr>
          <w:trHeight w:val="586"/>
        </w:trPr>
        <w:tc>
          <w:tcPr>
            <w:tcW w:w="46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1449F85" w14:textId="00B9E78C" w:rsidR="00CD65C2" w:rsidRDefault="00FA41FC">
            <w:pPr>
              <w:pStyle w:val="Corpo"/>
              <w:jc w:val="center"/>
              <w:rPr>
                <w:rFonts w:hint="eastAsia"/>
                <w:color w:val="404040" w:themeColor="text1" w:themeTint="BF"/>
              </w:rPr>
            </w:pPr>
            <w:r>
              <w:rPr>
                <w:color w:val="404040" w:themeColor="text1" w:themeTint="BF"/>
              </w:rPr>
              <w:t>Excipiente q.s.p. ..............................1 Cápsula</w:t>
            </w:r>
          </w:p>
        </w:tc>
      </w:tr>
    </w:tbl>
    <w:p w14:paraId="39DBB2A4" w14:textId="77777777" w:rsidR="00CD65C2" w:rsidRDefault="00FA41FC">
      <w:pPr>
        <w:pStyle w:val="SemEspaamento"/>
        <w:ind w:right="4676"/>
        <w:jc w:val="center"/>
      </w:pPr>
      <w:r>
        <w:rPr>
          <w:rFonts w:ascii="Swis721 Th BT" w:eastAsia="MS Mincho" w:hAnsi="Swis721 Th BT"/>
          <w:color w:val="404040" w:themeColor="text1" w:themeTint="BF"/>
        </w:rPr>
        <w:t>Administrar 1 cápsula ao dia ou conforme orientação médica.</w:t>
      </w:r>
    </w:p>
    <w:p w14:paraId="3C61013D" w14:textId="77777777" w:rsidR="00CD65C2" w:rsidRDefault="00CD65C2">
      <w:pPr>
        <w:pStyle w:val="SemEspaamento"/>
      </w:pPr>
    </w:p>
    <w:p w14:paraId="70795BD2" w14:textId="77777777" w:rsidR="00CD65C2" w:rsidRDefault="00CD65C2">
      <w:pPr>
        <w:pStyle w:val="SemEspaamento"/>
      </w:pPr>
    </w:p>
    <w:p w14:paraId="7AC47F3F" w14:textId="77777777" w:rsidR="00CD65C2" w:rsidRDefault="00FA41FC">
      <w:pPr>
        <w:pStyle w:val="SemEspaamento"/>
      </w:pPr>
      <w:r>
        <w:rPr>
          <w:b/>
          <w:i/>
          <w:noProof/>
          <w:lang w:eastAsia="pt-BR"/>
        </w:rPr>
        <mc:AlternateContent>
          <mc:Choice Requires="wps">
            <w:drawing>
              <wp:anchor distT="45720" distB="45720" distL="114300" distR="114300" simplePos="0" relativeHeight="251950080" behindDoc="0" locked="0" layoutInCell="1" allowOverlap="1">
                <wp:simplePos x="0" y="0"/>
                <wp:positionH relativeFrom="column">
                  <wp:posOffset>3339465</wp:posOffset>
                </wp:positionH>
                <wp:positionV relativeFrom="paragraph">
                  <wp:posOffset>132080</wp:posOffset>
                </wp:positionV>
                <wp:extent cx="2360930" cy="1458595"/>
                <wp:effectExtent l="0" t="0" r="1270" b="8255"/>
                <wp:wrapNone/>
                <wp:docPr id="73965785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58685"/>
                        </a:xfrm>
                        <a:prstGeom prst="rect">
                          <a:avLst/>
                        </a:prstGeom>
                        <a:solidFill>
                          <a:schemeClr val="bg1">
                            <a:lumMod val="95000"/>
                          </a:schemeClr>
                        </a:solidFill>
                        <a:ln w="9525">
                          <a:noFill/>
                          <a:miter lim="800000"/>
                        </a:ln>
                      </wps:spPr>
                      <wps:txbx>
                        <w:txbxContent>
                          <w:p w14:paraId="5E372484" w14:textId="77777777" w:rsidR="00FA41FC" w:rsidRDefault="00FA41FC">
                            <w:pPr>
                              <w:jc w:val="both"/>
                              <w:rPr>
                                <w:rFonts w:ascii="Swis721 Th BT" w:hAnsi="Swis721 Th BT"/>
                                <w:sz w:val="20"/>
                                <w:szCs w:val="20"/>
                              </w:rPr>
                            </w:pPr>
                            <w:r>
                              <w:rPr>
                                <w:rFonts w:ascii="Swis721 Th BT" w:hAnsi="Swis721 Th BT"/>
                                <w:sz w:val="20"/>
                                <w:szCs w:val="20"/>
                              </w:rPr>
                              <w:t>A paroxetina na dose de 7,5 mg ao dia foi bem tolerada e eficaz na redução da frequência e severidade dos sintomas vasomotores na menopausa. Na dose de 12,5 mg e 20 mg, demonstrou reduzir significativamente a frequência dos fogachos nas mulheres na menopausa.</w:t>
                            </w:r>
                          </w:p>
                          <w:p w14:paraId="0480CE13" w14:textId="77777777" w:rsidR="00FA41FC" w:rsidRDefault="00FA41FC"/>
                        </w:txbxContent>
                      </wps:txbx>
                      <wps:bodyPr rot="0" vert="horz" wrap="square" lIns="91440" tIns="45720" rIns="91440" bIns="45720" anchor="t" anchorCtr="0">
                        <a:noAutofit/>
                      </wps:bodyPr>
                    </wps:wsp>
                  </a:graphicData>
                </a:graphic>
                <wp14:sizeRelH relativeFrom="margin">
                  <wp14:pctWidth>40000</wp14:pctWidth>
                </wp14:sizeRelH>
                <wp14:sizeRelV relativeFrom="page">
                  <wp14:pctHeight>0</wp14:pctHeight>
                </wp14:sizeRelV>
              </wp:anchor>
            </w:drawing>
          </mc:Choice>
          <mc:Fallback>
            <w:pict>
              <v:shape id="_x0000_s1177" type="#_x0000_t202" style="position:absolute;margin-left:262.95pt;margin-top:10.4pt;width:185.9pt;height:114.85pt;z-index:25195008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" fillcolor="#f2f2f2 [3052]" stroked="f">
                <v:textbox>
                  <w:txbxContent>
                    <w:p w14:paraId="5E372484" w14:textId="77777777" w:rsidR="00FA41FC" w:rsidRDefault="00FA41FC">
                      <w:pPr>
                        <w:jc w:val="both"/>
                        <w:rPr>
                          <w:rFonts w:ascii="Swis721 Th BT" w:hAnsi="Swis721 Th BT"/>
                          <w:sz w:val="20"/>
                          <w:szCs w:val="20"/>
                        </w:rPr>
                      </w:pPr>
                      <w:r>
                        <w:rPr>
                          <w:rFonts w:ascii="Swis721 Th BT" w:hAnsi="Swis721 Th BT"/>
                          <w:sz w:val="20"/>
                          <w:szCs w:val="20"/>
                        </w:rPr>
                        <w:t>A paroxetina na dose de 7,5 mg ao dia foi bem tolerada e eficaz na redução da frequência e severidade dos sintomas vasomotores na menopausa. Na dose de 12,5 mg e 20 mg, demonstrou reduzir significativamente a frequência dos fogachos nas mulheres na menopausa.</w:t>
                      </w:r>
                    </w:p>
                    <w:p w14:paraId="0480CE13" w14:textId="77777777" w:rsidR="00FA41FC" w:rsidRDefault="00FA41FC"/>
                  </w:txbxContent>
                </v:textbox>
              </v:shape>
            </w:pict>
          </mc:Fallback>
        </mc:AlternateContent>
      </w:r>
    </w:p>
    <w:tbl>
      <w:tblPr>
        <w:tblStyle w:val="Tabelacomgrade"/>
        <w:tblW w:w="467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673"/>
      </w:tblGrid>
      <w:tr w:rsidR="00CD65C2" w14:paraId="0FAD2CD7" w14:textId="77777777">
        <w:trPr>
          <w:trHeight w:val="515"/>
        </w:trPr>
        <w:tc>
          <w:tcPr>
            <w:tcW w:w="46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5C6E5484" w14:textId="77777777" w:rsidR="00CD65C2" w:rsidRDefault="00FA41FC">
            <w:pPr>
              <w:pStyle w:val="Corpo"/>
              <w:jc w:val="center"/>
              <w:rPr>
                <w:rFonts w:hint="eastAsia"/>
                <w:b/>
                <w:color w:val="FFFFFF" w:themeColor="background1"/>
              </w:rPr>
            </w:pPr>
            <w:r>
              <w:rPr>
                <w:b/>
                <w:color w:val="FFFFFF" w:themeColor="background1"/>
                <w:sz w:val="22"/>
              </w:rPr>
              <w:t>Cápsulas de Paroxetina</w:t>
            </w:r>
          </w:p>
        </w:tc>
      </w:tr>
      <w:tr w:rsidR="00CD65C2" w14:paraId="20FDF9FC" w14:textId="77777777">
        <w:trPr>
          <w:trHeight w:val="515"/>
        </w:trPr>
        <w:tc>
          <w:tcPr>
            <w:tcW w:w="46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19DE244" w14:textId="77777777" w:rsidR="00CD65C2" w:rsidRDefault="00FA41FC">
            <w:pPr>
              <w:pStyle w:val="Corpo"/>
              <w:rPr>
                <w:rFonts w:hint="eastAsia"/>
                <w:color w:val="404040" w:themeColor="text1" w:themeTint="BF"/>
              </w:rPr>
            </w:pPr>
            <w:r>
              <w:rPr>
                <w:color w:val="404040" w:themeColor="text1" w:themeTint="BF"/>
              </w:rPr>
              <w:t>Paroxetina..............................................7,5 mg</w:t>
            </w:r>
          </w:p>
        </w:tc>
      </w:tr>
      <w:tr w:rsidR="00CD65C2" w14:paraId="2CD3F69E" w14:textId="77777777">
        <w:trPr>
          <w:trHeight w:val="586"/>
        </w:trPr>
        <w:tc>
          <w:tcPr>
            <w:tcW w:w="46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A6C03A0" w14:textId="76F483AE" w:rsidR="00CD65C2" w:rsidRDefault="00FA41FC">
            <w:pPr>
              <w:pStyle w:val="Corpo"/>
              <w:jc w:val="center"/>
              <w:rPr>
                <w:rFonts w:hint="eastAsia"/>
                <w:color w:val="404040" w:themeColor="text1" w:themeTint="BF"/>
              </w:rPr>
            </w:pPr>
            <w:r>
              <w:rPr>
                <w:color w:val="404040" w:themeColor="text1" w:themeTint="BF"/>
              </w:rPr>
              <w:t>Excipiente q.s.p. ..............................1 Cápsula</w:t>
            </w:r>
          </w:p>
        </w:tc>
      </w:tr>
    </w:tbl>
    <w:p w14:paraId="5AA8D354" w14:textId="77777777" w:rsidR="00CD65C2" w:rsidRDefault="00FA41FC">
      <w:pPr>
        <w:pStyle w:val="SemEspaamento"/>
        <w:ind w:right="4676"/>
        <w:jc w:val="center"/>
      </w:pPr>
      <w:r>
        <w:rPr>
          <w:rFonts w:ascii="Swis721 Th BT" w:eastAsia="MS Mincho" w:hAnsi="Swis721 Th BT"/>
          <w:color w:val="404040" w:themeColor="text1" w:themeTint="BF"/>
        </w:rPr>
        <w:t>Administrar 1 cápsula ao dia ou conforme orientação médica.</w:t>
      </w:r>
    </w:p>
    <w:p w14:paraId="19C025BE" w14:textId="77777777" w:rsidR="00CD65C2" w:rsidRDefault="00CD65C2">
      <w:pPr>
        <w:pStyle w:val="SemEspaamento"/>
      </w:pPr>
    </w:p>
    <w:p w14:paraId="7B74B6E6" w14:textId="77777777" w:rsidR="00CD65C2" w:rsidRDefault="00CD65C2">
      <w:pPr>
        <w:pStyle w:val="SemEspaamento"/>
      </w:pPr>
    </w:p>
    <w:p w14:paraId="47997D55" w14:textId="77777777" w:rsidR="00CD65C2" w:rsidRDefault="00FA41FC">
      <w:pPr>
        <w:pStyle w:val="SemEspaamento"/>
      </w:pPr>
      <w:r>
        <w:rPr>
          <w:b/>
          <w:i/>
          <w:noProof/>
          <w:lang w:eastAsia="pt-BR"/>
        </w:rPr>
        <mc:AlternateContent>
          <mc:Choice Requires="wps">
            <w:drawing>
              <wp:anchor distT="45720" distB="45720" distL="114300" distR="114300" simplePos="0" relativeHeight="251951104" behindDoc="0" locked="0" layoutInCell="1" allowOverlap="1">
                <wp:simplePos x="0" y="0"/>
                <wp:positionH relativeFrom="column">
                  <wp:posOffset>3339465</wp:posOffset>
                </wp:positionH>
                <wp:positionV relativeFrom="paragraph">
                  <wp:posOffset>215900</wp:posOffset>
                </wp:positionV>
                <wp:extent cx="2360930" cy="1132205"/>
                <wp:effectExtent l="0" t="0" r="1270" b="0"/>
                <wp:wrapNone/>
                <wp:docPr id="7396578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32115"/>
                        </a:xfrm>
                        <a:prstGeom prst="rect">
                          <a:avLst/>
                        </a:prstGeom>
                        <a:solidFill>
                          <a:schemeClr val="bg1">
                            <a:lumMod val="95000"/>
                          </a:schemeClr>
                        </a:solidFill>
                        <a:ln w="9525">
                          <a:noFill/>
                          <a:miter lim="800000"/>
                        </a:ln>
                      </wps:spPr>
                      <wps:txbx>
                        <w:txbxContent>
                          <w:p w14:paraId="7B2B002D" w14:textId="77777777" w:rsidR="00FA41FC" w:rsidRDefault="00FA41FC">
                            <w:pPr>
                              <w:jc w:val="both"/>
                              <w:rPr>
                                <w:rFonts w:ascii="Swis721 Th BT" w:hAnsi="Swis721 Th BT"/>
                                <w:sz w:val="20"/>
                                <w:szCs w:val="20"/>
                              </w:rPr>
                            </w:pPr>
                            <w:r>
                              <w:rPr>
                                <w:rFonts w:ascii="Swis721 Th BT" w:hAnsi="Swis721 Th BT"/>
                                <w:sz w:val="20"/>
                                <w:szCs w:val="20"/>
                              </w:rPr>
                              <w:t>O tratamento com desvenlafaxina reduziu a frequência e a gravidade média dos sintomas vasomotores em mulheres na menopausa após 12 semanas. Seu efeito foi mantido por um ano.</w:t>
                            </w:r>
                          </w:p>
                          <w:p w14:paraId="3BB2ADFE" w14:textId="77777777" w:rsidR="00FA41FC" w:rsidRDefault="00FA41FC"/>
                        </w:txbxContent>
                      </wps:txbx>
                      <wps:bodyPr rot="0" vert="horz" wrap="square" lIns="91440" tIns="45720" rIns="91440" bIns="45720" anchor="t" anchorCtr="0">
                        <a:noAutofit/>
                      </wps:bodyPr>
                    </wps:wsp>
                  </a:graphicData>
                </a:graphic>
                <wp14:sizeRelH relativeFrom="margin">
                  <wp14:pctWidth>40000</wp14:pctWidth>
                </wp14:sizeRelH>
                <wp14:sizeRelV relativeFrom="page">
                  <wp14:pctHeight>0</wp14:pctHeight>
                </wp14:sizeRelV>
              </wp:anchor>
            </w:drawing>
          </mc:Choice>
          <mc:Fallback>
            <w:pict>
              <v:shape id="_x0000_s1178" type="#_x0000_t202" style="position:absolute;margin-left:262.95pt;margin-top:17pt;width:185.9pt;height:89.15pt;z-index:25195110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" fillcolor="#f2f2f2 [3052]" stroked="f">
                <v:textbox>
                  <w:txbxContent>
                    <w:p w14:paraId="7B2B002D" w14:textId="77777777" w:rsidR="00FA41FC" w:rsidRDefault="00FA41FC">
                      <w:pPr>
                        <w:jc w:val="both"/>
                        <w:rPr>
                          <w:rFonts w:ascii="Swis721 Th BT" w:hAnsi="Swis721 Th BT"/>
                          <w:sz w:val="20"/>
                          <w:szCs w:val="20"/>
                        </w:rPr>
                      </w:pPr>
                      <w:r>
                        <w:rPr>
                          <w:rFonts w:ascii="Swis721 Th BT" w:hAnsi="Swis721 Th BT"/>
                          <w:sz w:val="20"/>
                          <w:szCs w:val="20"/>
                        </w:rPr>
                        <w:t>O tratamento com desvenlafaxina reduziu a frequência e a gravidade média dos sintomas vasomotores em mulheres na menopausa após 12 semanas. Seu efeito foi mantido por um ano.</w:t>
                      </w:r>
                    </w:p>
                    <w:p w14:paraId="3BB2ADFE" w14:textId="77777777" w:rsidR="00FA41FC" w:rsidRDefault="00FA41FC"/>
                  </w:txbxContent>
                </v:textbox>
              </v:shape>
            </w:pict>
          </mc:Fallback>
        </mc:AlternateContent>
      </w:r>
    </w:p>
    <w:tbl>
      <w:tblPr>
        <w:tblStyle w:val="Tabelacomgrade"/>
        <w:tblW w:w="467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673"/>
      </w:tblGrid>
      <w:tr w:rsidR="00CD65C2" w14:paraId="6549987C" w14:textId="77777777">
        <w:trPr>
          <w:trHeight w:val="515"/>
        </w:trPr>
        <w:tc>
          <w:tcPr>
            <w:tcW w:w="46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50C9B5A0" w14:textId="77777777" w:rsidR="00CD65C2" w:rsidRDefault="00FA41FC">
            <w:pPr>
              <w:pStyle w:val="Corpo"/>
              <w:jc w:val="center"/>
              <w:rPr>
                <w:rFonts w:hint="eastAsia"/>
                <w:b/>
                <w:color w:val="FFFFFF" w:themeColor="background1"/>
              </w:rPr>
            </w:pPr>
            <w:r>
              <w:rPr>
                <w:b/>
                <w:color w:val="FFFFFF" w:themeColor="background1"/>
                <w:sz w:val="22"/>
              </w:rPr>
              <w:t>Cápsulas de Desvenlafaxina</w:t>
            </w:r>
          </w:p>
        </w:tc>
      </w:tr>
      <w:tr w:rsidR="00CD65C2" w14:paraId="65CB4EAB" w14:textId="77777777">
        <w:trPr>
          <w:trHeight w:val="515"/>
        </w:trPr>
        <w:tc>
          <w:tcPr>
            <w:tcW w:w="46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36BB353" w14:textId="77777777" w:rsidR="00CD65C2" w:rsidRDefault="00FA41FC">
            <w:pPr>
              <w:pStyle w:val="Corpo"/>
              <w:rPr>
                <w:rFonts w:hint="eastAsia"/>
                <w:color w:val="404040" w:themeColor="text1" w:themeTint="BF"/>
              </w:rPr>
            </w:pPr>
            <w:r>
              <w:rPr>
                <w:color w:val="404040" w:themeColor="text1" w:themeTint="BF"/>
              </w:rPr>
              <w:t>Desvenlafaxina .................................... 100 mg</w:t>
            </w:r>
          </w:p>
        </w:tc>
      </w:tr>
      <w:tr w:rsidR="00CD65C2" w14:paraId="663DD7B1" w14:textId="77777777">
        <w:trPr>
          <w:trHeight w:val="586"/>
        </w:trPr>
        <w:tc>
          <w:tcPr>
            <w:tcW w:w="46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395D5F4" w14:textId="1D6C8F4B" w:rsidR="00CD65C2" w:rsidRDefault="00FA41FC">
            <w:pPr>
              <w:pStyle w:val="Corpo"/>
              <w:jc w:val="center"/>
              <w:rPr>
                <w:rFonts w:hint="eastAsia"/>
                <w:color w:val="404040" w:themeColor="text1" w:themeTint="BF"/>
              </w:rPr>
            </w:pPr>
            <w:r>
              <w:rPr>
                <w:color w:val="404040" w:themeColor="text1" w:themeTint="BF"/>
              </w:rPr>
              <w:t>Excipiente q.s.p. ..............................1 Cápsula</w:t>
            </w:r>
          </w:p>
        </w:tc>
      </w:tr>
    </w:tbl>
    <w:p w14:paraId="6D888A46" w14:textId="77777777" w:rsidR="00CD65C2" w:rsidRDefault="00FA41FC">
      <w:pPr>
        <w:pStyle w:val="SemEspaamento"/>
        <w:ind w:right="4676"/>
        <w:jc w:val="center"/>
      </w:pPr>
      <w:r>
        <w:rPr>
          <w:rFonts w:ascii="Swis721 Th BT" w:eastAsia="MS Mincho" w:hAnsi="Swis721 Th BT"/>
          <w:color w:val="404040" w:themeColor="text1" w:themeTint="BF"/>
        </w:rPr>
        <w:t>Administrar 1 cápsula ao dia ou conforme orientação médica.</w:t>
      </w:r>
    </w:p>
    <w:p w14:paraId="2A2D8BA1" w14:textId="77777777" w:rsidR="00CD65C2" w:rsidRDefault="00CD65C2">
      <w:pPr>
        <w:pStyle w:val="SemEspaamento"/>
      </w:pPr>
    </w:p>
    <w:p w14:paraId="30525E0E" w14:textId="77777777" w:rsidR="00CD65C2" w:rsidRDefault="00FA41FC">
      <w:pPr>
        <w:pStyle w:val="SemEspaamento"/>
      </w:pPr>
      <w:r>
        <w:rPr>
          <w:b/>
          <w:i/>
          <w:noProof/>
          <w:lang w:eastAsia="pt-BR"/>
        </w:rPr>
        <mc:AlternateContent>
          <mc:Choice Requires="wps">
            <w:drawing>
              <wp:anchor distT="45720" distB="45720" distL="114300" distR="114300" simplePos="0" relativeHeight="251952128" behindDoc="0" locked="0" layoutInCell="1" allowOverlap="1">
                <wp:simplePos x="0" y="0"/>
                <wp:positionH relativeFrom="column">
                  <wp:posOffset>3339465</wp:posOffset>
                </wp:positionH>
                <wp:positionV relativeFrom="paragraph">
                  <wp:posOffset>200660</wp:posOffset>
                </wp:positionV>
                <wp:extent cx="2360930" cy="816610"/>
                <wp:effectExtent l="0" t="0" r="1270" b="3175"/>
                <wp:wrapNone/>
                <wp:docPr id="73965786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16428"/>
                        </a:xfrm>
                        <a:prstGeom prst="rect">
                          <a:avLst/>
                        </a:prstGeom>
                        <a:solidFill>
                          <a:schemeClr val="bg1">
                            <a:lumMod val="95000"/>
                          </a:schemeClr>
                        </a:solidFill>
                        <a:ln w="9525">
                          <a:noFill/>
                          <a:miter lim="800000"/>
                        </a:ln>
                      </wps:spPr>
                      <wps:txbx>
                        <w:txbxContent>
                          <w:p w14:paraId="764D306E" w14:textId="77777777" w:rsidR="00FA41FC" w:rsidRDefault="00FA41FC">
                            <w:pPr>
                              <w:jc w:val="both"/>
                              <w:rPr>
                                <w:rFonts w:ascii="Swis721 Th BT" w:hAnsi="Swis721 Th BT"/>
                                <w:sz w:val="20"/>
                                <w:szCs w:val="20"/>
                              </w:rPr>
                            </w:pPr>
                            <w:r>
                              <w:rPr>
                                <w:rFonts w:ascii="Swis721 Th BT" w:hAnsi="Swis721 Th BT"/>
                                <w:sz w:val="20"/>
                                <w:szCs w:val="20"/>
                              </w:rPr>
                              <w:t>Evidências demonstraram que a fluoxetina é eficaz no tratamento dos fogachos em mulheres na pós-menopausa.</w:t>
                            </w:r>
                          </w:p>
                          <w:p w14:paraId="0A47EDF7" w14:textId="77777777" w:rsidR="00FA41FC" w:rsidRDefault="00FA41FC"/>
                        </w:txbxContent>
                      </wps:txbx>
                      <wps:bodyPr rot="0" vert="horz" wrap="square" lIns="91440" tIns="45720" rIns="91440" bIns="45720" anchor="t" anchorCtr="0">
                        <a:noAutofit/>
                      </wps:bodyPr>
                    </wps:wsp>
                  </a:graphicData>
                </a:graphic>
                <wp14:sizeRelH relativeFrom="margin">
                  <wp14:pctWidth>40000</wp14:pctWidth>
                </wp14:sizeRelH>
                <wp14:sizeRelV relativeFrom="page">
                  <wp14:pctHeight>0</wp14:pctHeight>
                </wp14:sizeRelV>
              </wp:anchor>
            </w:drawing>
          </mc:Choice>
          <mc:Fallback>
            <w:pict>
              <v:shape id="_x0000_s1179" type="#_x0000_t202" style="position:absolute;margin-left:262.95pt;margin-top:15.8pt;width:185.9pt;height:64.3pt;z-index:25195212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" fillcolor="#f2f2f2 [3052]" stroked="f">
                <v:textbox>
                  <w:txbxContent>
                    <w:p w14:paraId="764D306E" w14:textId="77777777" w:rsidR="00FA41FC" w:rsidRDefault="00FA41FC">
                      <w:pPr>
                        <w:jc w:val="both"/>
                        <w:rPr>
                          <w:rFonts w:ascii="Swis721 Th BT" w:hAnsi="Swis721 Th BT"/>
                          <w:sz w:val="20"/>
                          <w:szCs w:val="20"/>
                        </w:rPr>
                      </w:pPr>
                      <w:r>
                        <w:rPr>
                          <w:rFonts w:ascii="Swis721 Th BT" w:hAnsi="Swis721 Th BT"/>
                          <w:sz w:val="20"/>
                          <w:szCs w:val="20"/>
                        </w:rPr>
                        <w:t>Evidências demonstraram que a fluoxetina é eficaz no tratamento dos fogachos em mulheres na pós-menopausa.</w:t>
                      </w:r>
                    </w:p>
                    <w:p w14:paraId="0A47EDF7" w14:textId="77777777" w:rsidR="00FA41FC" w:rsidRDefault="00FA41FC"/>
                  </w:txbxContent>
                </v:textbox>
              </v:shape>
            </w:pict>
          </mc:Fallback>
        </mc:AlternateContent>
      </w:r>
    </w:p>
    <w:tbl>
      <w:tblPr>
        <w:tblStyle w:val="Tabelacomgrade"/>
        <w:tblW w:w="467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673"/>
      </w:tblGrid>
      <w:tr w:rsidR="00CD65C2" w14:paraId="5D9AC918" w14:textId="77777777">
        <w:trPr>
          <w:trHeight w:val="515"/>
        </w:trPr>
        <w:tc>
          <w:tcPr>
            <w:tcW w:w="46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0480D5E8" w14:textId="77777777" w:rsidR="00CD65C2" w:rsidRDefault="00FA41FC">
            <w:pPr>
              <w:pStyle w:val="Corpo"/>
              <w:jc w:val="center"/>
              <w:rPr>
                <w:rFonts w:hint="eastAsia"/>
                <w:b/>
                <w:color w:val="FFFFFF" w:themeColor="background1"/>
              </w:rPr>
            </w:pPr>
            <w:r>
              <w:rPr>
                <w:b/>
                <w:color w:val="FFFFFF" w:themeColor="background1"/>
                <w:sz w:val="22"/>
              </w:rPr>
              <w:t>Cápsulas de Fluoxetina</w:t>
            </w:r>
          </w:p>
        </w:tc>
      </w:tr>
      <w:tr w:rsidR="00CD65C2" w14:paraId="21B1840C" w14:textId="77777777">
        <w:trPr>
          <w:trHeight w:val="515"/>
        </w:trPr>
        <w:tc>
          <w:tcPr>
            <w:tcW w:w="46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621972E" w14:textId="77777777" w:rsidR="00CD65C2" w:rsidRDefault="00FA41FC">
            <w:pPr>
              <w:pStyle w:val="Corpo"/>
              <w:rPr>
                <w:rFonts w:hint="eastAsia"/>
                <w:color w:val="404040" w:themeColor="text1" w:themeTint="BF"/>
              </w:rPr>
            </w:pPr>
            <w:r>
              <w:rPr>
                <w:color w:val="404040" w:themeColor="text1" w:themeTint="BF"/>
              </w:rPr>
              <w:t>Fluoxetina............................................... 20 mg</w:t>
            </w:r>
          </w:p>
        </w:tc>
      </w:tr>
      <w:tr w:rsidR="00CD65C2" w14:paraId="18E57EF7" w14:textId="77777777">
        <w:trPr>
          <w:trHeight w:val="586"/>
        </w:trPr>
        <w:tc>
          <w:tcPr>
            <w:tcW w:w="46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2238D03" w14:textId="68C1F09B" w:rsidR="00CD65C2" w:rsidRDefault="00FA41FC">
            <w:pPr>
              <w:pStyle w:val="Corpo"/>
              <w:jc w:val="center"/>
              <w:rPr>
                <w:rFonts w:hint="eastAsia"/>
                <w:color w:val="404040" w:themeColor="text1" w:themeTint="BF"/>
              </w:rPr>
            </w:pPr>
            <w:r>
              <w:rPr>
                <w:color w:val="404040" w:themeColor="text1" w:themeTint="BF"/>
              </w:rPr>
              <w:t>Excipiente q.s.p. ..............................1 Cápsula</w:t>
            </w:r>
          </w:p>
        </w:tc>
      </w:tr>
    </w:tbl>
    <w:p w14:paraId="37447929" w14:textId="77777777" w:rsidR="00CD65C2" w:rsidRDefault="00FA41FC">
      <w:pPr>
        <w:pStyle w:val="SemEspaamento"/>
        <w:ind w:right="4676"/>
        <w:jc w:val="center"/>
      </w:pPr>
      <w:r>
        <w:rPr>
          <w:rFonts w:ascii="Swis721 Th BT" w:eastAsia="MS Mincho" w:hAnsi="Swis721 Th BT"/>
          <w:color w:val="404040" w:themeColor="text1" w:themeTint="BF"/>
        </w:rPr>
        <w:t>Administrar 1 cápsula ao dia ou conforme orientação médica.</w:t>
      </w:r>
    </w:p>
    <w:p w14:paraId="58E8F2E8" w14:textId="77777777" w:rsidR="00CD65C2" w:rsidRDefault="00CD65C2">
      <w:pPr>
        <w:pStyle w:val="SemEspaamento"/>
      </w:pPr>
    </w:p>
    <w:p w14:paraId="7BBBA663" w14:textId="77777777" w:rsidR="00CD65C2" w:rsidRDefault="00FA41FC">
      <w:pPr>
        <w:rPr>
          <w:lang w:eastAsia="pt-BR"/>
        </w:rPr>
      </w:pPr>
      <w:r>
        <w:rPr>
          <w:noProof/>
          <w:lang w:eastAsia="pt-BR"/>
        </w:rPr>
        <w:drawing>
          <wp:anchor distT="0" distB="0" distL="114300" distR="114300" simplePos="0" relativeHeight="251936768" behindDoc="1" locked="0" layoutInCell="1" allowOverlap="1">
            <wp:simplePos x="0" y="0"/>
            <wp:positionH relativeFrom="margin">
              <wp:posOffset>-2176780</wp:posOffset>
            </wp:positionH>
            <wp:positionV relativeFrom="paragraph">
              <wp:posOffset>-882015</wp:posOffset>
            </wp:positionV>
            <wp:extent cx="10601325" cy="7067550"/>
            <wp:effectExtent l="0" t="0" r="9525" b="0"/>
            <wp:wrapNone/>
            <wp:docPr id="739657826" name="Imagem 739657826" descr="C:\Users\Heloisa\Downloads\shutterstock_748723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657826" name="Imagem 739657826" descr="C:\Users\Heloisa\Downloads\shutterstock_74872315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0601325" cy="7067550"/>
                    </a:xfrm>
                    <a:prstGeom prst="rect">
                      <a:avLst/>
                    </a:prstGeom>
                    <a:noFill/>
                    <a:ln>
                      <a:noFill/>
                    </a:ln>
                  </pic:spPr>
                </pic:pic>
              </a:graphicData>
            </a:graphic>
          </wp:anchor>
        </w:drawing>
      </w:r>
    </w:p>
    <w:p w14:paraId="68EB2AAF" w14:textId="77777777" w:rsidR="00CD65C2" w:rsidRDefault="00CD65C2">
      <w:pPr>
        <w:rPr>
          <w:lang w:eastAsia="pt-BR"/>
        </w:rPr>
      </w:pPr>
    </w:p>
    <w:p w14:paraId="20D16C32" w14:textId="77777777" w:rsidR="00CD65C2" w:rsidRDefault="00CD65C2">
      <w:pPr>
        <w:rPr>
          <w:lang w:eastAsia="pt-BR"/>
        </w:rPr>
      </w:pPr>
    </w:p>
    <w:p w14:paraId="1D306DDE" w14:textId="77777777" w:rsidR="00CD65C2" w:rsidRDefault="00CD65C2">
      <w:pPr>
        <w:rPr>
          <w:lang w:eastAsia="pt-BR"/>
        </w:rPr>
      </w:pPr>
    </w:p>
    <w:p w14:paraId="65F39DDC" w14:textId="77777777" w:rsidR="00CD65C2" w:rsidRDefault="00CD65C2">
      <w:pPr>
        <w:rPr>
          <w:lang w:eastAsia="pt-BR"/>
        </w:rPr>
      </w:pPr>
    </w:p>
    <w:p w14:paraId="4DFBF450" w14:textId="77777777" w:rsidR="00CD65C2" w:rsidRDefault="00CD65C2">
      <w:pPr>
        <w:rPr>
          <w:lang w:eastAsia="pt-BR"/>
        </w:rPr>
      </w:pPr>
    </w:p>
    <w:p w14:paraId="55D87069" w14:textId="77777777" w:rsidR="00CD65C2" w:rsidRDefault="00CD65C2">
      <w:pPr>
        <w:rPr>
          <w:lang w:eastAsia="pt-BR"/>
        </w:rPr>
      </w:pPr>
    </w:p>
    <w:p w14:paraId="6B5D53B1" w14:textId="77777777" w:rsidR="00CD65C2" w:rsidRDefault="00CD65C2">
      <w:pPr>
        <w:rPr>
          <w:lang w:eastAsia="pt-BR"/>
        </w:rPr>
      </w:pPr>
    </w:p>
    <w:p w14:paraId="7660AE8D" w14:textId="77777777" w:rsidR="00CD65C2" w:rsidRDefault="00CD65C2">
      <w:pPr>
        <w:rPr>
          <w:lang w:eastAsia="pt-BR"/>
        </w:rPr>
      </w:pPr>
    </w:p>
    <w:p w14:paraId="76153DCC" w14:textId="77777777" w:rsidR="00CD65C2" w:rsidRDefault="00CD65C2">
      <w:pPr>
        <w:rPr>
          <w:lang w:eastAsia="pt-BR"/>
        </w:rPr>
      </w:pPr>
    </w:p>
    <w:p w14:paraId="27F0AE93" w14:textId="77777777" w:rsidR="00CD65C2" w:rsidRDefault="00CD65C2">
      <w:pPr>
        <w:rPr>
          <w:lang w:eastAsia="pt-BR"/>
        </w:rPr>
      </w:pPr>
    </w:p>
    <w:p w14:paraId="576613CB" w14:textId="77777777" w:rsidR="00CD65C2" w:rsidRDefault="00CD65C2">
      <w:pPr>
        <w:rPr>
          <w:lang w:eastAsia="pt-BR"/>
        </w:rPr>
      </w:pPr>
    </w:p>
    <w:p w14:paraId="02123D26" w14:textId="77777777" w:rsidR="00CD65C2" w:rsidRDefault="00CD65C2">
      <w:pPr>
        <w:rPr>
          <w:lang w:eastAsia="pt-BR"/>
        </w:rPr>
      </w:pPr>
    </w:p>
    <w:p w14:paraId="10C08B96" w14:textId="77777777" w:rsidR="00CD65C2" w:rsidRDefault="00CD65C2">
      <w:pPr>
        <w:rPr>
          <w:lang w:eastAsia="pt-BR"/>
        </w:rPr>
      </w:pPr>
    </w:p>
    <w:p w14:paraId="45B7B67C" w14:textId="77777777" w:rsidR="00CD65C2" w:rsidRDefault="00CD65C2">
      <w:pPr>
        <w:rPr>
          <w:lang w:eastAsia="pt-BR"/>
        </w:rPr>
      </w:pPr>
    </w:p>
    <w:p w14:paraId="33E09E58" w14:textId="77777777" w:rsidR="00CD65C2" w:rsidRDefault="00CD65C2">
      <w:pPr>
        <w:rPr>
          <w:lang w:eastAsia="pt-BR"/>
        </w:rPr>
      </w:pPr>
    </w:p>
    <w:p w14:paraId="4B277401" w14:textId="77777777" w:rsidR="00CD65C2" w:rsidRDefault="00CD65C2">
      <w:pPr>
        <w:rPr>
          <w:lang w:eastAsia="pt-BR"/>
        </w:rPr>
      </w:pPr>
    </w:p>
    <w:p w14:paraId="439A22A1" w14:textId="77777777" w:rsidR="00CD65C2" w:rsidRDefault="00CD65C2">
      <w:pPr>
        <w:rPr>
          <w:lang w:eastAsia="pt-BR"/>
        </w:rPr>
      </w:pPr>
    </w:p>
    <w:p w14:paraId="0B2F5348" w14:textId="77777777" w:rsidR="00CD65C2" w:rsidRDefault="00CD65C2">
      <w:pPr>
        <w:rPr>
          <w:lang w:eastAsia="pt-BR"/>
        </w:rPr>
      </w:pPr>
    </w:p>
    <w:p w14:paraId="319AAE00" w14:textId="77777777" w:rsidR="00CD65C2" w:rsidRDefault="00CD65C2">
      <w:pPr>
        <w:rPr>
          <w:lang w:eastAsia="pt-BR"/>
        </w:rPr>
      </w:pPr>
    </w:p>
    <w:p w14:paraId="1611FC5C" w14:textId="77777777" w:rsidR="00CD65C2" w:rsidRDefault="00CD65C2">
      <w:pPr>
        <w:rPr>
          <w:lang w:eastAsia="pt-BR"/>
        </w:rPr>
      </w:pPr>
    </w:p>
    <w:p w14:paraId="4B0B1E67" w14:textId="77777777" w:rsidR="00CD65C2" w:rsidRDefault="00CD65C2"/>
    <w:p w14:paraId="049A2C1D" w14:textId="77777777" w:rsidR="00CD65C2" w:rsidRDefault="00CD65C2"/>
    <w:p w14:paraId="299B0E15" w14:textId="77777777" w:rsidR="00CD65C2" w:rsidRDefault="00CD65C2"/>
    <w:p w14:paraId="3C780249" w14:textId="77777777" w:rsidR="00CD65C2" w:rsidRDefault="00FA41FC">
      <w:pPr>
        <w:pStyle w:val="Ttulo1"/>
        <w:jc w:val="center"/>
        <w:rPr>
          <w:rFonts w:hint="eastAsia"/>
        </w:rPr>
      </w:pPr>
      <w:bookmarkStart w:id="118" w:name="_Toc165537266"/>
      <w:r>
        <w:t>Disfunção Sexual Feminina</w:t>
      </w:r>
      <w:bookmarkEnd w:id="118"/>
    </w:p>
    <w:p w14:paraId="62FC8F5F" w14:textId="77777777" w:rsidR="00CD65C2" w:rsidRDefault="00CD65C2">
      <w:pPr>
        <w:pStyle w:val="SemEspaamento"/>
      </w:pPr>
    </w:p>
    <w:p w14:paraId="0E151C16" w14:textId="77777777" w:rsidR="00CD65C2" w:rsidRDefault="00CD65C2">
      <w:pPr>
        <w:pStyle w:val="SemEspaamento"/>
      </w:pPr>
    </w:p>
    <w:p w14:paraId="5AE33309" w14:textId="77777777" w:rsidR="00CD65C2" w:rsidRDefault="00CD65C2">
      <w:pPr>
        <w:pStyle w:val="SemEspaamento"/>
      </w:pPr>
    </w:p>
    <w:p w14:paraId="5929BF34" w14:textId="77777777" w:rsidR="00CD65C2" w:rsidRDefault="00CD65C2">
      <w:pPr>
        <w:pStyle w:val="SemEspaamento"/>
      </w:pPr>
    </w:p>
    <w:p w14:paraId="31990D0D" w14:textId="77777777" w:rsidR="00CD65C2" w:rsidRDefault="00FA41FC">
      <w:pPr>
        <w:pStyle w:val="Ttulo1"/>
        <w:jc w:val="center"/>
        <w:rPr>
          <w:rFonts w:hint="eastAsia"/>
        </w:rPr>
      </w:pPr>
      <w:bookmarkStart w:id="119" w:name="_Toc165537267"/>
      <w:r>
        <w:rPr>
          <w:szCs w:val="23"/>
        </w:rPr>
        <w:t>Zinco</w:t>
      </w:r>
      <w:bookmarkEnd w:id="119"/>
    </w:p>
    <w:p w14:paraId="5796796C" w14:textId="77777777" w:rsidR="00CD65C2" w:rsidRDefault="00FA41FC">
      <w:pPr>
        <w:pStyle w:val="Subtitulocorpo"/>
        <w:rPr>
          <w:rFonts w:hint="eastAsia"/>
        </w:rPr>
      </w:pPr>
      <w:r>
        <w:t>Benéfico para Mulheres na Pós-Menopausa com Disfunção Sexual</w:t>
      </w:r>
    </w:p>
    <w:p w14:paraId="42BD0BEF" w14:textId="77777777" w:rsidR="00CD65C2" w:rsidRDefault="00CD65C2">
      <w:pPr>
        <w:pStyle w:val="Corpo"/>
        <w:spacing w:after="120"/>
        <w:rPr>
          <w:rFonts w:hint="eastAsia"/>
          <w:color w:val="404040" w:themeColor="text1" w:themeTint="BF"/>
          <w:sz w:val="24"/>
        </w:rPr>
      </w:pPr>
    </w:p>
    <w:p w14:paraId="697FB8A6" w14:textId="73386BA2" w:rsidR="00CD65C2" w:rsidRDefault="00FA41FC">
      <w:pPr>
        <w:pStyle w:val="Corpo"/>
        <w:spacing w:after="120"/>
        <w:rPr>
          <w:rFonts w:hint="eastAsia"/>
          <w:color w:val="404040" w:themeColor="text1" w:themeTint="BF"/>
          <w:sz w:val="24"/>
        </w:rPr>
      </w:pPr>
      <w:r>
        <w:rPr>
          <w:color w:val="404040" w:themeColor="text1" w:themeTint="BF"/>
          <w:sz w:val="24"/>
        </w:rPr>
        <w:t xml:space="preserve">Este estudo clínico e randomizado teve como objetivo avaliar os efeitos da suplementação de zinco nos níveis de testosterona e função sexual em mulheres na pós-menopausa </w:t>
      </w:r>
      <w:r>
        <w:rPr>
          <w:color w:val="404040" w:themeColor="text1" w:themeTint="BF"/>
          <w:sz w:val="24"/>
        </w:rPr>
        <w:fldChar w:fldCharType="begin"/>
      </w:r>
      <w:r>
        <w:rPr>
          <w:color w:val="404040" w:themeColor="text1" w:themeTint="BF"/>
          <w:sz w:val="24"/>
        </w:rPr>
        <w:instrText xml:space="preserve"> ADDIN EN.CITE &lt;EndNote&gt;&lt;Cite&gt;&lt;Author&gt;Mazaheri Nia&lt;/Author&gt;&lt;Year&gt;2021&lt;/Year&gt;&lt;IDText&gt;Effect of Zinc on Testosterone Levels and Sexual Function of Postmenopausal Women: A Randomized Controlled Trial&lt;/IDText&gt;&lt;DisplayText&gt;(MAZAHERI NIA; IRAVANI; ABEDI; CHERAGHIAN, 2021)&lt;/DisplayText&gt;&lt;record&gt;&lt;dates&gt;&lt;pub-dates&gt;&lt;date&gt;Jul 27&lt;/date&gt;&lt;/pub-dates&gt;&lt;year&gt;2021&lt;/year&gt;&lt;/dates&gt;&lt;isbn&gt;0092-623x&lt;/isbn&gt;&lt;titles&gt;&lt;title&gt;Effect of Zinc on Testosterone Levels and Sexual Function of Postmenopausal Women: A Randomized Controlled Trial&lt;/title&gt;&lt;secondary-title&gt;J Sex Marital Ther&lt;/secondary-title&gt;&lt;/titles&gt;&lt;pages&gt;1-10&lt;/pages&gt;&lt;contributors&gt;&lt;authors&gt;&lt;author&gt;Mazaheri Nia, L.&lt;/author&gt;&lt;author&gt;Iravani, M.&lt;/author&gt;&lt;author&gt;Abedi, P.&lt;/author&gt;&lt;author&gt;Cheraghian, B.&lt;/author&gt;&lt;/authors&gt;&lt;/contributors&gt;&lt;edition&gt;20210727&lt;/edition&gt;&lt;language&gt;eng&lt;/language&gt;&lt;added-date format="utc"&gt;1633440482&lt;/added-date&gt;&lt;ref-type name="Journal Article"&gt;17&lt;/ref-type&gt;&lt;auth-address&gt;Midwifery Department, Menopause Andropause Research Center, Ahvaz Jundishapur University of Medical Sciences, Ahvaz, Iran.&amp;#xD;Midwifery Department, Menopause Andropause Research Center, Reproductive Health Promotion Research Center, Ahvaz Jundishapur University of Medical Sciences, Ahvaz, Iran.&amp;#xD;Department of Biostatistics and Epidemiology, School of Public Health, Alimentary Tract Research Center, Ahvaz Jundishapur University of Medical Sciences, Ahvaz, Iran.&lt;/auth-address&gt;&lt;remote-database-provider&gt;NLM&lt;/remote-database-provider&gt;&lt;rec-number&gt;2044&lt;/rec-number&gt;&lt;last-updated-date format="utc"&gt;1633440482&lt;/last-updated-date&gt;&lt;accession-num&gt;34311679&lt;/accession-num&gt;&lt;electronic-resource-num&gt;10.1080/0092623x.2021.1957732&lt;/electronic-resource-num&gt;&lt;/record&gt;&lt;/Cite&gt;&lt;/EndNote&gt;</w:instrText>
      </w:r>
      <w:r>
        <w:rPr>
          <w:color w:val="404040" w:themeColor="text1" w:themeTint="BF"/>
          <w:sz w:val="24"/>
        </w:rPr>
        <w:fldChar w:fldCharType="separate"/>
      </w:r>
      <w:r>
        <w:rPr>
          <w:color w:val="404040" w:themeColor="text1" w:themeTint="BF"/>
          <w:sz w:val="24"/>
        </w:rPr>
        <w:t>(MAZAHERI NIA; IRAVANI; ABEDI; CHERAGHIAN, 2021)</w:t>
      </w:r>
      <w:r>
        <w:rPr>
          <w:color w:val="404040" w:themeColor="text1" w:themeTint="BF"/>
          <w:sz w:val="24"/>
        </w:rPr>
        <w:fldChar w:fldCharType="end"/>
      </w:r>
      <w:r>
        <w:rPr>
          <w:color w:val="404040" w:themeColor="text1" w:themeTint="BF"/>
          <w:sz w:val="24"/>
        </w:rPr>
        <w:t>.</w:t>
      </w:r>
    </w:p>
    <w:p w14:paraId="7A2BFF7B"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919360" behindDoc="0" locked="0" layoutInCell="1" allowOverlap="1">
                <wp:simplePos x="0" y="0"/>
                <wp:positionH relativeFrom="margin">
                  <wp:posOffset>5080</wp:posOffset>
                </wp:positionH>
                <wp:positionV relativeFrom="paragraph">
                  <wp:posOffset>96520</wp:posOffset>
                </wp:positionV>
                <wp:extent cx="5724525" cy="518160"/>
                <wp:effectExtent l="0" t="0" r="28575" b="15240"/>
                <wp:wrapNone/>
                <wp:docPr id="739657786" name="Caixa de texto 739657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0070C0"/>
                          </a:solidFill>
                          <a:miter lim="800000"/>
                        </a:ln>
                      </wps:spPr>
                      <wps:txbx>
                        <w:txbxContent>
                          <w:p w14:paraId="549524AD" w14:textId="4202E4D5" w:rsidR="00FA41FC" w:rsidRDefault="00FA41FC">
                            <w:pPr>
                              <w:jc w:val="center"/>
                              <w:rPr>
                                <w:rFonts w:ascii="Swis721 Th BT" w:hAnsi="Swis721 Th BT"/>
                                <w:sz w:val="23"/>
                                <w:szCs w:val="23"/>
                              </w:rPr>
                            </w:pPr>
                            <w:r>
                              <w:rPr>
                                <w:rFonts w:ascii="Swis721 Th BT" w:hAnsi="Swis721 Th BT"/>
                                <w:sz w:val="23"/>
                                <w:szCs w:val="23"/>
                              </w:rPr>
                              <w:t xml:space="preserve">Para isso, 116 mulheres na pós-menopausa com baixa função sexual foram selecionados para receberem: </w:t>
                            </w:r>
                          </w:p>
                        </w:txbxContent>
                      </wps:txbx>
                      <wps:bodyPr rot="0" vert="horz" wrap="square" lIns="91440" tIns="45720" rIns="91440" bIns="45720" anchor="t" anchorCtr="0" upright="1">
                        <a:noAutofit/>
                      </wps:bodyPr>
                    </wps:wsp>
                  </a:graphicData>
                </a:graphic>
              </wp:anchor>
            </w:drawing>
          </mc:Choice>
          <mc:Fallback>
            <w:pict>
              <v:shape id="Caixa de texto 739657786" o:spid="_x0000_s1180" type="#_x0000_t202" style="position:absolute;left:0;text-align:left;margin-left:.4pt;margin-top:7.6pt;width:450.75pt;height:40.8pt;z-index:251919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" fillcolor="white [3212]" strokecolor="#0070c0">
                <v:textbox>
                  <w:txbxContent>
                    <w:p w14:paraId="549524AD" w14:textId="4202E4D5" w:rsidR="00FA41FC" w:rsidRDefault="00FA41FC">
                      <w:pPr>
                        <w:jc w:val="center"/>
                        <w:rPr>
                          <w:rFonts w:ascii="Swis721 Th BT" w:hAnsi="Swis721 Th BT"/>
                          <w:sz w:val="23"/>
                          <w:szCs w:val="23"/>
                        </w:rPr>
                      </w:pPr>
                      <w:r>
                        <w:rPr>
                          <w:rFonts w:ascii="Swis721 Th BT" w:hAnsi="Swis721 Th BT"/>
                          <w:sz w:val="23"/>
                          <w:szCs w:val="23"/>
                        </w:rPr>
                        <w:t xml:space="preserve">Para isso, 116 mulheres na pós-menopausa com baixa função sexual foram selecionados para receberem: </w:t>
                      </w:r>
                    </w:p>
                  </w:txbxContent>
                </v:textbox>
                <w10:wrap anchorx="margin"/>
              </v:shape>
            </w:pict>
          </mc:Fallback>
        </mc:AlternateContent>
      </w:r>
      <w:r>
        <w:rPr>
          <w:color w:val="404040" w:themeColor="text1" w:themeTint="BF"/>
          <w:sz w:val="24"/>
        </w:rPr>
        <w:br/>
      </w:r>
    </w:p>
    <w:p w14:paraId="78ACD8BC" w14:textId="77777777" w:rsidR="00CD65C2" w:rsidRDefault="00CD65C2">
      <w:pPr>
        <w:pStyle w:val="Corpo"/>
        <w:rPr>
          <w:rFonts w:hint="eastAsia"/>
          <w:color w:val="404040" w:themeColor="text1" w:themeTint="BF"/>
        </w:rPr>
      </w:pPr>
    </w:p>
    <w:p w14:paraId="1A03A6F9" w14:textId="77777777" w:rsidR="00CD65C2" w:rsidRDefault="00CD65C2">
      <w:pPr>
        <w:pStyle w:val="Corpo"/>
        <w:rPr>
          <w:rFonts w:hint="eastAsia"/>
          <w:color w:val="404040" w:themeColor="text1" w:themeTint="BF"/>
        </w:rPr>
      </w:pPr>
    </w:p>
    <w:p w14:paraId="19296FE8"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917312"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739657787" name="Triângulo isósceles 739657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787" o:spid="_x0000_s1026" o:spt="5" type="#_x0000_t5" style="position:absolute;left:0pt;flip:y;margin-left:65.25pt;margin-top:0.85pt;height:10.9pt;width:17.85pt;z-index:251917312;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J/rg23WAAAACAEAAA8AAAAAAAAAAQAgAAAAIgAAAGRycy9kb3ducmV2LnhtbFBLAQIUABQAAAAI&#10;AIdO4kAp8YK+YQIAALMEAAAOAAAAAAAAAAEAIAAAACUBAABkcnMvZTJvRG9jLnhtbFBLBQYAAAAA&#10;BgAGAFkBAAD4BQ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916288" behindDoc="0" locked="0" layoutInCell="1" allowOverlap="1">
                <wp:simplePos x="0" y="0"/>
                <wp:positionH relativeFrom="column">
                  <wp:posOffset>4664710</wp:posOffset>
                </wp:positionH>
                <wp:positionV relativeFrom="paragraph">
                  <wp:posOffset>10795</wp:posOffset>
                </wp:positionV>
                <wp:extent cx="226695" cy="138430"/>
                <wp:effectExtent l="0" t="0" r="1905" b="0"/>
                <wp:wrapNone/>
                <wp:docPr id="739657788" name="Triângulo isósceles 739657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788" o:spid="_x0000_s1026" o:spt="5" type="#_x0000_t5" style="position:absolute;left:0pt;flip:y;margin-left:367.3pt;margin-top:0.85pt;height:10.9pt;width:17.85pt;z-index:251916288;mso-width-relative:page;mso-height-relative:page;" fillcolor="#D9D9D9 [3212]" filled="t" stroked="f" coordsize="21600,21600" o:gfxdata="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CrIplbWAAAACAEAAA8AAAAAAAAAAQAgAAAAIgAAAGRycy9kb3ducmV2LnhtbFBLAQIUABQAAAAI&#10;AIdO4kCzxEvvYQIAALMEAAAOAAAAAAAAAAEAIAAAACUBAABkcnMvZTJvRG9jLnhtbFBLBQYAAAAA&#10;BgAGAFkBAAD4BQAAAAA=&#10;" adj="10800">
                <v:fill on="t" focussize="0,0"/>
                <v:stroke on="f"/>
                <v:imagedata o:title=""/>
                <o:lock v:ext="edit" aspectratio="f"/>
              </v:shape>
            </w:pict>
          </mc:Fallback>
        </mc:AlternateContent>
      </w:r>
    </w:p>
    <w:p w14:paraId="65B6DBC4"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915264" behindDoc="0" locked="0" layoutInCell="1" allowOverlap="1">
                <wp:simplePos x="0" y="0"/>
                <wp:positionH relativeFrom="column">
                  <wp:posOffset>-5715</wp:posOffset>
                </wp:positionH>
                <wp:positionV relativeFrom="paragraph">
                  <wp:posOffset>88900</wp:posOffset>
                </wp:positionV>
                <wp:extent cx="1913890" cy="781685"/>
                <wp:effectExtent l="0" t="0" r="10160" b="18415"/>
                <wp:wrapNone/>
                <wp:docPr id="739657789" name="Caixa de texto 7396577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43B7DF6B"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Sulfato de Zinco</w:t>
                            </w:r>
                            <w:r>
                              <w:rPr>
                                <w:rFonts w:ascii="Swis721 Th BT" w:hAnsi="Swis721 Th BT"/>
                                <w:color w:val="FFFFFF" w:themeColor="background1"/>
                                <w:szCs w:val="23"/>
                              </w:rPr>
                              <w:t xml:space="preserve"> </w:t>
                            </w:r>
                          </w:p>
                          <w:p w14:paraId="0002DDEC"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110 mg ao dia</w:t>
                            </w:r>
                          </w:p>
                        </w:txbxContent>
                      </wps:txbx>
                      <wps:bodyPr rot="0" vert="horz" wrap="square" lIns="91440" tIns="45720" rIns="91440" bIns="45720" anchor="ctr" anchorCtr="0" upright="1">
                        <a:noAutofit/>
                      </wps:bodyPr>
                    </wps:wsp>
                  </a:graphicData>
                </a:graphic>
              </wp:anchor>
            </w:drawing>
          </mc:Choice>
          <mc:Fallback>
            <w:pict>
              <v:shape id="Caixa de texto 739657789" o:spid="_x0000_s1181" type="#_x0000_t202" style="position:absolute;left:0;text-align:left;margin-left:-.45pt;margin-top:7pt;width:150.7pt;height:61.55pt;z-index:251915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" fillcolor="#0070c0" strokecolor="#0070c0">
                <v:textbox>
                  <w:txbxContent>
                    <w:p w14:paraId="43B7DF6B"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Sulfato de Zinco</w:t>
                      </w:r>
                      <w:r>
                        <w:rPr>
                          <w:rFonts w:ascii="Swis721 Th BT" w:hAnsi="Swis721 Th BT"/>
                          <w:color w:val="FFFFFF" w:themeColor="background1"/>
                          <w:szCs w:val="23"/>
                        </w:rPr>
                        <w:t xml:space="preserve"> </w:t>
                      </w:r>
                    </w:p>
                    <w:p w14:paraId="0002DDEC"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110 mg ao dia</w:t>
                      </w: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918336" behindDoc="0" locked="0" layoutInCell="1" allowOverlap="1">
                <wp:simplePos x="0" y="0"/>
                <wp:positionH relativeFrom="column">
                  <wp:posOffset>3839210</wp:posOffset>
                </wp:positionH>
                <wp:positionV relativeFrom="paragraph">
                  <wp:posOffset>88900</wp:posOffset>
                </wp:positionV>
                <wp:extent cx="1905000" cy="781685"/>
                <wp:effectExtent l="0" t="0" r="19050" b="18415"/>
                <wp:wrapNone/>
                <wp:docPr id="739657791" name="Caixa de texto 7396577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1FB360E7"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3F994806" w14:textId="77777777" w:rsidR="00FA41FC" w:rsidRDefault="00FA41FC">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739657791" o:spid="_x0000_s1182" type="#_x0000_t202" style="position:absolute;left:0;text-align:left;margin-left:302.3pt;margin-top:7pt;width:150pt;height:61.55pt;z-index:251918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" fillcolor="#0070c0" strokecolor="#0070c0">
                <v:textbox>
                  <w:txbxContent>
                    <w:p w14:paraId="1FB360E7"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3F994806" w14:textId="77777777" w:rsidR="00FA41FC" w:rsidRDefault="00FA41FC">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14:paraId="766CDA4E" w14:textId="77777777" w:rsidR="00CD65C2" w:rsidRDefault="00CD65C2">
      <w:pPr>
        <w:pStyle w:val="Corpo"/>
        <w:rPr>
          <w:rFonts w:hint="eastAsia"/>
          <w:color w:val="404040" w:themeColor="text1" w:themeTint="BF"/>
        </w:rPr>
      </w:pPr>
    </w:p>
    <w:p w14:paraId="48FFD128" w14:textId="77777777" w:rsidR="00CD65C2" w:rsidRDefault="00CD65C2">
      <w:pPr>
        <w:pStyle w:val="Corpo"/>
        <w:rPr>
          <w:rFonts w:hint="eastAsia"/>
          <w:color w:val="404040" w:themeColor="text1" w:themeTint="BF"/>
        </w:rPr>
      </w:pPr>
    </w:p>
    <w:p w14:paraId="1907B7E3" w14:textId="77777777" w:rsidR="00CD65C2" w:rsidRDefault="00CD65C2">
      <w:pPr>
        <w:pStyle w:val="Corpo"/>
        <w:rPr>
          <w:rFonts w:hint="eastAsia"/>
          <w:color w:val="404040" w:themeColor="text1" w:themeTint="BF"/>
        </w:rPr>
      </w:pPr>
    </w:p>
    <w:p w14:paraId="58263676" w14:textId="77777777" w:rsidR="00CD65C2" w:rsidRDefault="00CD65C2">
      <w:pPr>
        <w:pStyle w:val="Corpo"/>
        <w:spacing w:before="120"/>
        <w:rPr>
          <w:rFonts w:hint="eastAsia"/>
          <w:color w:val="404040" w:themeColor="text1" w:themeTint="BF"/>
          <w:sz w:val="20"/>
        </w:rPr>
      </w:pPr>
    </w:p>
    <w:p w14:paraId="352AE9F5" w14:textId="70A01929" w:rsidR="00CD65C2" w:rsidRDefault="00FA41FC">
      <w:pPr>
        <w:pStyle w:val="Corpo"/>
        <w:numPr>
          <w:ilvl w:val="0"/>
          <w:numId w:val="4"/>
        </w:numPr>
        <w:spacing w:before="120" w:after="0"/>
        <w:ind w:left="765"/>
        <w:rPr>
          <w:rFonts w:hint="eastAsia"/>
          <w:color w:val="404040" w:themeColor="text1" w:themeTint="BF"/>
          <w:sz w:val="20"/>
          <w:szCs w:val="23"/>
        </w:rPr>
      </w:pPr>
      <w:r>
        <w:rPr>
          <w:color w:val="404040" w:themeColor="text1" w:themeTint="BF"/>
          <w:sz w:val="20"/>
          <w:szCs w:val="23"/>
        </w:rPr>
        <w:t xml:space="preserve">Os níveis séricos de zinco, testosterona, hemoglobina e hematócrito, bem como o </w:t>
      </w:r>
      <w:r>
        <w:rPr>
          <w:i/>
          <w:iCs/>
          <w:color w:val="404040" w:themeColor="text1" w:themeTint="BF"/>
          <w:sz w:val="20"/>
          <w:szCs w:val="23"/>
        </w:rPr>
        <w:t xml:space="preserve">Female Sexual Function Index </w:t>
      </w:r>
      <w:r>
        <w:rPr>
          <w:color w:val="404040" w:themeColor="text1" w:themeTint="BF"/>
          <w:sz w:val="20"/>
          <w:szCs w:val="23"/>
        </w:rPr>
        <w:t>(FSFI) foram avaliados antes e após a intervenção. A análise dos dados foi realizada por meio de testes t pareados e independentes, teste exato de Fisher e teste do qui quadrado.</w:t>
      </w:r>
    </w:p>
    <w:p w14:paraId="4A5E3BD6" w14:textId="77777777" w:rsidR="00CD65C2" w:rsidRDefault="00CD65C2">
      <w:pPr>
        <w:pStyle w:val="Corpo"/>
        <w:rPr>
          <w:rFonts w:hint="eastAsia"/>
          <w:b/>
          <w:color w:val="339966"/>
          <w:sz w:val="25"/>
          <w:szCs w:val="25"/>
          <w14:textFill>
            <w14:solidFill>
              <w14:srgbClr w14:val="339966">
                <w14:lumMod w14:val="75000"/>
                <w14:lumOff w14:val="25000"/>
              </w14:srgbClr>
            </w14:solidFill>
          </w14:textFill>
        </w:rPr>
      </w:pPr>
    </w:p>
    <w:p w14:paraId="1C2A66CC"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21B662B9" w14:textId="77777777" w:rsidR="00CD65C2" w:rsidRDefault="00CD65C2">
      <w:pPr>
        <w:pStyle w:val="Corpo"/>
        <w:rPr>
          <w:rFonts w:hint="eastAsia"/>
          <w:color w:val="404040" w:themeColor="text1" w:themeTint="BF"/>
          <w:sz w:val="16"/>
          <w:szCs w:val="16"/>
        </w:rPr>
      </w:pPr>
    </w:p>
    <w:p w14:paraId="6CF6190A" w14:textId="77777777"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O uso de suplementação de zinco no grupo de intervenção melhorou significativamente o desejo sexual, excitação, orgasmo, satisfação, umidade vaginal e dor durante a relação sexual e também a pontuação geral da função sexual em comparação com o grupo de controle;</w:t>
      </w:r>
    </w:p>
    <w:p w14:paraId="382B7990" w14:textId="77777777"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A suplementação de zinco no grupo de intervenção resultou em um aumento significativo nos níveis de testosterona em comparação ao grupo controle, o que melhorou a função sexual em mulheres na pós-menopausa de forma não significativa.</w:t>
      </w:r>
    </w:p>
    <w:p w14:paraId="76E3568F" w14:textId="77777777" w:rsidR="00CD65C2" w:rsidRDefault="00CD65C2">
      <w:pPr>
        <w:pStyle w:val="Corpo"/>
        <w:spacing w:after="120"/>
        <w:ind w:left="786"/>
        <w:rPr>
          <w:rFonts w:hint="eastAsia"/>
          <w:color w:val="404040" w:themeColor="text1" w:themeTint="BF"/>
          <w:sz w:val="24"/>
        </w:rPr>
      </w:pPr>
    </w:p>
    <w:p w14:paraId="0A7CB692"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6D74B403" w14:textId="77777777" w:rsidR="00CD65C2" w:rsidRDefault="00CD65C2">
      <w:pPr>
        <w:pStyle w:val="Corpo"/>
        <w:rPr>
          <w:rFonts w:hint="eastAsia"/>
          <w:b/>
          <w:color w:val="339966"/>
          <w:sz w:val="16"/>
          <w:szCs w:val="16"/>
          <w14:textFill>
            <w14:solidFill>
              <w14:srgbClr w14:val="339966">
                <w14:lumMod w14:val="75000"/>
                <w14:lumOff w14:val="25000"/>
              </w14:srgbClr>
            </w14:solidFill>
          </w14:textFill>
        </w:rPr>
      </w:pPr>
    </w:p>
    <w:p w14:paraId="312AC10A" w14:textId="77777777" w:rsidR="00CD65C2" w:rsidRDefault="00FA41FC">
      <w:pPr>
        <w:pStyle w:val="Corpo"/>
        <w:jc w:val="center"/>
        <w:rPr>
          <w:rFonts w:hint="eastAsia"/>
          <w:b/>
          <w:i/>
          <w:color w:val="404040" w:themeColor="text1" w:themeTint="BF"/>
        </w:rPr>
      </w:pPr>
      <w:r>
        <w:rPr>
          <w:b/>
          <w:i/>
          <w:color w:val="404040" w:themeColor="text1" w:themeTint="BF"/>
        </w:rPr>
        <w:t xml:space="preserve">Os resultados deste estudo mostraram que a suplementação de zinco pode melhorar os níveis de testosterona e a função sexual em mulheres na pós-menopausa. Recomenda-se o uso deste suplemento em mulheres pós-menopáusicas com insuficiência de zinco. </w:t>
      </w:r>
    </w:p>
    <w:p w14:paraId="503C707A" w14:textId="77777777" w:rsidR="00CD65C2" w:rsidRDefault="00FA41FC">
      <w:pPr>
        <w:pStyle w:val="Ttulo1"/>
        <w:jc w:val="center"/>
        <w:rPr>
          <w:rFonts w:hint="eastAsia"/>
        </w:rPr>
      </w:pPr>
      <w:bookmarkStart w:id="120" w:name="_Toc165537268"/>
      <w:r>
        <w:t>Formulário</w:t>
      </w:r>
      <w:bookmarkEnd w:id="120"/>
    </w:p>
    <w:p w14:paraId="39B3DBFA" w14:textId="77777777" w:rsidR="00CD65C2" w:rsidRDefault="00CD65C2">
      <w:pPr>
        <w:pStyle w:val="Corpo"/>
        <w:rPr>
          <w:rFonts w:hint="eastAsia"/>
          <w:b/>
          <w:i/>
          <w:color w:val="404040" w:themeColor="text1" w:themeTint="BF"/>
        </w:rPr>
      </w:pPr>
    </w:p>
    <w:p w14:paraId="440ACFA0" w14:textId="77777777" w:rsidR="00CD65C2" w:rsidRDefault="00CD65C2">
      <w:pPr>
        <w:pStyle w:val="Corpo"/>
        <w:rPr>
          <w:rFonts w:hint="eastAsia"/>
          <w:b/>
          <w:i/>
          <w:color w:val="404040" w:themeColor="text1" w:themeTint="BF"/>
        </w:rPr>
      </w:pPr>
    </w:p>
    <w:p w14:paraId="6DCC03BD" w14:textId="77777777" w:rsidR="00CD65C2" w:rsidRDefault="00FA41FC">
      <w:pPr>
        <w:pStyle w:val="Corpo"/>
        <w:rPr>
          <w:rFonts w:hint="eastAsia"/>
          <w:b/>
          <w:i/>
          <w:color w:val="404040" w:themeColor="text1" w:themeTint="BF"/>
          <w:sz w:val="24"/>
        </w:rPr>
      </w:pPr>
      <w:r>
        <w:rPr>
          <w:b/>
          <w:i/>
          <w:color w:val="404040" w:themeColor="text1" w:themeTint="BF"/>
          <w:sz w:val="24"/>
        </w:rPr>
        <w:t>Melhora da Função Sexual em Mulheres na Pós-Menopausa</w:t>
      </w:r>
    </w:p>
    <w:p w14:paraId="46B868F7"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2460BD94"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2B9F9696" w14:textId="77777777" w:rsidR="00CD65C2" w:rsidRDefault="00FA41FC">
            <w:pPr>
              <w:pStyle w:val="Corpo"/>
              <w:jc w:val="center"/>
              <w:rPr>
                <w:rFonts w:hint="eastAsia"/>
                <w:b/>
                <w:color w:val="FFFFFF" w:themeColor="background1"/>
              </w:rPr>
            </w:pPr>
            <w:r>
              <w:rPr>
                <w:b/>
                <w:color w:val="FFFFFF" w:themeColor="background1"/>
                <w:sz w:val="22"/>
              </w:rPr>
              <w:t>Cápsulas de Zinco</w:t>
            </w:r>
          </w:p>
        </w:tc>
      </w:tr>
      <w:tr w:rsidR="00CD65C2" w14:paraId="255CDEE6"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E559C60" w14:textId="77777777" w:rsidR="00CD65C2" w:rsidRDefault="00FA41FC">
            <w:pPr>
              <w:pStyle w:val="Corpo"/>
              <w:rPr>
                <w:rFonts w:hint="eastAsia"/>
                <w:color w:val="404040" w:themeColor="text1" w:themeTint="BF"/>
              </w:rPr>
            </w:pPr>
            <w:r>
              <w:rPr>
                <w:color w:val="404040" w:themeColor="text1" w:themeTint="BF"/>
              </w:rPr>
              <w:t>Sulfato de Zinco.............................110 mg</w:t>
            </w:r>
          </w:p>
        </w:tc>
      </w:tr>
      <w:tr w:rsidR="00CD65C2" w14:paraId="09172FE2"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6DFF717" w14:textId="48F23B12" w:rsidR="00CD65C2" w:rsidRDefault="00FA41FC">
            <w:pPr>
              <w:pStyle w:val="Corpo"/>
              <w:rPr>
                <w:rFonts w:hint="eastAsia"/>
                <w:color w:val="404040" w:themeColor="text1" w:themeTint="BF"/>
              </w:rPr>
            </w:pPr>
            <w:r>
              <w:rPr>
                <w:color w:val="404040" w:themeColor="text1" w:themeTint="BF"/>
              </w:rPr>
              <w:t>Excipiente q.s.p. ........................1 Cápsula</w:t>
            </w:r>
          </w:p>
        </w:tc>
      </w:tr>
    </w:tbl>
    <w:p w14:paraId="5994B4C3" w14:textId="77777777" w:rsidR="00CD65C2" w:rsidRDefault="00FA41FC">
      <w:pPr>
        <w:pStyle w:val="Corpo"/>
        <w:ind w:right="4762"/>
        <w:jc w:val="center"/>
        <w:rPr>
          <w:rFonts w:hint="eastAsia"/>
          <w:color w:val="404040" w:themeColor="text1" w:themeTint="BF"/>
          <w:sz w:val="22"/>
          <w:szCs w:val="22"/>
        </w:rPr>
      </w:pPr>
      <w:r>
        <w:rPr>
          <w:color w:val="404040" w:themeColor="text1" w:themeTint="BF"/>
          <w:sz w:val="22"/>
          <w:szCs w:val="22"/>
        </w:rPr>
        <w:t>Administrar 1 cápsula ao dia ou conforme orientação médica.</w:t>
      </w:r>
    </w:p>
    <w:p w14:paraId="38E77781" w14:textId="77777777" w:rsidR="00CD65C2" w:rsidRDefault="00CD65C2">
      <w:pPr>
        <w:pStyle w:val="SemEspaamento"/>
      </w:pPr>
    </w:p>
    <w:p w14:paraId="22E06176" w14:textId="77777777" w:rsidR="00CD65C2" w:rsidRDefault="00CD65C2">
      <w:pPr>
        <w:pStyle w:val="SemEspaamento"/>
      </w:pPr>
    </w:p>
    <w:p w14:paraId="1507BE4B" w14:textId="77777777" w:rsidR="00CD65C2" w:rsidRDefault="00CD65C2">
      <w:pPr>
        <w:pStyle w:val="SemEspaamento"/>
      </w:pPr>
    </w:p>
    <w:p w14:paraId="651BEF3A" w14:textId="77777777" w:rsidR="00CD65C2" w:rsidRDefault="00CD65C2">
      <w:pPr>
        <w:pStyle w:val="SemEspaamento"/>
      </w:pPr>
    </w:p>
    <w:p w14:paraId="7BB575CF" w14:textId="77777777" w:rsidR="00CD65C2" w:rsidRDefault="00CD65C2">
      <w:pPr>
        <w:pStyle w:val="SemEspaamento"/>
      </w:pPr>
    </w:p>
    <w:p w14:paraId="7B757C0F" w14:textId="77777777" w:rsidR="00CD65C2" w:rsidRDefault="00CD65C2">
      <w:pPr>
        <w:pStyle w:val="SemEspaamento"/>
      </w:pPr>
    </w:p>
    <w:p w14:paraId="65254103" w14:textId="77777777" w:rsidR="00CD65C2" w:rsidRDefault="00CD65C2">
      <w:pPr>
        <w:pStyle w:val="SemEspaamento"/>
      </w:pPr>
    </w:p>
    <w:p w14:paraId="613BE9C7" w14:textId="77777777" w:rsidR="00CD65C2" w:rsidRDefault="00CD65C2">
      <w:pPr>
        <w:pStyle w:val="SemEspaamento"/>
      </w:pPr>
    </w:p>
    <w:p w14:paraId="52846164" w14:textId="77777777" w:rsidR="00CD65C2" w:rsidRDefault="00CD65C2">
      <w:pPr>
        <w:pStyle w:val="SemEspaamento"/>
      </w:pPr>
    </w:p>
    <w:p w14:paraId="3B991AF6" w14:textId="77777777" w:rsidR="00CD65C2" w:rsidRDefault="00CD65C2">
      <w:pPr>
        <w:pStyle w:val="SemEspaamento"/>
      </w:pPr>
    </w:p>
    <w:p w14:paraId="7BAC1CD7" w14:textId="77777777" w:rsidR="00CD65C2" w:rsidRDefault="00CD65C2">
      <w:pPr>
        <w:pStyle w:val="SemEspaamento"/>
      </w:pPr>
    </w:p>
    <w:p w14:paraId="14DB5D44" w14:textId="77777777" w:rsidR="00CD65C2" w:rsidRDefault="00CD65C2">
      <w:pPr>
        <w:pStyle w:val="SemEspaamento"/>
      </w:pPr>
    </w:p>
    <w:p w14:paraId="3E95C89A" w14:textId="77777777" w:rsidR="00CD65C2" w:rsidRDefault="00CD65C2">
      <w:pPr>
        <w:pStyle w:val="SemEspaamento"/>
      </w:pPr>
    </w:p>
    <w:p w14:paraId="133DA00D" w14:textId="77777777" w:rsidR="00CD65C2" w:rsidRDefault="00CD65C2">
      <w:pPr>
        <w:pStyle w:val="SemEspaamento"/>
      </w:pPr>
    </w:p>
    <w:p w14:paraId="3E31DFF9" w14:textId="77777777" w:rsidR="00CD65C2" w:rsidRDefault="00CD65C2">
      <w:pPr>
        <w:pStyle w:val="SemEspaamento"/>
      </w:pPr>
    </w:p>
    <w:p w14:paraId="1A6A37B7" w14:textId="77777777" w:rsidR="00CD65C2" w:rsidRDefault="00CD65C2">
      <w:pPr>
        <w:pStyle w:val="SemEspaamento"/>
      </w:pPr>
    </w:p>
    <w:p w14:paraId="77E81C4D" w14:textId="77777777" w:rsidR="00CD65C2" w:rsidRDefault="00CD65C2">
      <w:pPr>
        <w:pStyle w:val="SemEspaamento"/>
      </w:pPr>
    </w:p>
    <w:p w14:paraId="1E92B85A" w14:textId="77777777" w:rsidR="00CD65C2" w:rsidRDefault="00CD65C2">
      <w:pPr>
        <w:pStyle w:val="SemEspaamento"/>
      </w:pPr>
    </w:p>
    <w:p w14:paraId="7DB70A44" w14:textId="77777777" w:rsidR="00CD65C2" w:rsidRDefault="00CD65C2">
      <w:pPr>
        <w:pStyle w:val="SemEspaamento"/>
      </w:pPr>
    </w:p>
    <w:p w14:paraId="7211CE08" w14:textId="77777777" w:rsidR="00CD65C2" w:rsidRDefault="00CD65C2">
      <w:pPr>
        <w:pStyle w:val="SemEspaamento"/>
      </w:pPr>
    </w:p>
    <w:p w14:paraId="301A0883" w14:textId="77777777" w:rsidR="00CD65C2" w:rsidRDefault="00CD65C2">
      <w:pPr>
        <w:pStyle w:val="SemEspaamento"/>
      </w:pPr>
    </w:p>
    <w:p w14:paraId="71C549F3" w14:textId="77777777" w:rsidR="00CD65C2" w:rsidRDefault="00CD65C2">
      <w:pPr>
        <w:pStyle w:val="SemEspaamento"/>
      </w:pPr>
    </w:p>
    <w:p w14:paraId="38B2F09B" w14:textId="77777777" w:rsidR="00CD65C2" w:rsidRDefault="00CD65C2">
      <w:pPr>
        <w:pStyle w:val="SemEspaamento"/>
      </w:pPr>
    </w:p>
    <w:p w14:paraId="43C53191" w14:textId="77777777" w:rsidR="00CD65C2" w:rsidRDefault="00CD65C2">
      <w:pPr>
        <w:pStyle w:val="SemEspaamento"/>
      </w:pPr>
    </w:p>
    <w:p w14:paraId="7F0B578C" w14:textId="77777777" w:rsidR="00CD65C2" w:rsidRDefault="00CD65C2">
      <w:pPr>
        <w:pStyle w:val="SemEspaamento"/>
      </w:pPr>
    </w:p>
    <w:p w14:paraId="712A87D3" w14:textId="77777777" w:rsidR="00CD65C2" w:rsidRDefault="00CD65C2">
      <w:pPr>
        <w:pStyle w:val="SemEspaamento"/>
      </w:pPr>
    </w:p>
    <w:p w14:paraId="07A98E23" w14:textId="77777777" w:rsidR="00CD65C2" w:rsidRDefault="00CD65C2">
      <w:pPr>
        <w:pStyle w:val="SemEspaamento"/>
      </w:pPr>
    </w:p>
    <w:p w14:paraId="0EBE7829" w14:textId="77777777" w:rsidR="00CD65C2" w:rsidRDefault="00CD65C2">
      <w:pPr>
        <w:pStyle w:val="SemEspaamento"/>
      </w:pPr>
    </w:p>
    <w:p w14:paraId="3C146D26" w14:textId="77777777" w:rsidR="00CD65C2" w:rsidRDefault="00CD65C2">
      <w:pPr>
        <w:pStyle w:val="SemEspaamento"/>
      </w:pPr>
    </w:p>
    <w:p w14:paraId="76AC23BE" w14:textId="77777777" w:rsidR="00CD65C2" w:rsidRDefault="00CD65C2">
      <w:pPr>
        <w:pStyle w:val="SemEspaamento"/>
      </w:pPr>
    </w:p>
    <w:p w14:paraId="44E4212A" w14:textId="77777777" w:rsidR="00CD65C2" w:rsidRDefault="00CD65C2">
      <w:pPr>
        <w:pStyle w:val="SemEspaamento"/>
      </w:pPr>
    </w:p>
    <w:p w14:paraId="7ED92CE2" w14:textId="77777777" w:rsidR="00CD65C2" w:rsidRDefault="00CD65C2">
      <w:pPr>
        <w:pStyle w:val="SemEspaamento"/>
      </w:pPr>
    </w:p>
    <w:p w14:paraId="6C9BD821" w14:textId="77777777" w:rsidR="00CD65C2" w:rsidRDefault="00FA41FC">
      <w:pPr>
        <w:pStyle w:val="Ttulo1"/>
        <w:jc w:val="center"/>
        <w:rPr>
          <w:rFonts w:hint="eastAsia"/>
          <w:i/>
        </w:rPr>
      </w:pPr>
      <w:bookmarkStart w:id="121" w:name="_Toc165537269"/>
      <w:r>
        <w:rPr>
          <w:i/>
        </w:rPr>
        <w:t>Panax ginseng</w:t>
      </w:r>
      <w:bookmarkEnd w:id="121"/>
    </w:p>
    <w:p w14:paraId="31BF57E9" w14:textId="77777777" w:rsidR="00CD65C2" w:rsidRPr="00D1428E" w:rsidRDefault="00FA41FC">
      <w:pPr>
        <w:pStyle w:val="Corpo"/>
        <w:spacing w:after="120"/>
        <w:jc w:val="center"/>
        <w:rPr>
          <w:rFonts w:hint="eastAsia"/>
          <w:b/>
          <w:color w:val="0070C0"/>
          <w:sz w:val="40"/>
        </w:rPr>
      </w:pPr>
      <w:r w:rsidRPr="00D1428E">
        <w:rPr>
          <w:b/>
          <w:color w:val="0070C0"/>
          <w:sz w:val="40"/>
        </w:rPr>
        <w:t>Melhora a Função Sexual e os Sintomas Vasomotores em Mulheres na Pós-Menopausa</w:t>
      </w:r>
    </w:p>
    <w:p w14:paraId="149C4B1B" w14:textId="77777777" w:rsidR="00CD65C2" w:rsidRDefault="00CD65C2">
      <w:pPr>
        <w:pStyle w:val="Corpo"/>
        <w:spacing w:after="120"/>
        <w:rPr>
          <w:rFonts w:hint="eastAsia"/>
          <w:color w:val="404040" w:themeColor="text1" w:themeTint="BF"/>
          <w:sz w:val="24"/>
        </w:rPr>
      </w:pPr>
    </w:p>
    <w:p w14:paraId="4AFA0CE5" w14:textId="77777777" w:rsidR="00CD65C2" w:rsidRDefault="00FA41FC">
      <w:pPr>
        <w:pStyle w:val="Corpo"/>
        <w:rPr>
          <w:rFonts w:hint="eastAsia"/>
          <w:color w:val="404040" w:themeColor="text1" w:themeTint="BF"/>
          <w:sz w:val="24"/>
        </w:rPr>
      </w:pPr>
      <w:r>
        <w:rPr>
          <w:color w:val="404040" w:themeColor="text1" w:themeTint="BF"/>
          <w:sz w:val="24"/>
        </w:rPr>
        <w:t xml:space="preserve">Ghorbani </w:t>
      </w:r>
      <w:r>
        <w:rPr>
          <w:i/>
          <w:color w:val="404040" w:themeColor="text1" w:themeTint="BF"/>
          <w:sz w:val="24"/>
        </w:rPr>
        <w:t>et al.</w:t>
      </w:r>
      <w:r>
        <w:rPr>
          <w:color w:val="404040" w:themeColor="text1" w:themeTint="BF"/>
          <w:sz w:val="24"/>
        </w:rPr>
        <w:t xml:space="preserve"> (2019) conduziram este estudo com a finalidade de determinar os efeitos do Ginseng na função sexual, qualidade de vida e sintomas menopausais em mulheres com disfunção sexual. </w:t>
      </w:r>
    </w:p>
    <w:p w14:paraId="75CD8EF8"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922432" behindDoc="0" locked="0" layoutInCell="1" allowOverlap="1">
                <wp:simplePos x="0" y="0"/>
                <wp:positionH relativeFrom="margin">
                  <wp:posOffset>5080</wp:posOffset>
                </wp:positionH>
                <wp:positionV relativeFrom="paragraph">
                  <wp:posOffset>96520</wp:posOffset>
                </wp:positionV>
                <wp:extent cx="5724525" cy="518160"/>
                <wp:effectExtent l="0" t="0" r="28575" b="15240"/>
                <wp:wrapNone/>
                <wp:docPr id="739657792" name="Caixa de texto 7396577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0070C0"/>
                          </a:solidFill>
                          <a:miter lim="800000"/>
                        </a:ln>
                      </wps:spPr>
                      <wps:txbx>
                        <w:txbxContent>
                          <w:p w14:paraId="3DE05440" w14:textId="04118750" w:rsidR="00FA41FC" w:rsidRDefault="00FA41FC">
                            <w:pPr>
                              <w:jc w:val="center"/>
                              <w:rPr>
                                <w:rFonts w:ascii="Swis721 Th BT" w:hAnsi="Swis721 Th BT"/>
                                <w:sz w:val="23"/>
                                <w:szCs w:val="23"/>
                              </w:rPr>
                            </w:pPr>
                            <w:r>
                              <w:rPr>
                                <w:rFonts w:ascii="Swis721 Th BT" w:hAnsi="Swis721 Th BT"/>
                                <w:sz w:val="23"/>
                                <w:szCs w:val="23"/>
                              </w:rPr>
                              <w:t>Para isso, 62 mulheres participaram deste estudo clínico e randomizado. Elas foram separadas em dois grupos para receberem a seguinte posologia durante quatro semanas:</w:t>
                            </w:r>
                          </w:p>
                          <w:p w14:paraId="620CF157"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792" o:spid="_x0000_s1183" type="#_x0000_t202" style="position:absolute;left:0;text-align:left;margin-left:.4pt;margin-top:7.6pt;width:450.75pt;height:40.8pt;z-index:2519224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" fillcolor="white [3212]" strokecolor="#0070c0">
                <v:textbox>
                  <w:txbxContent>
                    <w:p w14:paraId="3DE05440" w14:textId="04118750" w:rsidR="00FA41FC" w:rsidRDefault="00FA41FC">
                      <w:pPr>
                        <w:jc w:val="center"/>
                        <w:rPr>
                          <w:rFonts w:ascii="Swis721 Th BT" w:hAnsi="Swis721 Th BT"/>
                          <w:sz w:val="23"/>
                          <w:szCs w:val="23"/>
                        </w:rPr>
                      </w:pPr>
                      <w:r>
                        <w:rPr>
                          <w:rFonts w:ascii="Swis721 Th BT" w:hAnsi="Swis721 Th BT"/>
                          <w:sz w:val="23"/>
                          <w:szCs w:val="23"/>
                        </w:rPr>
                        <w:t>Para isso, 62 mulheres participaram deste estudo clínico e randomizado. Elas foram separadas em dois grupos para receberem a seguinte posologia durante quatro semanas:</w:t>
                      </w:r>
                    </w:p>
                    <w:p w14:paraId="620CF157"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25938B7F" w14:textId="77777777" w:rsidR="00CD65C2" w:rsidRDefault="00CD65C2">
      <w:pPr>
        <w:pStyle w:val="Corpo"/>
        <w:rPr>
          <w:rFonts w:hint="eastAsia"/>
          <w:color w:val="404040" w:themeColor="text1" w:themeTint="BF"/>
        </w:rPr>
      </w:pPr>
    </w:p>
    <w:p w14:paraId="285B4867"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920384" behindDoc="0" locked="0" layoutInCell="1" allowOverlap="1">
                <wp:simplePos x="0" y="0"/>
                <wp:positionH relativeFrom="column">
                  <wp:posOffset>-5715</wp:posOffset>
                </wp:positionH>
                <wp:positionV relativeFrom="paragraph">
                  <wp:posOffset>88900</wp:posOffset>
                </wp:positionV>
                <wp:extent cx="1913890" cy="781685"/>
                <wp:effectExtent l="0" t="0" r="10160" b="18415"/>
                <wp:wrapNone/>
                <wp:docPr id="739657802" name="Caixa de texto 739657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7000ADF9"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color w:val="FFFFFF" w:themeColor="background1"/>
                                <w:sz w:val="23"/>
                                <w:szCs w:val="23"/>
                              </w:rPr>
                              <w:t>Panax Ginseng</w:t>
                            </w:r>
                            <w:r>
                              <w:rPr>
                                <w:rFonts w:ascii="Swis721 Th BT" w:hAnsi="Swis721 Th BT"/>
                                <w:color w:val="FFFFFF" w:themeColor="background1"/>
                                <w:sz w:val="23"/>
                                <w:szCs w:val="23"/>
                              </w:rPr>
                              <w:t xml:space="preserve"> 500 mg</w:t>
                            </w:r>
                          </w:p>
                          <w:p w14:paraId="651F1FC4"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14:paraId="76129B36"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739657802" o:spid="_x0000_s1184" type="#_x0000_t202" style="position:absolute;left:0;text-align:left;margin-left:-.45pt;margin-top:7pt;width:150.7pt;height:61.55pt;z-index:251920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" fillcolor="#0070c0" strokecolor="#0070c0">
                <v:textbox>
                  <w:txbxContent>
                    <w:p w14:paraId="7000ADF9"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color w:val="FFFFFF" w:themeColor="background1"/>
                          <w:sz w:val="23"/>
                          <w:szCs w:val="23"/>
                        </w:rPr>
                        <w:t>Panax Ginseng</w:t>
                      </w:r>
                      <w:r>
                        <w:rPr>
                          <w:rFonts w:ascii="Swis721 Th BT" w:hAnsi="Swis721 Th BT"/>
                          <w:color w:val="FFFFFF" w:themeColor="background1"/>
                          <w:sz w:val="23"/>
                          <w:szCs w:val="23"/>
                        </w:rPr>
                        <w:t xml:space="preserve"> 500 mg</w:t>
                      </w:r>
                    </w:p>
                    <w:p w14:paraId="651F1FC4"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14:paraId="76129B36"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921408" behindDoc="0" locked="0" layoutInCell="1" allowOverlap="1">
                <wp:simplePos x="0" y="0"/>
                <wp:positionH relativeFrom="column">
                  <wp:posOffset>3839210</wp:posOffset>
                </wp:positionH>
                <wp:positionV relativeFrom="paragraph">
                  <wp:posOffset>88900</wp:posOffset>
                </wp:positionV>
                <wp:extent cx="1905000" cy="781685"/>
                <wp:effectExtent l="0" t="0" r="19050" b="18415"/>
                <wp:wrapNone/>
                <wp:docPr id="739657803" name="Caixa de texto 7396578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328B53E9"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261ECDF7"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06D038AD"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14:paraId="7D1B044F" w14:textId="77777777" w:rsidR="00FA41FC" w:rsidRDefault="00FA41FC">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739657803" o:spid="_x0000_s1185" type="#_x0000_t202" style="position:absolute;left:0;text-align:left;margin-left:302.3pt;margin-top:7pt;width:150pt;height:61.55pt;z-index:251921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" fillcolor="#0070c0" strokecolor="#0070c0">
                <v:textbox>
                  <w:txbxContent>
                    <w:p w14:paraId="328B53E9"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261ECDF7"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06D038AD"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14:paraId="7D1B044F" w14:textId="77777777" w:rsidR="00FA41FC" w:rsidRDefault="00FA41FC">
                      <w:pPr>
                        <w:spacing w:after="0" w:line="240" w:lineRule="auto"/>
                        <w:jc w:val="center"/>
                      </w:pPr>
                    </w:p>
                  </w:txbxContent>
                </v:textbox>
              </v:shape>
            </w:pict>
          </mc:Fallback>
        </mc:AlternateContent>
      </w:r>
    </w:p>
    <w:p w14:paraId="10814523" w14:textId="77777777" w:rsidR="00CD65C2" w:rsidRDefault="00CD65C2">
      <w:pPr>
        <w:pStyle w:val="Corpo"/>
        <w:rPr>
          <w:rFonts w:hint="eastAsia"/>
          <w:color w:val="404040" w:themeColor="text1" w:themeTint="BF"/>
        </w:rPr>
      </w:pPr>
    </w:p>
    <w:p w14:paraId="4A45FBB3" w14:textId="77777777" w:rsidR="00CD65C2" w:rsidRDefault="00CD65C2">
      <w:pPr>
        <w:pStyle w:val="Corpo"/>
        <w:rPr>
          <w:rFonts w:hint="eastAsia"/>
          <w:color w:val="404040" w:themeColor="text1" w:themeTint="BF"/>
        </w:rPr>
      </w:pPr>
    </w:p>
    <w:p w14:paraId="79D5CD67" w14:textId="77777777" w:rsidR="00CD65C2" w:rsidRDefault="00CD65C2">
      <w:pPr>
        <w:pStyle w:val="Corpo"/>
        <w:rPr>
          <w:rFonts w:hint="eastAsia"/>
          <w:color w:val="404040" w:themeColor="text1" w:themeTint="BF"/>
        </w:rPr>
      </w:pPr>
    </w:p>
    <w:p w14:paraId="1A35DE48" w14:textId="77777777" w:rsidR="00CD65C2" w:rsidRDefault="00CD65C2">
      <w:pPr>
        <w:pStyle w:val="Corpo"/>
        <w:spacing w:before="120"/>
        <w:rPr>
          <w:rFonts w:hint="eastAsia"/>
          <w:color w:val="404040" w:themeColor="text1" w:themeTint="BF"/>
          <w:sz w:val="20"/>
        </w:rPr>
      </w:pPr>
    </w:p>
    <w:p w14:paraId="1F9D3F5C" w14:textId="77777777" w:rsidR="00CD65C2" w:rsidRDefault="00FA41FC" w:rsidP="00D1428E">
      <w:pPr>
        <w:pStyle w:val="Corpo"/>
        <w:numPr>
          <w:ilvl w:val="0"/>
          <w:numId w:val="44"/>
        </w:numPr>
        <w:rPr>
          <w:rFonts w:hint="eastAsia"/>
          <w:color w:val="404040" w:themeColor="text1" w:themeTint="BF"/>
          <w:sz w:val="20"/>
          <w:szCs w:val="23"/>
        </w:rPr>
      </w:pPr>
      <w:r>
        <w:rPr>
          <w:color w:val="404040" w:themeColor="text1" w:themeTint="BF"/>
          <w:sz w:val="20"/>
          <w:szCs w:val="23"/>
        </w:rPr>
        <w:t xml:space="preserve">Foram avaliados os escores dos seguintes parâmetros: </w:t>
      </w:r>
      <w:r>
        <w:rPr>
          <w:i/>
          <w:color w:val="404040" w:themeColor="text1" w:themeTint="BF"/>
          <w:sz w:val="20"/>
          <w:szCs w:val="23"/>
        </w:rPr>
        <w:t>Female Sexual Function Index</w:t>
      </w:r>
      <w:r>
        <w:rPr>
          <w:color w:val="404040" w:themeColor="text1" w:themeTint="BF"/>
          <w:sz w:val="20"/>
          <w:szCs w:val="23"/>
        </w:rPr>
        <w:t xml:space="preserve"> (FSFI), do </w:t>
      </w:r>
      <w:r>
        <w:rPr>
          <w:i/>
          <w:color w:val="404040" w:themeColor="text1" w:themeTint="BF"/>
          <w:sz w:val="20"/>
          <w:szCs w:val="23"/>
        </w:rPr>
        <w:t>Menopause-Specific Quality of Life</w:t>
      </w:r>
      <w:r>
        <w:rPr>
          <w:color w:val="404040" w:themeColor="text1" w:themeTint="BF"/>
          <w:sz w:val="20"/>
          <w:szCs w:val="23"/>
        </w:rPr>
        <w:t xml:space="preserve"> (MENQOL) e do </w:t>
      </w:r>
      <w:r>
        <w:rPr>
          <w:i/>
          <w:color w:val="404040" w:themeColor="text1" w:themeTint="BF"/>
          <w:sz w:val="20"/>
          <w:szCs w:val="23"/>
        </w:rPr>
        <w:t>Greene Menopausal Symptom.</w:t>
      </w:r>
    </w:p>
    <w:p w14:paraId="6E945FAC" w14:textId="77777777" w:rsidR="00CD65C2" w:rsidRDefault="00CD65C2">
      <w:pPr>
        <w:pStyle w:val="Corpo"/>
        <w:rPr>
          <w:rFonts w:hint="eastAsia"/>
          <w:b/>
          <w:color w:val="339966"/>
          <w:sz w:val="25"/>
          <w:szCs w:val="25"/>
          <w14:textFill>
            <w14:solidFill>
              <w14:srgbClr w14:val="339966">
                <w14:lumMod w14:val="75000"/>
                <w14:lumOff w14:val="25000"/>
              </w14:srgbClr>
            </w14:solidFill>
          </w14:textFill>
        </w:rPr>
      </w:pPr>
    </w:p>
    <w:p w14:paraId="4D272C9D"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72E768DC" w14:textId="77777777" w:rsidR="00CD65C2" w:rsidRDefault="00CD65C2">
      <w:pPr>
        <w:pStyle w:val="Corpo"/>
        <w:rPr>
          <w:rFonts w:hint="eastAsia"/>
          <w:color w:val="404040" w:themeColor="text1" w:themeTint="BF"/>
          <w:sz w:val="16"/>
          <w:szCs w:val="16"/>
        </w:rPr>
      </w:pPr>
    </w:p>
    <w:p w14:paraId="32AEBA5B" w14:textId="77777777" w:rsidR="00CD65C2" w:rsidRDefault="00FA41FC" w:rsidP="00D1428E">
      <w:pPr>
        <w:pStyle w:val="Corpo"/>
        <w:numPr>
          <w:ilvl w:val="0"/>
          <w:numId w:val="45"/>
        </w:numPr>
        <w:spacing w:after="120"/>
        <w:rPr>
          <w:rFonts w:hint="eastAsia"/>
          <w:color w:val="404040" w:themeColor="text1" w:themeTint="BF"/>
          <w:sz w:val="24"/>
        </w:rPr>
      </w:pPr>
      <w:r>
        <w:rPr>
          <w:color w:val="404040" w:themeColor="text1" w:themeTint="BF"/>
          <w:sz w:val="24"/>
        </w:rPr>
        <w:t>Não foram observadas diferenças estatísticas entre os dois grupos em termos de características demográficas, função sexual, qualidade de vida e sintomas da menopausa entre os dois grupos (p &gt; 0,05);</w:t>
      </w:r>
    </w:p>
    <w:p w14:paraId="74300767" w14:textId="77777777" w:rsidR="00CD65C2" w:rsidRDefault="00FA41FC" w:rsidP="00D1428E">
      <w:pPr>
        <w:pStyle w:val="Corpo"/>
        <w:numPr>
          <w:ilvl w:val="0"/>
          <w:numId w:val="45"/>
        </w:numPr>
        <w:spacing w:after="120"/>
        <w:rPr>
          <w:rFonts w:hint="eastAsia"/>
          <w:color w:val="404040" w:themeColor="text1" w:themeTint="BF"/>
          <w:sz w:val="24"/>
        </w:rPr>
      </w:pPr>
      <w:r>
        <w:rPr>
          <w:color w:val="404040" w:themeColor="text1" w:themeTint="BF"/>
          <w:sz w:val="24"/>
        </w:rPr>
        <w:t>Após a intervenção, escores do FSFI foram mais elevados no grupo 1 quando comparados com o grupo 2;</w:t>
      </w:r>
    </w:p>
    <w:p w14:paraId="7198EC28" w14:textId="0FD10113" w:rsidR="00CD65C2" w:rsidRDefault="00FA41FC" w:rsidP="00D1428E">
      <w:pPr>
        <w:pStyle w:val="Corpo"/>
        <w:numPr>
          <w:ilvl w:val="0"/>
          <w:numId w:val="45"/>
        </w:numPr>
        <w:spacing w:after="120"/>
        <w:rPr>
          <w:rFonts w:hint="eastAsia"/>
          <w:color w:val="404040" w:themeColor="text1" w:themeTint="BF"/>
          <w:sz w:val="24"/>
        </w:rPr>
      </w:pPr>
      <w:r>
        <w:rPr>
          <w:color w:val="404040" w:themeColor="text1" w:themeTint="BF"/>
          <w:sz w:val="24"/>
        </w:rPr>
        <w:t>Os escores que medem a qualidade de vida foram mais elevados e os sintomas relacionados a menopausa foram mais baixos no grupo 1 em comparação ao grupo 2.</w:t>
      </w:r>
    </w:p>
    <w:p w14:paraId="12A8B08C" w14:textId="60230014" w:rsidR="00CD65C2" w:rsidRDefault="00FA41FC" w:rsidP="00D1428E">
      <w:pPr>
        <w:pStyle w:val="Corpo"/>
        <w:numPr>
          <w:ilvl w:val="0"/>
          <w:numId w:val="45"/>
        </w:numPr>
        <w:spacing w:after="120"/>
        <w:rPr>
          <w:rFonts w:hint="eastAsia"/>
          <w:color w:val="404040" w:themeColor="text1" w:themeTint="BF"/>
          <w:sz w:val="24"/>
        </w:rPr>
      </w:pPr>
      <w:r>
        <w:rPr>
          <w:color w:val="404040" w:themeColor="text1" w:themeTint="BF"/>
          <w:sz w:val="24"/>
        </w:rPr>
        <w:t>Os efeitos colaterais incluíram um caso de insônia e palpitação e dois casos de flushing no grupo 1. No grupo 2, houve um caso de desconforto gástrico e alteração no odor e cor da urina.</w:t>
      </w:r>
    </w:p>
    <w:p w14:paraId="6C89A1A1" w14:textId="77777777" w:rsidR="00CD65C2" w:rsidRDefault="00CD65C2">
      <w:pPr>
        <w:pStyle w:val="Corpo"/>
        <w:spacing w:after="120"/>
        <w:ind w:left="786"/>
        <w:rPr>
          <w:rFonts w:hint="eastAsia"/>
          <w:color w:val="404040" w:themeColor="text1" w:themeTint="BF"/>
          <w:sz w:val="24"/>
        </w:rPr>
      </w:pPr>
    </w:p>
    <w:p w14:paraId="770A9538"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6C0B8FBC" w14:textId="77777777" w:rsidR="00CD65C2" w:rsidRDefault="00CD65C2">
      <w:pPr>
        <w:pStyle w:val="Corpo"/>
        <w:rPr>
          <w:rFonts w:hint="eastAsia"/>
          <w:b/>
          <w:color w:val="339966"/>
          <w:sz w:val="16"/>
          <w:szCs w:val="16"/>
          <w14:textFill>
            <w14:solidFill>
              <w14:srgbClr w14:val="339966">
                <w14:lumMod w14:val="75000"/>
                <w14:lumOff w14:val="25000"/>
              </w14:srgbClr>
            </w14:solidFill>
          </w14:textFill>
        </w:rPr>
      </w:pPr>
    </w:p>
    <w:p w14:paraId="12960C05" w14:textId="2140BBE8" w:rsidR="00CD65C2" w:rsidRDefault="00FA41FC">
      <w:pPr>
        <w:pStyle w:val="Corpo"/>
        <w:jc w:val="center"/>
        <w:rPr>
          <w:rFonts w:hint="eastAsia"/>
          <w:b/>
          <w:i/>
          <w:color w:val="404040" w:themeColor="text1" w:themeTint="BF"/>
        </w:rPr>
      </w:pPr>
      <w:r>
        <w:rPr>
          <w:b/>
          <w:i/>
          <w:color w:val="404040" w:themeColor="text1" w:themeTint="BF"/>
        </w:rPr>
        <w:t>O uso do</w:t>
      </w:r>
      <w:r w:rsidRPr="00D1428E">
        <w:rPr>
          <w:rFonts w:hint="eastAsia"/>
          <w:b/>
          <w:iCs/>
          <w:color w:val="404040" w:themeColor="text1" w:themeTint="BF"/>
        </w:rPr>
        <w:t xml:space="preserve"> Panax ginseng </w:t>
      </w:r>
      <w:r>
        <w:rPr>
          <w:b/>
          <w:i/>
          <w:color w:val="404040" w:themeColor="text1" w:themeTint="BF"/>
        </w:rPr>
        <w:t xml:space="preserve">apresentou efeitos significativos na melhora da função sexual, na qualidade de vida e diminuiu os sintomas da menopausa nas mulheres avaliadas. Dessa forma, o Ginseng pode ser uma alternativa às terapias convencionais na promoção da saúde em mulheres na pós-menopausa. </w:t>
      </w:r>
    </w:p>
    <w:p w14:paraId="2157E4E0" w14:textId="77777777" w:rsidR="00CD65C2" w:rsidRDefault="00FA41FC">
      <w:pPr>
        <w:pStyle w:val="Corpo"/>
        <w:jc w:val="center"/>
        <w:rPr>
          <w:rFonts w:hint="eastAsia"/>
          <w:b/>
          <w:i/>
          <w:color w:val="404040" w:themeColor="text1" w:themeTint="BF"/>
        </w:rPr>
      </w:pPr>
      <w:r>
        <w:rPr>
          <w:b/>
          <w:i/>
          <w:color w:val="404040" w:themeColor="text1" w:themeTint="BF"/>
        </w:rPr>
        <w:t xml:space="preserve"> </w:t>
      </w:r>
    </w:p>
    <w:p w14:paraId="43F41CAC" w14:textId="77777777" w:rsidR="00CD65C2" w:rsidRDefault="00FA41FC">
      <w:pPr>
        <w:pStyle w:val="Ttulo1"/>
        <w:jc w:val="center"/>
        <w:rPr>
          <w:rFonts w:hint="eastAsia"/>
        </w:rPr>
      </w:pPr>
      <w:bookmarkStart w:id="122" w:name="_Toc165537270"/>
      <w:r>
        <w:t>Formulário</w:t>
      </w:r>
      <w:bookmarkEnd w:id="122"/>
    </w:p>
    <w:p w14:paraId="06FCCE46" w14:textId="77777777" w:rsidR="00CD65C2" w:rsidRDefault="00CD65C2">
      <w:pPr>
        <w:pStyle w:val="Corpo"/>
        <w:rPr>
          <w:rFonts w:hint="eastAsia"/>
          <w:b/>
          <w:i/>
          <w:color w:val="404040" w:themeColor="text1" w:themeTint="BF"/>
        </w:rPr>
      </w:pPr>
    </w:p>
    <w:p w14:paraId="2B821A77" w14:textId="77777777" w:rsidR="00CD65C2" w:rsidRDefault="00CD65C2">
      <w:pPr>
        <w:pStyle w:val="Corpo"/>
        <w:rPr>
          <w:rFonts w:hint="eastAsia"/>
          <w:b/>
          <w:i/>
          <w:color w:val="404040" w:themeColor="text1" w:themeTint="BF"/>
        </w:rPr>
      </w:pPr>
    </w:p>
    <w:p w14:paraId="393E0233" w14:textId="77777777" w:rsidR="00CD65C2" w:rsidRDefault="00FA41FC">
      <w:pPr>
        <w:pStyle w:val="Corpo"/>
        <w:rPr>
          <w:rFonts w:hint="eastAsia"/>
          <w:b/>
          <w:i/>
          <w:color w:val="404040" w:themeColor="text1" w:themeTint="BF"/>
          <w:sz w:val="24"/>
        </w:rPr>
      </w:pPr>
      <w:r>
        <w:rPr>
          <w:b/>
          <w:i/>
          <w:color w:val="404040" w:themeColor="text1" w:themeTint="BF"/>
          <w:sz w:val="24"/>
        </w:rPr>
        <w:t>Ginseng no Manejo de Mulheres com Sintomas Associados à Menopausa</w:t>
      </w:r>
    </w:p>
    <w:p w14:paraId="1AE7367F"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493EDD69"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3322630E" w14:textId="77777777" w:rsidR="00CD65C2" w:rsidRDefault="00FA41FC">
            <w:pPr>
              <w:pStyle w:val="Corpo"/>
              <w:jc w:val="center"/>
              <w:rPr>
                <w:rFonts w:hint="eastAsia"/>
                <w:b/>
                <w:color w:val="FFFFFF" w:themeColor="background1"/>
              </w:rPr>
            </w:pPr>
            <w:r>
              <w:rPr>
                <w:b/>
                <w:color w:val="FFFFFF" w:themeColor="background1"/>
                <w:sz w:val="22"/>
              </w:rPr>
              <w:t>Cápsulas de Ginseng</w:t>
            </w:r>
          </w:p>
        </w:tc>
      </w:tr>
      <w:tr w:rsidR="00CD65C2" w14:paraId="03D21D38"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BC0F05F" w14:textId="77777777" w:rsidR="00CD65C2" w:rsidRDefault="00FA41FC">
            <w:pPr>
              <w:pStyle w:val="Corpo"/>
              <w:rPr>
                <w:rFonts w:hint="eastAsia"/>
                <w:color w:val="404040" w:themeColor="text1" w:themeTint="BF"/>
              </w:rPr>
            </w:pPr>
            <w:r>
              <w:rPr>
                <w:color w:val="404040" w:themeColor="text1" w:themeTint="BF"/>
              </w:rPr>
              <w:t>Ginseng..........................................500 mg</w:t>
            </w:r>
          </w:p>
        </w:tc>
      </w:tr>
      <w:tr w:rsidR="00CD65C2" w14:paraId="56032590"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EB7A35E" w14:textId="4B757FEF" w:rsidR="00CD65C2" w:rsidRDefault="00FA41FC">
            <w:pPr>
              <w:pStyle w:val="Corpo"/>
              <w:rPr>
                <w:rFonts w:hint="eastAsia"/>
                <w:color w:val="404040" w:themeColor="text1" w:themeTint="BF"/>
              </w:rPr>
            </w:pPr>
            <w:r>
              <w:rPr>
                <w:color w:val="404040" w:themeColor="text1" w:themeTint="BF"/>
              </w:rPr>
              <w:t>Excipiente q.s.p. ........................1 Cápsula</w:t>
            </w:r>
          </w:p>
        </w:tc>
      </w:tr>
    </w:tbl>
    <w:p w14:paraId="51C4EC0A" w14:textId="75B9C6B1" w:rsidR="00CD65C2" w:rsidRDefault="00FA41FC">
      <w:pPr>
        <w:pStyle w:val="SemEspaamento"/>
        <w:ind w:right="4818"/>
        <w:jc w:val="center"/>
        <w:rPr>
          <w:rFonts w:ascii="Swis721 Th BT" w:eastAsia="MS Mincho" w:hAnsi="Swis721 Th BT" w:hint="eastAsia"/>
          <w:color w:val="404040" w:themeColor="text1" w:themeTint="BF"/>
        </w:rPr>
      </w:pPr>
      <w:r>
        <w:rPr>
          <w:rFonts w:ascii="Swis721 Th BT" w:eastAsia="MS Mincho" w:hAnsi="Swis721 Th BT"/>
          <w:color w:val="404040" w:themeColor="text1" w:themeTint="BF"/>
        </w:rPr>
        <w:t>Administrar 1 cápsula duas vezes ao dia ou conforme orientação médica.</w:t>
      </w:r>
    </w:p>
    <w:p w14:paraId="0AA01699" w14:textId="77777777" w:rsidR="00CD65C2" w:rsidRDefault="00CD65C2">
      <w:pPr>
        <w:pStyle w:val="SemEspaamento"/>
      </w:pPr>
    </w:p>
    <w:p w14:paraId="3A8FB2B1" w14:textId="77777777" w:rsidR="00CD65C2" w:rsidRDefault="00CD65C2">
      <w:pPr>
        <w:pStyle w:val="SemEspaamento"/>
      </w:pPr>
    </w:p>
    <w:p w14:paraId="35C6F23D" w14:textId="77777777" w:rsidR="00CD65C2" w:rsidRDefault="00CD65C2">
      <w:pPr>
        <w:pStyle w:val="SemEspaamento"/>
      </w:pPr>
    </w:p>
    <w:p w14:paraId="2C47E202" w14:textId="77777777" w:rsidR="00CD65C2" w:rsidRDefault="00CD65C2">
      <w:pPr>
        <w:pStyle w:val="SemEspaamento"/>
      </w:pPr>
    </w:p>
    <w:p w14:paraId="5CB62404" w14:textId="77777777" w:rsidR="00CD65C2" w:rsidRDefault="00CD65C2">
      <w:pPr>
        <w:pStyle w:val="SemEspaamento"/>
      </w:pPr>
    </w:p>
    <w:p w14:paraId="52909D9F" w14:textId="77777777" w:rsidR="00CD65C2" w:rsidRDefault="00CD65C2">
      <w:pPr>
        <w:pStyle w:val="SemEspaamento"/>
      </w:pPr>
    </w:p>
    <w:p w14:paraId="10FBB362" w14:textId="77777777" w:rsidR="00CD65C2" w:rsidRDefault="00CD65C2">
      <w:pPr>
        <w:pStyle w:val="SemEspaamento"/>
      </w:pPr>
    </w:p>
    <w:p w14:paraId="231D692E" w14:textId="77777777" w:rsidR="00CD65C2" w:rsidRDefault="00CD65C2">
      <w:pPr>
        <w:pStyle w:val="SemEspaamento"/>
      </w:pPr>
    </w:p>
    <w:p w14:paraId="3A58D47D" w14:textId="77777777" w:rsidR="00CD65C2" w:rsidRDefault="00CD65C2">
      <w:pPr>
        <w:pStyle w:val="SemEspaamento"/>
      </w:pPr>
    </w:p>
    <w:p w14:paraId="7CDCA3E3" w14:textId="77777777" w:rsidR="00CD65C2" w:rsidRDefault="00CD65C2">
      <w:pPr>
        <w:pStyle w:val="SemEspaamento"/>
      </w:pPr>
    </w:p>
    <w:p w14:paraId="37882B8F" w14:textId="77777777" w:rsidR="00CD65C2" w:rsidRDefault="00CD65C2">
      <w:pPr>
        <w:pStyle w:val="SemEspaamento"/>
      </w:pPr>
    </w:p>
    <w:p w14:paraId="7DFBDC98" w14:textId="77777777" w:rsidR="00CD65C2" w:rsidRDefault="00CD65C2">
      <w:pPr>
        <w:pStyle w:val="SemEspaamento"/>
      </w:pPr>
    </w:p>
    <w:p w14:paraId="424AB6A5" w14:textId="77777777" w:rsidR="00CD65C2" w:rsidRDefault="00CD65C2">
      <w:pPr>
        <w:pStyle w:val="SemEspaamento"/>
      </w:pPr>
    </w:p>
    <w:p w14:paraId="474DA27F" w14:textId="77777777" w:rsidR="00CD65C2" w:rsidRDefault="00CD65C2">
      <w:pPr>
        <w:pStyle w:val="SemEspaamento"/>
      </w:pPr>
    </w:p>
    <w:p w14:paraId="085FB1B7" w14:textId="77777777" w:rsidR="00CD65C2" w:rsidRDefault="00CD65C2">
      <w:pPr>
        <w:pStyle w:val="SemEspaamento"/>
      </w:pPr>
    </w:p>
    <w:p w14:paraId="5A316935" w14:textId="77777777" w:rsidR="00CD65C2" w:rsidRDefault="00CD65C2">
      <w:pPr>
        <w:pStyle w:val="SemEspaamento"/>
      </w:pPr>
    </w:p>
    <w:p w14:paraId="349E0B25" w14:textId="77777777" w:rsidR="00CD65C2" w:rsidRDefault="00CD65C2">
      <w:pPr>
        <w:pStyle w:val="SemEspaamento"/>
      </w:pPr>
    </w:p>
    <w:p w14:paraId="2E1E4BB5" w14:textId="77777777" w:rsidR="00CD65C2" w:rsidRDefault="00CD65C2">
      <w:pPr>
        <w:pStyle w:val="SemEspaamento"/>
      </w:pPr>
    </w:p>
    <w:p w14:paraId="5B4B1A3F" w14:textId="77777777" w:rsidR="00CD65C2" w:rsidRDefault="00CD65C2">
      <w:pPr>
        <w:pStyle w:val="SemEspaamento"/>
      </w:pPr>
    </w:p>
    <w:p w14:paraId="6B3AC544" w14:textId="77777777" w:rsidR="00CD65C2" w:rsidRDefault="00CD65C2">
      <w:pPr>
        <w:pStyle w:val="SemEspaamento"/>
      </w:pPr>
    </w:p>
    <w:p w14:paraId="48AEAE80" w14:textId="77777777" w:rsidR="00CD65C2" w:rsidRDefault="00CD65C2">
      <w:pPr>
        <w:pStyle w:val="SemEspaamento"/>
      </w:pPr>
    </w:p>
    <w:p w14:paraId="70693472" w14:textId="77777777" w:rsidR="00CD65C2" w:rsidRDefault="00CD65C2">
      <w:pPr>
        <w:pStyle w:val="SemEspaamento"/>
      </w:pPr>
    </w:p>
    <w:p w14:paraId="0F0DF25A" w14:textId="77777777" w:rsidR="00CD65C2" w:rsidRDefault="00CD65C2">
      <w:pPr>
        <w:pStyle w:val="SemEspaamento"/>
      </w:pPr>
    </w:p>
    <w:p w14:paraId="251720C4" w14:textId="77777777" w:rsidR="00CD65C2" w:rsidRDefault="00CD65C2">
      <w:pPr>
        <w:pStyle w:val="SemEspaamento"/>
      </w:pPr>
    </w:p>
    <w:p w14:paraId="0350D048" w14:textId="77777777" w:rsidR="00CD65C2" w:rsidRDefault="00CD65C2">
      <w:pPr>
        <w:pStyle w:val="SemEspaamento"/>
      </w:pPr>
    </w:p>
    <w:p w14:paraId="4E52FBCC" w14:textId="77777777" w:rsidR="00CD65C2" w:rsidRDefault="00CD65C2">
      <w:pPr>
        <w:pStyle w:val="SemEspaamento"/>
      </w:pPr>
    </w:p>
    <w:p w14:paraId="6092B04E" w14:textId="77777777" w:rsidR="00CD65C2" w:rsidRDefault="00CD65C2">
      <w:pPr>
        <w:pStyle w:val="SemEspaamento"/>
      </w:pPr>
    </w:p>
    <w:p w14:paraId="76828017" w14:textId="77777777" w:rsidR="00CD65C2" w:rsidRDefault="00CD65C2">
      <w:pPr>
        <w:pStyle w:val="SemEspaamento"/>
      </w:pPr>
    </w:p>
    <w:p w14:paraId="0778F7CE" w14:textId="77777777" w:rsidR="00CD65C2" w:rsidRDefault="00CD65C2">
      <w:pPr>
        <w:pStyle w:val="SemEspaamento"/>
      </w:pPr>
    </w:p>
    <w:p w14:paraId="46C760A5" w14:textId="77777777" w:rsidR="00CD65C2" w:rsidRDefault="00CD65C2">
      <w:pPr>
        <w:pStyle w:val="SemEspaamento"/>
      </w:pPr>
    </w:p>
    <w:p w14:paraId="0631D22C" w14:textId="77777777" w:rsidR="00CD65C2" w:rsidRDefault="00CD65C2">
      <w:pPr>
        <w:pStyle w:val="SemEspaamento"/>
      </w:pPr>
    </w:p>
    <w:p w14:paraId="4058A4E5" w14:textId="77777777" w:rsidR="00CD65C2" w:rsidRDefault="00CD65C2">
      <w:pPr>
        <w:pStyle w:val="SemEspaamento"/>
      </w:pPr>
    </w:p>
    <w:p w14:paraId="5E657D03" w14:textId="77777777" w:rsidR="00CD65C2" w:rsidRDefault="00FA41FC">
      <w:pPr>
        <w:pStyle w:val="Ttulo1"/>
        <w:jc w:val="center"/>
        <w:rPr>
          <w:rFonts w:hint="eastAsia"/>
        </w:rPr>
      </w:pPr>
      <w:bookmarkStart w:id="123" w:name="_Toc165537271"/>
      <w:r>
        <w:rPr>
          <w:i/>
        </w:rPr>
        <w:t>Tribulus terrestris</w:t>
      </w:r>
      <w:bookmarkEnd w:id="123"/>
    </w:p>
    <w:p w14:paraId="7679B34E" w14:textId="77777777" w:rsidR="00CD65C2" w:rsidRDefault="00FA41FC">
      <w:pPr>
        <w:pStyle w:val="Subtitulocorpo"/>
        <w:rPr>
          <w:rFonts w:hint="eastAsia"/>
          <w:color w:val="0082B2"/>
          <w:szCs w:val="40"/>
        </w:rPr>
      </w:pPr>
      <w:r>
        <w:rPr>
          <w:color w:val="0082B2"/>
        </w:rPr>
        <w:t>Efetivo no Tratamento das Queixas Sexuais das Mulheres na Pré-Menopausa</w:t>
      </w:r>
    </w:p>
    <w:p w14:paraId="35E0A1A9" w14:textId="77777777" w:rsidR="00CD65C2" w:rsidRDefault="00CD65C2">
      <w:pPr>
        <w:pStyle w:val="Corpo"/>
        <w:rPr>
          <w:rFonts w:hint="eastAsia"/>
          <w:b/>
          <w:bCs/>
          <w:color w:val="0070C0"/>
          <w:sz w:val="40"/>
          <w14:textFill>
            <w14:solidFill>
              <w14:srgbClr w14:val="0070C0">
                <w14:lumMod w14:val="75000"/>
                <w14:lumOff w14:val="25000"/>
              </w14:srgbClr>
            </w14:solidFill>
          </w14:textFill>
        </w:rPr>
      </w:pPr>
    </w:p>
    <w:p w14:paraId="05A6A0A6" w14:textId="35BE4DB3" w:rsidR="00CD65C2" w:rsidRDefault="00FA41FC">
      <w:pPr>
        <w:pStyle w:val="Corpo"/>
        <w:rPr>
          <w:rFonts w:hint="eastAsia"/>
          <w:color w:val="404040" w:themeColor="text1" w:themeTint="BF"/>
        </w:rPr>
      </w:pPr>
      <w:r>
        <w:rPr>
          <w:color w:val="404040" w:themeColor="text1" w:themeTint="BF"/>
        </w:rPr>
        <w:t xml:space="preserve">Este estudo, conduzido por Vale </w:t>
      </w:r>
      <w:r w:rsidRPr="00D1428E">
        <w:rPr>
          <w:rFonts w:hint="eastAsia"/>
          <w:i/>
          <w:iCs/>
          <w:color w:val="404040" w:themeColor="text1" w:themeTint="BF"/>
        </w:rPr>
        <w:t>et al</w:t>
      </w:r>
      <w:r>
        <w:rPr>
          <w:color w:val="404040" w:themeColor="text1" w:themeTint="BF"/>
        </w:rPr>
        <w:t xml:space="preserve">. (2018), analisou a eficácia do tratamento com </w:t>
      </w:r>
      <w:r w:rsidRPr="00D1428E">
        <w:rPr>
          <w:rFonts w:hint="eastAsia"/>
          <w:i/>
          <w:iCs/>
          <w:color w:val="404040" w:themeColor="text1" w:themeTint="BF"/>
        </w:rPr>
        <w:t>Tribulus terrestris</w:t>
      </w:r>
      <w:r>
        <w:rPr>
          <w:color w:val="404040" w:themeColor="text1" w:themeTint="BF"/>
        </w:rPr>
        <w:t xml:space="preserve"> em mulheres pré-menopausadas que apresentavam desordem do desejo sexual hipoativo, bem como os impactos desse tratamento nos níveis de testosterona sérica.</w:t>
      </w:r>
    </w:p>
    <w:p w14:paraId="646DA205"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930624" behindDoc="0" locked="0" layoutInCell="1" allowOverlap="1">
                <wp:simplePos x="0" y="0"/>
                <wp:positionH relativeFrom="margin">
                  <wp:posOffset>8255</wp:posOffset>
                </wp:positionH>
                <wp:positionV relativeFrom="paragraph">
                  <wp:posOffset>100330</wp:posOffset>
                </wp:positionV>
                <wp:extent cx="5724525" cy="707390"/>
                <wp:effectExtent l="0" t="0" r="28575" b="16510"/>
                <wp:wrapNone/>
                <wp:docPr id="739657815" name="Caixa de texto 7396578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707572"/>
                        </a:xfrm>
                        <a:prstGeom prst="rect">
                          <a:avLst/>
                        </a:prstGeom>
                        <a:solidFill>
                          <a:schemeClr val="bg1">
                            <a:lumMod val="100000"/>
                            <a:lumOff val="0"/>
                          </a:schemeClr>
                        </a:solidFill>
                        <a:ln w="9525">
                          <a:solidFill>
                            <a:srgbClr val="0070C0"/>
                          </a:solidFill>
                          <a:miter lim="800000"/>
                        </a:ln>
                      </wps:spPr>
                      <wps:txbx>
                        <w:txbxContent>
                          <w:p w14:paraId="00F7BE74" w14:textId="2F80C9ED" w:rsidR="00FA41FC" w:rsidRDefault="00FA41FC">
                            <w:pPr>
                              <w:pStyle w:val="Corpo"/>
                              <w:jc w:val="center"/>
                              <w:rPr>
                                <w:rFonts w:hint="eastAsia"/>
                                <w:color w:val="404040" w:themeColor="text1" w:themeTint="BF"/>
                                <w:szCs w:val="23"/>
                              </w:rPr>
                            </w:pPr>
                            <w:r>
                              <w:rPr>
                                <w:color w:val="404040" w:themeColor="text1" w:themeTint="BF"/>
                              </w:rPr>
                              <w:t>Para isso, 40 mulheres participaram deste estudo clínico, prospectivo, randomizado, duplo-cego e placebo-controlado. Essas mulheres reportaram diminuição da libido. Elas foram randomizadas em dois grupos para receberem a seguinte posologia durante 120 dias:</w:t>
                            </w:r>
                          </w:p>
                          <w:p w14:paraId="3B522A87"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815" o:spid="_x0000_s1186" type="#_x0000_t202" style="position:absolute;left:0;text-align:left;margin-left:.65pt;margin-top:7.9pt;width:450.75pt;height:55.7pt;z-index:2519306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" fillcolor="white [3212]" strokecolor="#0070c0">
                <v:textbox>
                  <w:txbxContent>
                    <w:p w14:paraId="00F7BE74" w14:textId="2F80C9ED" w:rsidR="00FA41FC" w:rsidRDefault="00FA41FC">
                      <w:pPr>
                        <w:pStyle w:val="Corpo"/>
                        <w:jc w:val="center"/>
                        <w:rPr>
                          <w:rFonts w:hint="eastAsia"/>
                          <w:color w:val="404040" w:themeColor="text1" w:themeTint="BF"/>
                          <w:szCs w:val="23"/>
                        </w:rPr>
                      </w:pPr>
                      <w:r>
                        <w:rPr>
                          <w:color w:val="404040" w:themeColor="text1" w:themeTint="BF"/>
                        </w:rPr>
                        <w:t>Para isso, 40 mulheres participaram deste estudo clínico, prospectivo, randomizado, duplo-cego e placebo-controlado. Essas mulheres reportaram diminuição da libido. Elas foram randomizadas em dois grupos para receberem a seguinte posologia durante 120 dias:</w:t>
                      </w:r>
                    </w:p>
                    <w:p w14:paraId="3B522A87"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5A365456" w14:textId="77777777" w:rsidR="00CD65C2" w:rsidRDefault="00CD65C2">
      <w:pPr>
        <w:pStyle w:val="Corpo"/>
        <w:rPr>
          <w:rFonts w:hint="eastAsia"/>
          <w:color w:val="404040" w:themeColor="text1" w:themeTint="BF"/>
          <w:sz w:val="24"/>
        </w:rPr>
      </w:pPr>
    </w:p>
    <w:p w14:paraId="714E3DA2" w14:textId="77777777" w:rsidR="00CD65C2" w:rsidRDefault="00CD65C2">
      <w:pPr>
        <w:pStyle w:val="Corpo"/>
        <w:rPr>
          <w:rFonts w:hint="eastAsia"/>
          <w:color w:val="404040" w:themeColor="text1" w:themeTint="BF"/>
          <w:sz w:val="24"/>
        </w:rPr>
      </w:pPr>
    </w:p>
    <w:p w14:paraId="619F5A3F"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932672" behindDoc="0" locked="0" layoutInCell="1" allowOverlap="1">
                <wp:simplePos x="0" y="0"/>
                <wp:positionH relativeFrom="column">
                  <wp:posOffset>826770</wp:posOffset>
                </wp:positionH>
                <wp:positionV relativeFrom="paragraph">
                  <wp:posOffset>137795</wp:posOffset>
                </wp:positionV>
                <wp:extent cx="226695" cy="138430"/>
                <wp:effectExtent l="0" t="0" r="1905" b="0"/>
                <wp:wrapNone/>
                <wp:docPr id="739657816" name="Triângulo isósceles 7396578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816" o:spid="_x0000_s1026" o:spt="5" type="#_x0000_t5" style="position:absolute;left:0pt;flip:y;margin-left:65.1pt;margin-top:10.85pt;height:10.9pt;width:17.85pt;z-index:251932672;mso-width-relative:page;mso-height-relative:page;" fillcolor="#D9D9D9 [3212]" filled="t" stroked="f" coordsize="21600,21600" o:gfxdata="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t0xvNNgAAAAJAQAADwAAAAAAAAABACAAAAAiAAAAZHJzL2Rvd25yZXYueG1sUEsBAhQAFAAA&#10;AAgAh07iQG0Hx4lhAgAAswQAAA4AAAAAAAAAAQAgAAAAJwEAAGRycy9lMm9Eb2MueG1sUEsFBgAA&#10;AAAGAAYAWQEAAPoFA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931648" behindDoc="0" locked="0" layoutInCell="1" allowOverlap="1">
                <wp:simplePos x="0" y="0"/>
                <wp:positionH relativeFrom="column">
                  <wp:posOffset>4662805</wp:posOffset>
                </wp:positionH>
                <wp:positionV relativeFrom="paragraph">
                  <wp:posOffset>137795</wp:posOffset>
                </wp:positionV>
                <wp:extent cx="226695" cy="138430"/>
                <wp:effectExtent l="0" t="0" r="1905" b="0"/>
                <wp:wrapNone/>
                <wp:docPr id="739657818" name="Triângulo isósceles 7396578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818" o:spid="_x0000_s1026" o:spt="5" type="#_x0000_t5" style="position:absolute;left:0pt;flip:y;margin-left:367.15pt;margin-top:10.85pt;height:10.9pt;width:17.85pt;z-index:251931648;mso-width-relative:page;mso-height-relative:page;" fillcolor="#D9D9D9 [3212]" filled="t" stroked="f" coordsize="21600,21600" o:gfxdata="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j7XCENgAAAAJAQAADwAAAAAAAAABACAAAAAiAAAAZHJzL2Rvd25yZXYueG1sUEsBAhQAFAAA&#10;AAgAh07iQF9j9p5hAgAAswQAAA4AAAAAAAAAAQAgAAAAJwEAAGRycy9lMm9Eb2MueG1sUEsFBgAA&#10;AAAGAAYAWQEAAPoFAAAAAA==&#10;" adj="10800">
                <v:fill on="t" focussize="0,0"/>
                <v:stroke on="f"/>
                <v:imagedata o:title=""/>
                <o:lock v:ext="edit" aspectratio="f"/>
              </v:shape>
            </w:pict>
          </mc:Fallback>
        </mc:AlternateContent>
      </w:r>
    </w:p>
    <w:p w14:paraId="39562064"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928576" behindDoc="0" locked="0" layoutInCell="1" allowOverlap="1">
                <wp:simplePos x="0" y="0"/>
                <wp:positionH relativeFrom="column">
                  <wp:posOffset>-17780</wp:posOffset>
                </wp:positionH>
                <wp:positionV relativeFrom="paragraph">
                  <wp:posOffset>197485</wp:posOffset>
                </wp:positionV>
                <wp:extent cx="1913890" cy="781685"/>
                <wp:effectExtent l="0" t="0" r="10160" b="18415"/>
                <wp:wrapNone/>
                <wp:docPr id="739657819" name="Caixa de texto 739657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497F9BC0" w14:textId="77777777" w:rsidR="00FA41FC" w:rsidRDefault="00FA41FC">
                            <w:pPr>
                              <w:pStyle w:val="Corpo"/>
                              <w:jc w:val="center"/>
                              <w:rPr>
                                <w:rFonts w:cstheme="minorHAnsi" w:hint="eastAsia"/>
                                <w:b/>
                                <w:color w:val="FFFFFF" w:themeColor="background1"/>
                                <w:szCs w:val="23"/>
                              </w:rPr>
                            </w:pPr>
                            <w:r>
                              <w:rPr>
                                <w:b/>
                                <w:color w:val="FFFFFF" w:themeColor="background1"/>
                                <w:szCs w:val="23"/>
                              </w:rPr>
                              <w:t xml:space="preserve">Grupo 1 </w:t>
                            </w:r>
                            <w:r>
                              <w:rPr>
                                <w:b/>
                                <w:color w:val="FFFFFF" w:themeColor="background1"/>
                                <w:szCs w:val="23"/>
                              </w:rPr>
                              <w:br/>
                            </w:r>
                            <w:r>
                              <w:rPr>
                                <w:rFonts w:cstheme="minorHAnsi"/>
                                <w:i/>
                                <w:color w:val="FFFFFF" w:themeColor="background1"/>
                                <w:szCs w:val="23"/>
                              </w:rPr>
                              <w:t>Tribulus terrestris</w:t>
                            </w:r>
                            <w:r>
                              <w:rPr>
                                <w:rFonts w:cstheme="minorHAnsi"/>
                                <w:color w:val="FFFFFF" w:themeColor="background1"/>
                                <w:szCs w:val="23"/>
                              </w:rPr>
                              <w:t xml:space="preserve"> 250 mg</w:t>
                            </w:r>
                          </w:p>
                          <w:p w14:paraId="3F86EC31" w14:textId="77777777" w:rsidR="00FA41FC" w:rsidRDefault="00FA41FC">
                            <w:pPr>
                              <w:pStyle w:val="Corpo"/>
                              <w:jc w:val="center"/>
                              <w:rPr>
                                <w:rFonts w:cstheme="minorHAnsi" w:hint="eastAsia"/>
                                <w:b/>
                                <w:color w:val="FFFFFF" w:themeColor="background1"/>
                                <w:szCs w:val="23"/>
                              </w:rPr>
                            </w:pPr>
                            <w:r>
                              <w:rPr>
                                <w:rFonts w:cstheme="minorHAnsi"/>
                                <w:color w:val="FFFFFF" w:themeColor="background1"/>
                                <w:szCs w:val="23"/>
                              </w:rPr>
                              <w:t>3 vezes ao dia</w:t>
                            </w:r>
                          </w:p>
                          <w:p w14:paraId="361FECAB"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739657819" o:spid="_x0000_s1187" type="#_x0000_t202" style="position:absolute;left:0;text-align:left;margin-left:-1.4pt;margin-top:15.55pt;width:150.7pt;height:61.55pt;z-index:251928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" fillcolor="#0070c0" strokecolor="#0070c0">
                <v:textbox>
                  <w:txbxContent>
                    <w:p w14:paraId="497F9BC0" w14:textId="77777777" w:rsidR="00FA41FC" w:rsidRDefault="00FA41FC">
                      <w:pPr>
                        <w:pStyle w:val="Corpo"/>
                        <w:jc w:val="center"/>
                        <w:rPr>
                          <w:rFonts w:cstheme="minorHAnsi" w:hint="eastAsia"/>
                          <w:b/>
                          <w:color w:val="FFFFFF" w:themeColor="background1"/>
                          <w:szCs w:val="23"/>
                        </w:rPr>
                      </w:pPr>
                      <w:r>
                        <w:rPr>
                          <w:b/>
                          <w:color w:val="FFFFFF" w:themeColor="background1"/>
                          <w:szCs w:val="23"/>
                        </w:rPr>
                        <w:t xml:space="preserve">Grupo 1 </w:t>
                      </w:r>
                      <w:r>
                        <w:rPr>
                          <w:b/>
                          <w:color w:val="FFFFFF" w:themeColor="background1"/>
                          <w:szCs w:val="23"/>
                        </w:rPr>
                        <w:br/>
                      </w:r>
                      <w:r>
                        <w:rPr>
                          <w:rFonts w:cstheme="minorHAnsi"/>
                          <w:i/>
                          <w:color w:val="FFFFFF" w:themeColor="background1"/>
                          <w:szCs w:val="23"/>
                        </w:rPr>
                        <w:t>Tribulus terrestris</w:t>
                      </w:r>
                      <w:r>
                        <w:rPr>
                          <w:rFonts w:cstheme="minorHAnsi"/>
                          <w:color w:val="FFFFFF" w:themeColor="background1"/>
                          <w:szCs w:val="23"/>
                        </w:rPr>
                        <w:t xml:space="preserve"> 250 mg</w:t>
                      </w:r>
                    </w:p>
                    <w:p w14:paraId="3F86EC31" w14:textId="77777777" w:rsidR="00FA41FC" w:rsidRDefault="00FA41FC">
                      <w:pPr>
                        <w:pStyle w:val="Corpo"/>
                        <w:jc w:val="center"/>
                        <w:rPr>
                          <w:rFonts w:cstheme="minorHAnsi" w:hint="eastAsia"/>
                          <w:b/>
                          <w:color w:val="FFFFFF" w:themeColor="background1"/>
                          <w:szCs w:val="23"/>
                        </w:rPr>
                      </w:pPr>
                      <w:r>
                        <w:rPr>
                          <w:rFonts w:cstheme="minorHAnsi"/>
                          <w:color w:val="FFFFFF" w:themeColor="background1"/>
                          <w:szCs w:val="23"/>
                        </w:rPr>
                        <w:t>3 vezes ao dia</w:t>
                      </w:r>
                    </w:p>
                    <w:p w14:paraId="361FECAB"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p>
    <w:p w14:paraId="01C71FEF"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929600" behindDoc="0" locked="0" layoutInCell="1" allowOverlap="1">
                <wp:simplePos x="0" y="0"/>
                <wp:positionH relativeFrom="column">
                  <wp:posOffset>3826510</wp:posOffset>
                </wp:positionH>
                <wp:positionV relativeFrom="paragraph">
                  <wp:posOffset>9525</wp:posOffset>
                </wp:positionV>
                <wp:extent cx="1905000" cy="781685"/>
                <wp:effectExtent l="0" t="0" r="19050" b="18415"/>
                <wp:wrapNone/>
                <wp:docPr id="739657820" name="Caixa de texto 7396578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395774CC"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6B287858"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0A9DB7B1"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3 vezes ao dia</w:t>
                            </w:r>
                          </w:p>
                          <w:p w14:paraId="5F9CAE2E" w14:textId="77777777" w:rsidR="00FA41FC" w:rsidRDefault="00FA41FC">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739657820" o:spid="_x0000_s1188" type="#_x0000_t202" style="position:absolute;left:0;text-align:left;margin-left:301.3pt;margin-top:.75pt;width:150pt;height:61.55pt;z-index:251929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" fillcolor="#0070c0" strokecolor="#0070c0">
                <v:textbox>
                  <w:txbxContent>
                    <w:p w14:paraId="395774CC"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6B287858"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0A9DB7B1"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3 vezes ao dia</w:t>
                      </w:r>
                    </w:p>
                    <w:p w14:paraId="5F9CAE2E" w14:textId="77777777" w:rsidR="00FA41FC" w:rsidRDefault="00FA41FC">
                      <w:pPr>
                        <w:spacing w:after="0" w:line="240" w:lineRule="auto"/>
                        <w:jc w:val="center"/>
                      </w:pPr>
                    </w:p>
                  </w:txbxContent>
                </v:textbox>
              </v:shape>
            </w:pict>
          </mc:Fallback>
        </mc:AlternateContent>
      </w:r>
    </w:p>
    <w:p w14:paraId="18D31359" w14:textId="77777777" w:rsidR="00CD65C2" w:rsidRDefault="00CD65C2">
      <w:pPr>
        <w:pStyle w:val="Corpo"/>
        <w:rPr>
          <w:rFonts w:hint="eastAsia"/>
          <w:color w:val="404040" w:themeColor="text1" w:themeTint="BF"/>
        </w:rPr>
      </w:pPr>
    </w:p>
    <w:p w14:paraId="749A01BD" w14:textId="77777777" w:rsidR="00CD65C2" w:rsidRDefault="00CD65C2">
      <w:pPr>
        <w:pStyle w:val="Corpo"/>
        <w:rPr>
          <w:rFonts w:hint="eastAsia"/>
          <w:color w:val="404040" w:themeColor="text1" w:themeTint="BF"/>
        </w:rPr>
      </w:pPr>
    </w:p>
    <w:p w14:paraId="5341A9A4" w14:textId="77777777" w:rsidR="00CD65C2" w:rsidRDefault="00CD65C2">
      <w:pPr>
        <w:pStyle w:val="Corpo"/>
        <w:rPr>
          <w:rFonts w:hint="eastAsia"/>
          <w:color w:val="404040" w:themeColor="text1" w:themeTint="BF"/>
        </w:rPr>
      </w:pPr>
    </w:p>
    <w:p w14:paraId="1915EDB2" w14:textId="77777777" w:rsidR="00CD65C2" w:rsidRDefault="00CD65C2">
      <w:pPr>
        <w:pStyle w:val="Corpo"/>
        <w:spacing w:before="120"/>
        <w:rPr>
          <w:rFonts w:hint="eastAsia"/>
          <w:color w:val="404040" w:themeColor="text1" w:themeTint="BF"/>
          <w:sz w:val="20"/>
        </w:rPr>
      </w:pPr>
    </w:p>
    <w:p w14:paraId="794C7577" w14:textId="77777777" w:rsidR="00CD65C2" w:rsidRDefault="00FA41FC" w:rsidP="00D1428E">
      <w:pPr>
        <w:pStyle w:val="Corpo"/>
        <w:numPr>
          <w:ilvl w:val="0"/>
          <w:numId w:val="46"/>
        </w:numPr>
        <w:rPr>
          <w:rFonts w:hint="eastAsia"/>
          <w:b/>
          <w:bCs/>
          <w:color w:val="404040" w:themeColor="text1" w:themeTint="BF"/>
          <w:sz w:val="20"/>
          <w:szCs w:val="23"/>
        </w:rPr>
      </w:pPr>
      <w:r>
        <w:rPr>
          <w:bCs/>
          <w:color w:val="404040" w:themeColor="text1" w:themeTint="BF"/>
          <w:sz w:val="20"/>
          <w:szCs w:val="23"/>
        </w:rPr>
        <w:t xml:space="preserve">Os questionários </w:t>
      </w:r>
      <w:r>
        <w:rPr>
          <w:bCs/>
          <w:i/>
          <w:color w:val="404040" w:themeColor="text1" w:themeTint="BF"/>
          <w:sz w:val="20"/>
          <w:szCs w:val="23"/>
        </w:rPr>
        <w:t>Female Sexual Function Index</w:t>
      </w:r>
      <w:r>
        <w:rPr>
          <w:bCs/>
          <w:color w:val="404040" w:themeColor="text1" w:themeTint="BF"/>
          <w:sz w:val="20"/>
          <w:szCs w:val="23"/>
        </w:rPr>
        <w:t xml:space="preserve"> (FSFI) e o </w:t>
      </w:r>
      <w:r>
        <w:rPr>
          <w:bCs/>
          <w:i/>
          <w:color w:val="404040" w:themeColor="text1" w:themeTint="BF"/>
          <w:sz w:val="20"/>
          <w:szCs w:val="23"/>
        </w:rPr>
        <w:t>Sexual Quotient Female</w:t>
      </w:r>
      <w:r>
        <w:rPr>
          <w:bCs/>
          <w:color w:val="404040" w:themeColor="text1" w:themeTint="BF"/>
          <w:sz w:val="20"/>
          <w:szCs w:val="23"/>
        </w:rPr>
        <w:t xml:space="preserve"> Version (QS-F) foram usados para avaliar a disfunção sexual antes e após o tratamento. </w:t>
      </w:r>
    </w:p>
    <w:p w14:paraId="05435217" w14:textId="77777777" w:rsidR="00CD65C2" w:rsidRDefault="00CD65C2">
      <w:pPr>
        <w:pStyle w:val="Corpo"/>
        <w:rPr>
          <w:rFonts w:hint="eastAsia"/>
          <w:b/>
          <w:color w:val="339966"/>
          <w:sz w:val="25"/>
          <w:szCs w:val="25"/>
          <w14:textFill>
            <w14:solidFill>
              <w14:srgbClr w14:val="339966">
                <w14:lumMod w14:val="75000"/>
                <w14:lumOff w14:val="25000"/>
              </w14:srgbClr>
            </w14:solidFill>
          </w14:textFill>
        </w:rPr>
      </w:pPr>
    </w:p>
    <w:p w14:paraId="02B0F993"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5A633F3D" w14:textId="77777777" w:rsidR="00CD65C2" w:rsidRDefault="00CD65C2">
      <w:pPr>
        <w:pStyle w:val="Corpo"/>
        <w:rPr>
          <w:rFonts w:hint="eastAsia"/>
          <w:color w:val="404040" w:themeColor="text1" w:themeTint="BF"/>
          <w:sz w:val="16"/>
          <w:szCs w:val="16"/>
        </w:rPr>
      </w:pPr>
    </w:p>
    <w:p w14:paraId="2C7DE1E7" w14:textId="77777777" w:rsidR="00CD65C2" w:rsidRDefault="00FA41FC" w:rsidP="00D1428E">
      <w:pPr>
        <w:pStyle w:val="Corpo"/>
        <w:numPr>
          <w:ilvl w:val="0"/>
          <w:numId w:val="47"/>
        </w:numPr>
        <w:spacing w:after="120"/>
        <w:rPr>
          <w:rFonts w:hint="eastAsia"/>
          <w:bCs/>
          <w:color w:val="404040" w:themeColor="text1" w:themeTint="BF"/>
          <w:sz w:val="24"/>
        </w:rPr>
      </w:pPr>
      <w:r>
        <w:rPr>
          <w:bCs/>
          <w:color w:val="404040" w:themeColor="text1" w:themeTint="BF"/>
          <w:sz w:val="24"/>
        </w:rPr>
        <w:t xml:space="preserve">As pacientes tratadas com </w:t>
      </w:r>
      <w:r>
        <w:rPr>
          <w:bCs/>
          <w:i/>
          <w:color w:val="404040" w:themeColor="text1" w:themeTint="BF"/>
          <w:sz w:val="24"/>
        </w:rPr>
        <w:t xml:space="preserve">T. terrestris </w:t>
      </w:r>
      <w:r>
        <w:rPr>
          <w:bCs/>
          <w:color w:val="404040" w:themeColor="text1" w:themeTint="BF"/>
          <w:sz w:val="24"/>
        </w:rPr>
        <w:t>demonstraram melhora nos escores totais do FSFI (p &lt; 0,001) e nos domínios desejo (p &lt; 0,001), excitação (p = 0,005), lubrificação (p = 0,001), orgasmo (p &lt; 0,001) e dor (p = 0,030) e satisfação (p = 0,001);</w:t>
      </w:r>
    </w:p>
    <w:p w14:paraId="7450241F" w14:textId="77777777" w:rsidR="00CD65C2" w:rsidRDefault="00FA41FC" w:rsidP="00D1428E">
      <w:pPr>
        <w:pStyle w:val="Corpo"/>
        <w:numPr>
          <w:ilvl w:val="0"/>
          <w:numId w:val="47"/>
        </w:numPr>
        <w:spacing w:after="120"/>
        <w:rPr>
          <w:rFonts w:hint="eastAsia"/>
          <w:b/>
          <w:bCs/>
          <w:color w:val="404040" w:themeColor="text1" w:themeTint="BF"/>
          <w:sz w:val="24"/>
        </w:rPr>
      </w:pPr>
      <w:r>
        <w:rPr>
          <w:bCs/>
          <w:color w:val="404040" w:themeColor="text1" w:themeTint="BF"/>
          <w:sz w:val="24"/>
        </w:rPr>
        <w:t>O tratamento com placebo não demonstrou melhoras significativas em todos os parâmetros avaliados;</w:t>
      </w:r>
    </w:p>
    <w:p w14:paraId="4186A4DC" w14:textId="77777777" w:rsidR="00CD65C2" w:rsidRDefault="00FA41FC" w:rsidP="00D1428E">
      <w:pPr>
        <w:pStyle w:val="Corpo"/>
        <w:numPr>
          <w:ilvl w:val="0"/>
          <w:numId w:val="47"/>
        </w:numPr>
        <w:spacing w:after="120"/>
        <w:rPr>
          <w:rFonts w:hint="eastAsia"/>
          <w:b/>
          <w:bCs/>
          <w:color w:val="404040" w:themeColor="text1" w:themeTint="BF"/>
          <w:sz w:val="24"/>
        </w:rPr>
      </w:pPr>
      <w:r>
        <w:rPr>
          <w:bCs/>
          <w:color w:val="404040" w:themeColor="text1" w:themeTint="BF"/>
          <w:sz w:val="24"/>
        </w:rPr>
        <w:t>Nos escores do QS-F, as pacientes do grupo 1 apresentaram melhoras na dor (p = 0,031), orgasmo (p = 0,004), desejo (p = 0,012), lubrificação/desejo sexual (p = 0,002) e satisfação (p = 0,001);</w:t>
      </w:r>
    </w:p>
    <w:p w14:paraId="656F5F77" w14:textId="77777777" w:rsidR="00CD65C2" w:rsidRDefault="00FA41FC" w:rsidP="00D1428E">
      <w:pPr>
        <w:pStyle w:val="Corpo"/>
        <w:numPr>
          <w:ilvl w:val="0"/>
          <w:numId w:val="47"/>
        </w:numPr>
        <w:spacing w:after="120"/>
        <w:rPr>
          <w:rFonts w:hint="eastAsia"/>
          <w:b/>
          <w:bCs/>
          <w:color w:val="404040" w:themeColor="text1" w:themeTint="BF"/>
          <w:sz w:val="24"/>
        </w:rPr>
      </w:pPr>
      <w:r>
        <w:rPr>
          <w:bCs/>
          <w:color w:val="404040" w:themeColor="text1" w:themeTint="BF"/>
          <w:sz w:val="24"/>
        </w:rPr>
        <w:t xml:space="preserve">As mulheres tratadas com </w:t>
      </w:r>
      <w:r>
        <w:rPr>
          <w:bCs/>
          <w:i/>
          <w:color w:val="404040" w:themeColor="text1" w:themeTint="BF"/>
          <w:sz w:val="24"/>
        </w:rPr>
        <w:t xml:space="preserve">T. terrestris </w:t>
      </w:r>
      <w:r>
        <w:rPr>
          <w:bCs/>
          <w:color w:val="404040" w:themeColor="text1" w:themeTint="BF"/>
          <w:sz w:val="24"/>
        </w:rPr>
        <w:t>apresentaram aumento dos níveis séricos de testosterona livre (p = 0,046).</w:t>
      </w:r>
    </w:p>
    <w:p w14:paraId="7CAE465F"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44CEAB2A" w14:textId="77777777" w:rsidR="00CD65C2" w:rsidRDefault="00CD65C2">
      <w:pPr>
        <w:pStyle w:val="Corpo"/>
        <w:rPr>
          <w:rFonts w:hint="eastAsia"/>
          <w:b/>
          <w:color w:val="339966"/>
          <w:sz w:val="16"/>
          <w:szCs w:val="16"/>
          <w14:textFill>
            <w14:solidFill>
              <w14:srgbClr w14:val="339966">
                <w14:lumMod w14:val="75000"/>
                <w14:lumOff w14:val="25000"/>
              </w14:srgbClr>
            </w14:solidFill>
          </w14:textFill>
        </w:rPr>
      </w:pPr>
    </w:p>
    <w:p w14:paraId="47893F73" w14:textId="60B7948E" w:rsidR="00CD65C2" w:rsidRDefault="00FA41FC">
      <w:pPr>
        <w:pStyle w:val="Corpo"/>
        <w:jc w:val="center"/>
        <w:rPr>
          <w:rFonts w:hint="eastAsia"/>
          <w:b/>
          <w:i/>
          <w:color w:val="404040" w:themeColor="text1" w:themeTint="BF"/>
        </w:rPr>
      </w:pPr>
      <w:r>
        <w:rPr>
          <w:b/>
          <w:i/>
          <w:color w:val="404040" w:themeColor="text1" w:themeTint="BF"/>
        </w:rPr>
        <w:t>A suplementação com Tribulus pode ser uma alternativa para o tratamento de mulheres pré-menopausadas com desordem do desejo sexual hipoativo, devido ao aumento dos níveis séricos de testosterona livre.</w:t>
      </w:r>
    </w:p>
    <w:p w14:paraId="77540CC5" w14:textId="77777777" w:rsidR="00CD65C2" w:rsidRDefault="00CD65C2">
      <w:pPr>
        <w:pStyle w:val="Corpo"/>
        <w:jc w:val="center"/>
        <w:rPr>
          <w:rFonts w:hint="eastAsia"/>
          <w:b/>
          <w:i/>
          <w:color w:val="404040" w:themeColor="text1" w:themeTint="BF"/>
        </w:rPr>
      </w:pPr>
    </w:p>
    <w:p w14:paraId="6E7AD447" w14:textId="77777777" w:rsidR="00CD65C2" w:rsidRDefault="00FA41FC">
      <w:pPr>
        <w:pStyle w:val="Ttulo1"/>
        <w:jc w:val="center"/>
        <w:rPr>
          <w:rFonts w:hint="eastAsia"/>
        </w:rPr>
      </w:pPr>
      <w:bookmarkStart w:id="124" w:name="_Toc165537272"/>
      <w:r>
        <w:t>Formulário</w:t>
      </w:r>
      <w:bookmarkEnd w:id="124"/>
    </w:p>
    <w:p w14:paraId="792EAB97" w14:textId="77777777" w:rsidR="00CD65C2" w:rsidRDefault="00CD65C2">
      <w:pPr>
        <w:pStyle w:val="Corpo"/>
        <w:rPr>
          <w:rFonts w:hint="eastAsia"/>
          <w:b/>
          <w:i/>
          <w:color w:val="404040" w:themeColor="text1" w:themeTint="BF"/>
        </w:rPr>
      </w:pPr>
    </w:p>
    <w:p w14:paraId="0E79AD2E" w14:textId="77777777" w:rsidR="00CD65C2" w:rsidRDefault="00CD65C2">
      <w:pPr>
        <w:pStyle w:val="Corpo"/>
        <w:rPr>
          <w:rFonts w:hint="eastAsia"/>
          <w:b/>
          <w:i/>
          <w:color w:val="404040" w:themeColor="text1" w:themeTint="BF"/>
        </w:rPr>
      </w:pPr>
    </w:p>
    <w:p w14:paraId="6CF571C9" w14:textId="77777777" w:rsidR="00CD65C2" w:rsidRDefault="00FA41FC">
      <w:pPr>
        <w:pStyle w:val="Corpo"/>
        <w:rPr>
          <w:rFonts w:hint="eastAsia"/>
          <w:b/>
          <w:i/>
          <w:color w:val="404040" w:themeColor="text1" w:themeTint="BF"/>
          <w:sz w:val="24"/>
        </w:rPr>
      </w:pPr>
      <w:r w:rsidRPr="00D1428E">
        <w:rPr>
          <w:rFonts w:hint="eastAsia"/>
          <w:b/>
          <w:iCs/>
          <w:color w:val="404040" w:themeColor="text1" w:themeTint="BF"/>
          <w:sz w:val="24"/>
        </w:rPr>
        <w:t>Tribulus terrestris</w:t>
      </w:r>
      <w:r>
        <w:rPr>
          <w:b/>
          <w:i/>
          <w:color w:val="404040" w:themeColor="text1" w:themeTint="BF"/>
          <w:sz w:val="24"/>
        </w:rPr>
        <w:t xml:space="preserve"> na Disfunção Sexual Feminina</w:t>
      </w:r>
    </w:p>
    <w:p w14:paraId="1F1B0F14"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5C5E32E6"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6C1E2AD6" w14:textId="77777777" w:rsidR="00CD65C2" w:rsidRDefault="00FA41FC">
            <w:pPr>
              <w:pStyle w:val="Corpo"/>
              <w:jc w:val="center"/>
              <w:rPr>
                <w:rFonts w:hint="eastAsia"/>
                <w:b/>
                <w:color w:val="FFFFFF" w:themeColor="background1"/>
              </w:rPr>
            </w:pPr>
            <w:r>
              <w:rPr>
                <w:b/>
                <w:color w:val="FFFFFF" w:themeColor="background1"/>
                <w:sz w:val="22"/>
              </w:rPr>
              <w:t>Cápsulas Fitoterápicas</w:t>
            </w:r>
          </w:p>
        </w:tc>
      </w:tr>
      <w:tr w:rsidR="00CD65C2" w14:paraId="642575D7"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4D395C5" w14:textId="77777777" w:rsidR="00CD65C2" w:rsidRDefault="00FA41FC">
            <w:pPr>
              <w:pStyle w:val="Corpo"/>
              <w:rPr>
                <w:rFonts w:hint="eastAsia"/>
                <w:color w:val="404040" w:themeColor="text1" w:themeTint="BF"/>
              </w:rPr>
            </w:pPr>
            <w:r>
              <w:rPr>
                <w:i/>
                <w:color w:val="404040" w:themeColor="text1" w:themeTint="BF"/>
              </w:rPr>
              <w:t>T. terrestris</w:t>
            </w:r>
            <w:r>
              <w:rPr>
                <w:color w:val="404040" w:themeColor="text1" w:themeTint="BF"/>
              </w:rPr>
              <w:t>......................................250 mg</w:t>
            </w:r>
          </w:p>
        </w:tc>
      </w:tr>
      <w:tr w:rsidR="00CD65C2" w14:paraId="3FE2D3F2"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C2699B1" w14:textId="7DCB0531" w:rsidR="00CD65C2" w:rsidRDefault="00FA41FC">
            <w:pPr>
              <w:pStyle w:val="Corpo"/>
              <w:rPr>
                <w:rFonts w:hint="eastAsia"/>
                <w:color w:val="404040" w:themeColor="text1" w:themeTint="BF"/>
              </w:rPr>
            </w:pPr>
            <w:r>
              <w:rPr>
                <w:color w:val="404040" w:themeColor="text1" w:themeTint="BF"/>
              </w:rPr>
              <w:t>Excipiente q.s.p. ........................1 Cápsula</w:t>
            </w:r>
          </w:p>
        </w:tc>
      </w:tr>
    </w:tbl>
    <w:p w14:paraId="7BE9D10A" w14:textId="7093216F" w:rsidR="00CD65C2" w:rsidRDefault="00FA41FC">
      <w:pPr>
        <w:pStyle w:val="SemEspaamento"/>
        <w:ind w:right="4818"/>
        <w:jc w:val="center"/>
        <w:rPr>
          <w:rFonts w:ascii="Swis721 Th BT" w:eastAsia="MS Mincho" w:hAnsi="Swis721 Th BT" w:hint="eastAsia"/>
          <w:color w:val="404040" w:themeColor="text1" w:themeTint="BF"/>
        </w:rPr>
      </w:pPr>
      <w:r>
        <w:rPr>
          <w:rFonts w:ascii="Swis721 Th BT" w:eastAsia="MS Mincho" w:hAnsi="Swis721 Th BT"/>
          <w:color w:val="404040" w:themeColor="text1" w:themeTint="BF"/>
        </w:rPr>
        <w:t>Administrar 1 cápsula três vezes ao dia ou conforme orientação médica.</w:t>
      </w:r>
    </w:p>
    <w:p w14:paraId="54055C93" w14:textId="77777777" w:rsidR="00CD65C2" w:rsidRDefault="00CD65C2">
      <w:pPr>
        <w:pStyle w:val="SemEspaamento"/>
      </w:pPr>
    </w:p>
    <w:p w14:paraId="6CBD5BA0" w14:textId="77777777" w:rsidR="00CD65C2" w:rsidRDefault="00CD65C2">
      <w:pPr>
        <w:pStyle w:val="SemEspaamento"/>
      </w:pPr>
    </w:p>
    <w:p w14:paraId="3770FC5E" w14:textId="77777777" w:rsidR="00CD65C2" w:rsidRDefault="00CD65C2">
      <w:pPr>
        <w:pStyle w:val="SemEspaamento"/>
      </w:pPr>
    </w:p>
    <w:p w14:paraId="048E63B7" w14:textId="77777777" w:rsidR="00CD65C2" w:rsidRDefault="00CD65C2">
      <w:pPr>
        <w:pStyle w:val="SemEspaamento"/>
      </w:pPr>
    </w:p>
    <w:p w14:paraId="6594147B" w14:textId="77777777" w:rsidR="00CD65C2" w:rsidRDefault="00CD65C2">
      <w:pPr>
        <w:pStyle w:val="SemEspaamento"/>
      </w:pPr>
    </w:p>
    <w:p w14:paraId="7CE2AAF1" w14:textId="77777777" w:rsidR="00CD65C2" w:rsidRDefault="00CD65C2">
      <w:pPr>
        <w:pStyle w:val="SemEspaamento"/>
      </w:pPr>
    </w:p>
    <w:p w14:paraId="1EC4CDD9" w14:textId="77777777" w:rsidR="00CD65C2" w:rsidRDefault="00CD65C2">
      <w:pPr>
        <w:pStyle w:val="SemEspaamento"/>
      </w:pPr>
    </w:p>
    <w:p w14:paraId="7F19BFB1" w14:textId="77777777" w:rsidR="00CD65C2" w:rsidRDefault="00CD65C2">
      <w:pPr>
        <w:pStyle w:val="SemEspaamento"/>
      </w:pPr>
    </w:p>
    <w:p w14:paraId="19DBDC8B" w14:textId="77777777" w:rsidR="00CD65C2" w:rsidRDefault="00CD65C2">
      <w:pPr>
        <w:pStyle w:val="SemEspaamento"/>
      </w:pPr>
    </w:p>
    <w:p w14:paraId="22A8820F" w14:textId="77777777" w:rsidR="00CD65C2" w:rsidRDefault="00CD65C2">
      <w:pPr>
        <w:pStyle w:val="SemEspaamento"/>
      </w:pPr>
    </w:p>
    <w:p w14:paraId="359250D1" w14:textId="77777777" w:rsidR="00CD65C2" w:rsidRDefault="00CD65C2">
      <w:pPr>
        <w:pStyle w:val="SemEspaamento"/>
      </w:pPr>
    </w:p>
    <w:p w14:paraId="493333D2" w14:textId="77777777" w:rsidR="00CD65C2" w:rsidRDefault="00CD65C2">
      <w:pPr>
        <w:pStyle w:val="SemEspaamento"/>
      </w:pPr>
    </w:p>
    <w:p w14:paraId="4C57ED95" w14:textId="77777777" w:rsidR="00CD65C2" w:rsidRDefault="00CD65C2">
      <w:pPr>
        <w:pStyle w:val="SemEspaamento"/>
      </w:pPr>
    </w:p>
    <w:p w14:paraId="6442555A" w14:textId="77777777" w:rsidR="00CD65C2" w:rsidRDefault="00CD65C2">
      <w:pPr>
        <w:pStyle w:val="SemEspaamento"/>
      </w:pPr>
    </w:p>
    <w:p w14:paraId="5FD150EF" w14:textId="77777777" w:rsidR="00CD65C2" w:rsidRDefault="00CD65C2">
      <w:pPr>
        <w:pStyle w:val="SemEspaamento"/>
      </w:pPr>
    </w:p>
    <w:p w14:paraId="7C1AC899" w14:textId="77777777" w:rsidR="00CD65C2" w:rsidRDefault="00CD65C2">
      <w:pPr>
        <w:pStyle w:val="SemEspaamento"/>
      </w:pPr>
    </w:p>
    <w:p w14:paraId="2A8E8560" w14:textId="77777777" w:rsidR="00CD65C2" w:rsidRDefault="00CD65C2">
      <w:pPr>
        <w:pStyle w:val="SemEspaamento"/>
      </w:pPr>
    </w:p>
    <w:p w14:paraId="389F8E04" w14:textId="77777777" w:rsidR="00CD65C2" w:rsidRDefault="00CD65C2">
      <w:pPr>
        <w:pStyle w:val="SemEspaamento"/>
      </w:pPr>
    </w:p>
    <w:p w14:paraId="5C17F6A2" w14:textId="77777777" w:rsidR="00CD65C2" w:rsidRDefault="00CD65C2">
      <w:pPr>
        <w:pStyle w:val="SemEspaamento"/>
      </w:pPr>
    </w:p>
    <w:p w14:paraId="1E5D941F" w14:textId="77777777" w:rsidR="00CD65C2" w:rsidRDefault="00CD65C2">
      <w:pPr>
        <w:pStyle w:val="SemEspaamento"/>
      </w:pPr>
    </w:p>
    <w:p w14:paraId="070838FD" w14:textId="77777777" w:rsidR="00CD65C2" w:rsidRDefault="00CD65C2">
      <w:pPr>
        <w:pStyle w:val="SemEspaamento"/>
      </w:pPr>
    </w:p>
    <w:p w14:paraId="617EFF93" w14:textId="77777777" w:rsidR="00CD65C2" w:rsidRDefault="00CD65C2">
      <w:pPr>
        <w:pStyle w:val="SemEspaamento"/>
      </w:pPr>
    </w:p>
    <w:p w14:paraId="601F970C" w14:textId="77777777" w:rsidR="00CD65C2" w:rsidRDefault="00CD65C2">
      <w:pPr>
        <w:pStyle w:val="SemEspaamento"/>
      </w:pPr>
    </w:p>
    <w:p w14:paraId="36F28FBC" w14:textId="77777777" w:rsidR="00CD65C2" w:rsidRDefault="00CD65C2">
      <w:pPr>
        <w:pStyle w:val="SemEspaamento"/>
      </w:pPr>
    </w:p>
    <w:p w14:paraId="1280FA1D" w14:textId="77777777" w:rsidR="00CD65C2" w:rsidRDefault="00CD65C2">
      <w:pPr>
        <w:pStyle w:val="SemEspaamento"/>
      </w:pPr>
    </w:p>
    <w:p w14:paraId="7907E3B4" w14:textId="77777777" w:rsidR="00CD65C2" w:rsidRDefault="00CD65C2">
      <w:pPr>
        <w:pStyle w:val="SemEspaamento"/>
      </w:pPr>
    </w:p>
    <w:p w14:paraId="3EB760EF" w14:textId="77777777" w:rsidR="00CD65C2" w:rsidRDefault="00CD65C2">
      <w:pPr>
        <w:pStyle w:val="SemEspaamento"/>
      </w:pPr>
    </w:p>
    <w:p w14:paraId="1C0E8412" w14:textId="77777777" w:rsidR="00CD65C2" w:rsidRDefault="00CD65C2">
      <w:pPr>
        <w:pStyle w:val="SemEspaamento"/>
      </w:pPr>
    </w:p>
    <w:p w14:paraId="73ED78CF" w14:textId="77777777" w:rsidR="00CD65C2" w:rsidRDefault="00CD65C2">
      <w:pPr>
        <w:pStyle w:val="SemEspaamento"/>
      </w:pPr>
    </w:p>
    <w:p w14:paraId="784087F8" w14:textId="77777777" w:rsidR="00CD65C2" w:rsidRDefault="00CD65C2">
      <w:pPr>
        <w:pStyle w:val="SemEspaamento"/>
      </w:pPr>
    </w:p>
    <w:p w14:paraId="5EAD2F27" w14:textId="77777777" w:rsidR="00CD65C2" w:rsidRDefault="00CD65C2">
      <w:pPr>
        <w:pStyle w:val="SemEspaamento"/>
      </w:pPr>
    </w:p>
    <w:p w14:paraId="34F6C0F6" w14:textId="77777777" w:rsidR="00CD65C2" w:rsidRDefault="00CD65C2">
      <w:pPr>
        <w:pStyle w:val="SemEspaamento"/>
      </w:pPr>
    </w:p>
    <w:p w14:paraId="79557661" w14:textId="77777777" w:rsidR="00CD65C2" w:rsidRDefault="00FA41FC">
      <w:pPr>
        <w:pStyle w:val="Ttulo1"/>
        <w:jc w:val="center"/>
        <w:rPr>
          <w:rFonts w:hint="eastAsia"/>
        </w:rPr>
      </w:pPr>
      <w:bookmarkStart w:id="125" w:name="_Toc165537273"/>
      <w:r>
        <w:t>Associação Fitoterápica</w:t>
      </w:r>
      <w:bookmarkEnd w:id="125"/>
    </w:p>
    <w:p w14:paraId="5EAB5F59" w14:textId="77777777" w:rsidR="00CD65C2" w:rsidRPr="00D1428E" w:rsidRDefault="00FA41FC">
      <w:pPr>
        <w:pStyle w:val="Corpo"/>
        <w:jc w:val="center"/>
        <w:rPr>
          <w:rFonts w:hint="eastAsia"/>
          <w:b/>
          <w:color w:val="0070C0"/>
          <w:sz w:val="40"/>
        </w:rPr>
      </w:pPr>
      <w:r w:rsidRPr="00D1428E">
        <w:rPr>
          <w:b/>
          <w:color w:val="0070C0"/>
          <w:sz w:val="40"/>
        </w:rPr>
        <w:t>Melhora o Desejo Sexual em Mulheres Pós-Menopausadas</w:t>
      </w:r>
    </w:p>
    <w:p w14:paraId="6F75B9C3" w14:textId="77777777" w:rsidR="00CD65C2" w:rsidRDefault="00CD65C2">
      <w:pPr>
        <w:pStyle w:val="Corpo"/>
        <w:rPr>
          <w:rFonts w:hint="eastAsia"/>
          <w:b/>
          <w:bCs/>
          <w:color w:val="0070C0"/>
          <w:sz w:val="40"/>
          <w14:textFill>
            <w14:solidFill>
              <w14:srgbClr w14:val="0070C0">
                <w14:lumMod w14:val="75000"/>
                <w14:lumOff w14:val="25000"/>
              </w14:srgbClr>
            </w14:solidFill>
          </w14:textFill>
        </w:rPr>
      </w:pPr>
    </w:p>
    <w:p w14:paraId="12646547" w14:textId="77777777" w:rsidR="00CD65C2" w:rsidRDefault="00CD65C2">
      <w:pPr>
        <w:pStyle w:val="Corpo"/>
        <w:rPr>
          <w:rFonts w:hint="eastAsia"/>
          <w:color w:val="404040" w:themeColor="text1" w:themeTint="BF"/>
        </w:rPr>
      </w:pPr>
    </w:p>
    <w:p w14:paraId="308E1CF3" w14:textId="57768A3F" w:rsidR="00CD65C2" w:rsidRDefault="00FA41FC">
      <w:pPr>
        <w:pStyle w:val="Corpo"/>
        <w:rPr>
          <w:rFonts w:hint="eastAsia"/>
          <w:color w:val="404040" w:themeColor="text1" w:themeTint="BF"/>
        </w:rPr>
      </w:pPr>
      <w:r>
        <w:rPr>
          <w:color w:val="404040" w:themeColor="text1" w:themeTint="BF"/>
        </w:rPr>
        <w:t xml:space="preserve">O objetivo deste estudo piloto, prospectivo e observacional foi avaliar a eficácia de um suplemento na melhora da função sexual em mulheres pós-menopausadas </w:t>
      </w:r>
      <w:r>
        <w:rPr>
          <w:color w:val="404040" w:themeColor="text1" w:themeTint="BF"/>
        </w:rPr>
        <w:fldChar w:fldCharType="begin"/>
      </w:r>
      <w:r>
        <w:rPr>
          <w:color w:val="404040" w:themeColor="text1" w:themeTint="BF"/>
        </w:rPr>
        <w:instrText xml:space="preserve"> ADDIN EN.CITE &lt;EndNote&gt;&lt;Cite&gt;&lt;Author&gt;Palacios&lt;/Author&gt;&lt;Year&gt;2019&lt;/Year&gt;&lt;IDText&gt;Effect of a multi-ingredient based food supplement on sexual function in women with low sexual desire&lt;/IDText&gt;&lt;DisplayText&gt;(Palacios&lt;style face="italic"&gt; et al.&lt;/style&gt;, 2019)&lt;/DisplayText&gt;&lt;record&gt;&lt;dates&gt;&lt;pub-dates&gt;&lt;date&gt;Apr 30&lt;/date&gt;&lt;/pub-dates&gt;&lt;year&gt;2019&lt;/year&gt;&lt;/dates&gt;&lt;keywords&gt;&lt;keyword&gt;*Low sexual desire&lt;/keyword&gt;&lt;keyword&gt;*Sexual function&lt;/keyword&gt;&lt;keyword&gt;*Testosterone&lt;/keyword&gt;&lt;keyword&gt;*Trigonella foenum graecum&lt;/keyword&gt;&lt;/keywords&gt;&lt;isbn&gt;1472-6874&lt;/isbn&gt;&lt;titles&gt;&lt;title&gt;Effect of a multi-ingredient based food supplement on sexual function in women with low sexual desire&lt;/title&gt;&lt;secondary-title&gt;BMC Womens Health&lt;/secondary-title&gt;&lt;/titles&gt;&lt;pages&gt;58&lt;/pages&gt;&lt;number&gt;1&lt;/number&gt;&lt;contributors&gt;&lt;authors&gt;&lt;author&gt;Palacios, S.&lt;/author&gt;&lt;author&gt;Soler, E.&lt;/author&gt;&lt;author&gt;Ramirez, M.&lt;/author&gt;&lt;author&gt;Lilue, M.&lt;/author&gt;&lt;author&gt;Khorsandi, D.&lt;/author&gt;&lt;author&gt;Losa, F.&lt;/author&gt;&lt;/authors&gt;&lt;/contributors&gt;&lt;edition&gt;2019/05/02&lt;/edition&gt;&lt;language&gt;eng&lt;/language&gt;&lt;added-date format="utc"&gt;1557152872&lt;/added-date&gt;&lt;ref-type name="Journal Article"&gt;17&lt;/ref-type&gt;&lt;auth-address&gt;Gynaecology and Obstetrics Department, Palacios&amp;apos; Institute of Women&amp;apos;s Health, C/Antonio Acuna 9, E-28009, Madrid, Spain. ipalacios@institutopalacios.com.&amp;#xD;Gynaecology and Obstetrics Department, Palacios&amp;apos; Institute of Women&amp;apos;s Health, C/Antonio Acuna 9, E-28009, Madrid, Spain.&amp;#xD;Procare Health Iberia, Medical department, Barcelona, Spain.&amp;#xD;University of Barcelona, Barcelona, Spain.&amp;#xD;Clinica de la Sagrada Familia, Barcelona, Spain.&lt;/auth-address&gt;&lt;remote-database-provider&gt;NLM&lt;/remote-database-provider&gt;&lt;rec-number&gt;517&lt;/rec-number&gt;&lt;last-updated-date format="utc"&gt;1557152872&lt;/last-updated-date&gt;&lt;accession-num&gt;31039769&lt;/accession-num&gt;&lt;electronic-resource-num&gt;10.1186/s12905-019-0755-9&lt;/electronic-resource-num&gt;&lt;volume&gt;19&lt;/volume&gt;&lt;/record&gt;&lt;/Cite&gt;&lt;/EndNote&gt;</w:instrText>
      </w:r>
      <w:r>
        <w:rPr>
          <w:color w:val="404040" w:themeColor="text1" w:themeTint="BF"/>
        </w:rPr>
        <w:fldChar w:fldCharType="separate"/>
      </w:r>
      <w:r>
        <w:rPr>
          <w:color w:val="404040" w:themeColor="text1" w:themeTint="BF"/>
        </w:rPr>
        <w:t>(Palacios</w:t>
      </w:r>
      <w:r>
        <w:rPr>
          <w:i/>
          <w:color w:val="404040" w:themeColor="text1" w:themeTint="BF"/>
        </w:rPr>
        <w:t xml:space="preserve"> et al.</w:t>
      </w:r>
      <w:r>
        <w:rPr>
          <w:color w:val="404040" w:themeColor="text1" w:themeTint="BF"/>
        </w:rPr>
        <w:t>, 2019)</w:t>
      </w:r>
      <w:r>
        <w:rPr>
          <w:color w:val="404040" w:themeColor="text1" w:themeTint="BF"/>
        </w:rPr>
        <w:fldChar w:fldCharType="end"/>
      </w:r>
      <w:r>
        <w:rPr>
          <w:color w:val="404040" w:themeColor="text1" w:themeTint="BF"/>
        </w:rPr>
        <w:t>.</w:t>
      </w:r>
    </w:p>
    <w:p w14:paraId="56F96D0B"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934720" behindDoc="0" locked="0" layoutInCell="1" allowOverlap="1">
                <wp:simplePos x="0" y="0"/>
                <wp:positionH relativeFrom="margin">
                  <wp:posOffset>8255</wp:posOffset>
                </wp:positionH>
                <wp:positionV relativeFrom="paragraph">
                  <wp:posOffset>101600</wp:posOffset>
                </wp:positionV>
                <wp:extent cx="5724525" cy="533400"/>
                <wp:effectExtent l="0" t="0" r="28575" b="19050"/>
                <wp:wrapNone/>
                <wp:docPr id="739657821" name="Caixa de texto 739657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33400"/>
                        </a:xfrm>
                        <a:prstGeom prst="rect">
                          <a:avLst/>
                        </a:prstGeom>
                        <a:solidFill>
                          <a:schemeClr val="bg1">
                            <a:lumMod val="100000"/>
                            <a:lumOff val="0"/>
                          </a:schemeClr>
                        </a:solidFill>
                        <a:ln w="9525">
                          <a:solidFill>
                            <a:srgbClr val="0070C0"/>
                          </a:solidFill>
                          <a:miter lim="800000"/>
                        </a:ln>
                      </wps:spPr>
                      <wps:txbx>
                        <w:txbxContent>
                          <w:p w14:paraId="322503E0" w14:textId="1E0A6390" w:rsidR="00FA41FC" w:rsidRDefault="00FA41FC">
                            <w:pPr>
                              <w:jc w:val="center"/>
                              <w:rPr>
                                <w:rFonts w:ascii="Swis721 Th BT" w:hAnsi="Swis721 Th BT"/>
                                <w:sz w:val="23"/>
                                <w:szCs w:val="23"/>
                              </w:rPr>
                            </w:pPr>
                            <w:r>
                              <w:rPr>
                                <w:rFonts w:ascii="Swis721 Th BT" w:eastAsia="MS Mincho" w:hAnsi="Swis721 Th BT"/>
                                <w:color w:val="404040" w:themeColor="text1" w:themeTint="BF"/>
                                <w:sz w:val="23"/>
                                <w:szCs w:val="24"/>
                              </w:rPr>
                              <w:t xml:space="preserve">Assim, 30 mulheres pós-menopausadas com idade entre 45 e 65 anos e </w:t>
                            </w:r>
                            <w:r w:rsidRPr="00D1428E">
                              <w:rPr>
                                <w:rFonts w:ascii="Swis721 Th BT" w:eastAsia="MS Mincho" w:hAnsi="Swis721 Th BT" w:hint="eastAsia"/>
                                <w:i/>
                                <w:iCs/>
                                <w:color w:val="404040" w:themeColor="text1" w:themeTint="BF"/>
                                <w:sz w:val="23"/>
                                <w:szCs w:val="24"/>
                              </w:rPr>
                              <w:t xml:space="preserve">Female Sexual Function Index </w:t>
                            </w:r>
                            <w:r>
                              <w:rPr>
                                <w:rFonts w:ascii="Swis721 Th BT" w:eastAsia="MS Mincho" w:hAnsi="Swis721 Th BT"/>
                                <w:color w:val="404040" w:themeColor="text1" w:themeTint="BF"/>
                                <w:sz w:val="23"/>
                                <w:szCs w:val="24"/>
                              </w:rPr>
                              <w:t>(FSFI)</w:t>
                            </w:r>
                            <w:r>
                              <w:rPr>
                                <w:rFonts w:ascii="Arial" w:eastAsia="MS Mincho" w:hAnsi="Arial" w:cs="Arial"/>
                                <w:color w:val="404040" w:themeColor="text1" w:themeTint="BF"/>
                                <w:sz w:val="23"/>
                                <w:szCs w:val="24"/>
                              </w:rPr>
                              <w:t> </w:t>
                            </w:r>
                            <w:r>
                              <w:rPr>
                                <w:rFonts w:ascii="Swis721 Th BT" w:eastAsia="MS Mincho" w:hAnsi="Swis721 Th BT"/>
                                <w:color w:val="404040" w:themeColor="text1" w:themeTint="BF"/>
                                <w:sz w:val="23"/>
                                <w:szCs w:val="24"/>
                              </w:rPr>
                              <w:t>menor que 25,83 pontos foram selecionadas e receberam durante dois meses:</w:t>
                            </w:r>
                          </w:p>
                        </w:txbxContent>
                      </wps:txbx>
                      <wps:bodyPr rot="0" vert="horz" wrap="square" lIns="91440" tIns="45720" rIns="91440" bIns="45720" anchor="t" anchorCtr="0" upright="1">
                        <a:noAutofit/>
                      </wps:bodyPr>
                    </wps:wsp>
                  </a:graphicData>
                </a:graphic>
              </wp:anchor>
            </w:drawing>
          </mc:Choice>
          <mc:Fallback>
            <w:pict>
              <v:shape id="Caixa de texto 739657821" o:spid="_x0000_s1189" type="#_x0000_t202" style="position:absolute;left:0;text-align:left;margin-left:.65pt;margin-top:8pt;width:450.75pt;height:42pt;z-index:2519347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" fillcolor="white [3212]" strokecolor="#0070c0">
                <v:textbox>
                  <w:txbxContent>
                    <w:p w14:paraId="322503E0" w14:textId="1E0A6390" w:rsidR="00FA41FC" w:rsidRDefault="00FA41FC">
                      <w:pPr>
                        <w:jc w:val="center"/>
                        <w:rPr>
                          <w:rFonts w:ascii="Swis721 Th BT" w:hAnsi="Swis721 Th BT"/>
                          <w:sz w:val="23"/>
                          <w:szCs w:val="23"/>
                        </w:rPr>
                      </w:pPr>
                      <w:r>
                        <w:rPr>
                          <w:rFonts w:ascii="Swis721 Th BT" w:eastAsia="MS Mincho" w:hAnsi="Swis721 Th BT"/>
                          <w:color w:val="404040" w:themeColor="text1" w:themeTint="BF"/>
                          <w:sz w:val="23"/>
                          <w:szCs w:val="24"/>
                        </w:rPr>
                        <w:t xml:space="preserve">Assim, 30 mulheres pós-menopausadas com idade entre 45 e 65 anos e </w:t>
                      </w:r>
                      <w:r w:rsidRPr="00D1428E">
                        <w:rPr>
                          <w:rFonts w:ascii="Swis721 Th BT" w:eastAsia="MS Mincho" w:hAnsi="Swis721 Th BT" w:hint="eastAsia"/>
                          <w:i/>
                          <w:iCs/>
                          <w:color w:val="404040" w:themeColor="text1" w:themeTint="BF"/>
                          <w:sz w:val="23"/>
                          <w:szCs w:val="24"/>
                        </w:rPr>
                        <w:t xml:space="preserve">Female Sexual Function Index </w:t>
                      </w:r>
                      <w:r>
                        <w:rPr>
                          <w:rFonts w:ascii="Swis721 Th BT" w:eastAsia="MS Mincho" w:hAnsi="Swis721 Th BT"/>
                          <w:color w:val="404040" w:themeColor="text1" w:themeTint="BF"/>
                          <w:sz w:val="23"/>
                          <w:szCs w:val="24"/>
                        </w:rPr>
                        <w:t>(FSFI)</w:t>
                      </w:r>
                      <w:r>
                        <w:rPr>
                          <w:rFonts w:ascii="Arial" w:eastAsia="MS Mincho" w:hAnsi="Arial" w:cs="Arial"/>
                          <w:color w:val="404040" w:themeColor="text1" w:themeTint="BF"/>
                          <w:sz w:val="23"/>
                          <w:szCs w:val="24"/>
                        </w:rPr>
                        <w:t> </w:t>
                      </w:r>
                      <w:r>
                        <w:rPr>
                          <w:rFonts w:ascii="Swis721 Th BT" w:eastAsia="MS Mincho" w:hAnsi="Swis721 Th BT"/>
                          <w:color w:val="404040" w:themeColor="text1" w:themeTint="BF"/>
                          <w:sz w:val="23"/>
                          <w:szCs w:val="24"/>
                        </w:rPr>
                        <w:t>menor que 25,83 pontos foram selecionadas e receberam durante dois meses:</w:t>
                      </w:r>
                    </w:p>
                  </w:txbxContent>
                </v:textbox>
                <w10:wrap anchorx="margin"/>
              </v:shape>
            </w:pict>
          </mc:Fallback>
        </mc:AlternateContent>
      </w:r>
      <w:r>
        <w:rPr>
          <w:color w:val="404040" w:themeColor="text1" w:themeTint="BF"/>
          <w:sz w:val="24"/>
        </w:rPr>
        <w:br/>
      </w:r>
    </w:p>
    <w:p w14:paraId="51126B0F" w14:textId="77777777" w:rsidR="00CD65C2" w:rsidRDefault="00CD65C2">
      <w:pPr>
        <w:pStyle w:val="Corpo"/>
        <w:rPr>
          <w:rFonts w:hint="eastAsia"/>
          <w:color w:val="404040" w:themeColor="text1" w:themeTint="BF"/>
          <w:sz w:val="24"/>
        </w:rPr>
      </w:pPr>
    </w:p>
    <w:p w14:paraId="4AA2119D" w14:textId="77777777" w:rsidR="00CD65C2" w:rsidRDefault="00CD65C2">
      <w:pPr>
        <w:pStyle w:val="Corpo"/>
        <w:rPr>
          <w:rFonts w:hint="eastAsia"/>
          <w:color w:val="404040" w:themeColor="text1" w:themeTint="BF"/>
          <w:sz w:val="24"/>
        </w:rPr>
      </w:pPr>
    </w:p>
    <w:p w14:paraId="468A94D8"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935744" behindDoc="0" locked="0" layoutInCell="1" allowOverlap="1">
                <wp:simplePos x="0" y="0"/>
                <wp:positionH relativeFrom="column">
                  <wp:posOffset>2741930</wp:posOffset>
                </wp:positionH>
                <wp:positionV relativeFrom="paragraph">
                  <wp:posOffset>25400</wp:posOffset>
                </wp:positionV>
                <wp:extent cx="226695" cy="138430"/>
                <wp:effectExtent l="0" t="0" r="1905" b="0"/>
                <wp:wrapNone/>
                <wp:docPr id="739657822" name="Triângulo isósceles 7396578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822" o:spid="_x0000_s1026" o:spt="5" type="#_x0000_t5" style="position:absolute;left:0pt;flip:y;margin-left:215.9pt;margin-top:2pt;height:10.9pt;width:17.85pt;z-index:251935744;mso-width-relative:page;mso-height-relative:page;" fillcolor="#D9D9D9 [3212]" filled="t" stroked="f" coordsize="21600,21600" o:gfxdata="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DYzW1wAAAAgBAAAPAAAAAAAAAAEAIAAAACIAAABkcnMvZG93bnJldi54bWxQSwECFAAUAAAA&#10;CACHTuJAUDX6+mECAACzBAAADgAAAAAAAAABACAAAAAmAQAAZHJzL2Uyb0RvYy54bWxQSwUGAAAA&#10;AAYABgBZAQAA+QUAAAAA&#10;" adj="10800">
                <v:fill on="t" focussize="0,0"/>
                <v:stroke on="f"/>
                <v:imagedata o:title=""/>
                <o:lock v:ext="edit" aspectratio="f"/>
              </v:shape>
            </w:pict>
          </mc:Fallback>
        </mc:AlternateContent>
      </w:r>
    </w:p>
    <w:p w14:paraId="4D7CF005"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933696" behindDoc="0" locked="0" layoutInCell="1" allowOverlap="1">
                <wp:simplePos x="0" y="0"/>
                <wp:positionH relativeFrom="column">
                  <wp:posOffset>1521460</wp:posOffset>
                </wp:positionH>
                <wp:positionV relativeFrom="paragraph">
                  <wp:posOffset>88900</wp:posOffset>
                </wp:positionV>
                <wp:extent cx="2677795" cy="1251585"/>
                <wp:effectExtent l="0" t="0" r="27305" b="24765"/>
                <wp:wrapNone/>
                <wp:docPr id="739657824" name="Caixa de texto 7396578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7885" cy="1251857"/>
                        </a:xfrm>
                        <a:prstGeom prst="rect">
                          <a:avLst/>
                        </a:prstGeom>
                        <a:solidFill>
                          <a:srgbClr val="0070C0"/>
                        </a:solidFill>
                        <a:ln w="9525">
                          <a:solidFill>
                            <a:srgbClr val="0070C0"/>
                          </a:solidFill>
                          <a:miter lim="800000"/>
                        </a:ln>
                      </wps:spPr>
                      <wps:txbx>
                        <w:txbxContent>
                          <w:p w14:paraId="0AF57FE5" w14:textId="77777777" w:rsidR="00FA41FC" w:rsidRDefault="00FA41FC">
                            <w:pPr>
                              <w:pStyle w:val="Corpo"/>
                              <w:jc w:val="center"/>
                              <w:rPr>
                                <w:rFonts w:cstheme="minorHAnsi" w:hint="eastAsia"/>
                                <w:i/>
                                <w:color w:val="FFFFFF" w:themeColor="background1"/>
                                <w:szCs w:val="23"/>
                              </w:rPr>
                            </w:pPr>
                            <w:r>
                              <w:rPr>
                                <w:b/>
                                <w:color w:val="FFFFFF" w:themeColor="background1"/>
                                <w:szCs w:val="23"/>
                              </w:rPr>
                              <w:t xml:space="preserve">Grupo 1 </w:t>
                            </w:r>
                            <w:r>
                              <w:rPr>
                                <w:b/>
                                <w:color w:val="FFFFFF" w:themeColor="background1"/>
                                <w:szCs w:val="23"/>
                              </w:rPr>
                              <w:br/>
                            </w:r>
                            <w:r>
                              <w:rPr>
                                <w:rFonts w:cstheme="minorHAnsi"/>
                                <w:i/>
                                <w:color w:val="FFFFFF" w:themeColor="background1"/>
                                <w:szCs w:val="23"/>
                              </w:rPr>
                              <w:t xml:space="preserve">Trigonella foenum graecum </w:t>
                            </w:r>
                            <w:r>
                              <w:rPr>
                                <w:rFonts w:cstheme="minorHAnsi"/>
                                <w:color w:val="FFFFFF" w:themeColor="background1"/>
                                <w:szCs w:val="23"/>
                              </w:rPr>
                              <w:t>600 mg</w:t>
                            </w:r>
                          </w:p>
                          <w:p w14:paraId="07381BAF" w14:textId="77777777" w:rsidR="00FA41FC" w:rsidRDefault="00FA41FC">
                            <w:pPr>
                              <w:pStyle w:val="Corpo"/>
                              <w:jc w:val="center"/>
                              <w:rPr>
                                <w:rFonts w:cstheme="minorHAnsi" w:hint="eastAsia"/>
                                <w:color w:val="FFFFFF" w:themeColor="background1"/>
                                <w:szCs w:val="23"/>
                              </w:rPr>
                            </w:pPr>
                            <w:r>
                              <w:rPr>
                                <w:rFonts w:cstheme="minorHAnsi"/>
                                <w:color w:val="FFFFFF" w:themeColor="background1"/>
                                <w:szCs w:val="23"/>
                              </w:rPr>
                              <w:t>Extrato de Damiana 150 mg</w:t>
                            </w:r>
                          </w:p>
                          <w:p w14:paraId="0E8AB17D" w14:textId="77777777" w:rsidR="00FA41FC" w:rsidRDefault="00FA41FC">
                            <w:pPr>
                              <w:pStyle w:val="Corpo"/>
                              <w:jc w:val="center"/>
                              <w:rPr>
                                <w:rFonts w:cstheme="minorHAnsi" w:hint="eastAsia"/>
                                <w:i/>
                                <w:color w:val="FFFFFF" w:themeColor="background1"/>
                                <w:szCs w:val="23"/>
                              </w:rPr>
                            </w:pPr>
                            <w:r>
                              <w:rPr>
                                <w:rFonts w:cstheme="minorHAnsi"/>
                                <w:i/>
                                <w:color w:val="FFFFFF" w:themeColor="background1"/>
                                <w:szCs w:val="23"/>
                              </w:rPr>
                              <w:t xml:space="preserve">Ginkgo biloba </w:t>
                            </w:r>
                            <w:r>
                              <w:rPr>
                                <w:rFonts w:cstheme="minorHAnsi"/>
                                <w:color w:val="FFFFFF" w:themeColor="background1"/>
                                <w:szCs w:val="23"/>
                              </w:rPr>
                              <w:t>50 mg</w:t>
                            </w:r>
                          </w:p>
                          <w:p w14:paraId="79C7C2A0" w14:textId="77777777" w:rsidR="00FA41FC" w:rsidRDefault="00FA41FC">
                            <w:pPr>
                              <w:pStyle w:val="Corpo"/>
                              <w:jc w:val="center"/>
                              <w:rPr>
                                <w:rFonts w:cstheme="minorHAnsi" w:hint="eastAsia"/>
                                <w:i/>
                                <w:color w:val="FFFFFF" w:themeColor="background1"/>
                                <w:szCs w:val="23"/>
                              </w:rPr>
                            </w:pPr>
                            <w:r>
                              <w:rPr>
                                <w:rFonts w:cstheme="minorHAnsi"/>
                                <w:i/>
                                <w:color w:val="FFFFFF" w:themeColor="background1"/>
                                <w:szCs w:val="23"/>
                              </w:rPr>
                              <w:t xml:space="preserve">Tribulus terrestres </w:t>
                            </w:r>
                            <w:r>
                              <w:rPr>
                                <w:rFonts w:cstheme="minorHAnsi"/>
                                <w:color w:val="FFFFFF" w:themeColor="background1"/>
                                <w:szCs w:val="23"/>
                              </w:rPr>
                              <w:t>40 mg</w:t>
                            </w:r>
                          </w:p>
                          <w:p w14:paraId="7F82797E" w14:textId="77777777" w:rsidR="00FA41FC" w:rsidRDefault="00FA41FC">
                            <w:pPr>
                              <w:pStyle w:val="Corpo"/>
                              <w:jc w:val="center"/>
                              <w:rPr>
                                <w:rFonts w:cstheme="minorHAnsi" w:hint="eastAsia"/>
                                <w:color w:val="FFFFFF" w:themeColor="background1"/>
                                <w:szCs w:val="23"/>
                              </w:rPr>
                            </w:pPr>
                            <w:r>
                              <w:rPr>
                                <w:rFonts w:cstheme="minorHAnsi"/>
                                <w:color w:val="FFFFFF" w:themeColor="background1"/>
                                <w:szCs w:val="23"/>
                              </w:rPr>
                              <w:t>Dose diária</w:t>
                            </w:r>
                          </w:p>
                          <w:p w14:paraId="4B7BE343" w14:textId="77777777" w:rsidR="00FA41FC" w:rsidRDefault="00FA41FC">
                            <w:pPr>
                              <w:pStyle w:val="Corpo"/>
                              <w:jc w:val="center"/>
                              <w:rPr>
                                <w:rFonts w:hint="eastAsia"/>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739657824" o:spid="_x0000_s1190" type="#_x0000_t202" style="position:absolute;left:0;text-align:left;margin-left:119.8pt;margin-top:7pt;width:210.85pt;height:98.55pt;z-index:251933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" fillcolor="#0070c0" strokecolor="#0070c0">
                <v:textbox>
                  <w:txbxContent>
                    <w:p w14:paraId="0AF57FE5" w14:textId="77777777" w:rsidR="00FA41FC" w:rsidRDefault="00FA41FC">
                      <w:pPr>
                        <w:pStyle w:val="Corpo"/>
                        <w:jc w:val="center"/>
                        <w:rPr>
                          <w:rFonts w:cstheme="minorHAnsi" w:hint="eastAsia"/>
                          <w:i/>
                          <w:color w:val="FFFFFF" w:themeColor="background1"/>
                          <w:szCs w:val="23"/>
                        </w:rPr>
                      </w:pPr>
                      <w:r>
                        <w:rPr>
                          <w:b/>
                          <w:color w:val="FFFFFF" w:themeColor="background1"/>
                          <w:szCs w:val="23"/>
                        </w:rPr>
                        <w:t xml:space="preserve">Grupo 1 </w:t>
                      </w:r>
                      <w:r>
                        <w:rPr>
                          <w:b/>
                          <w:color w:val="FFFFFF" w:themeColor="background1"/>
                          <w:szCs w:val="23"/>
                        </w:rPr>
                        <w:br/>
                      </w:r>
                      <w:r>
                        <w:rPr>
                          <w:rFonts w:cstheme="minorHAnsi"/>
                          <w:i/>
                          <w:color w:val="FFFFFF" w:themeColor="background1"/>
                          <w:szCs w:val="23"/>
                        </w:rPr>
                        <w:t xml:space="preserve">Trigonella foenum graecum </w:t>
                      </w:r>
                      <w:r>
                        <w:rPr>
                          <w:rFonts w:cstheme="minorHAnsi"/>
                          <w:color w:val="FFFFFF" w:themeColor="background1"/>
                          <w:szCs w:val="23"/>
                        </w:rPr>
                        <w:t>600 mg</w:t>
                      </w:r>
                    </w:p>
                    <w:p w14:paraId="07381BAF" w14:textId="77777777" w:rsidR="00FA41FC" w:rsidRDefault="00FA41FC">
                      <w:pPr>
                        <w:pStyle w:val="Corpo"/>
                        <w:jc w:val="center"/>
                        <w:rPr>
                          <w:rFonts w:cstheme="minorHAnsi" w:hint="eastAsia"/>
                          <w:color w:val="FFFFFF" w:themeColor="background1"/>
                          <w:szCs w:val="23"/>
                        </w:rPr>
                      </w:pPr>
                      <w:r>
                        <w:rPr>
                          <w:rFonts w:cstheme="minorHAnsi"/>
                          <w:color w:val="FFFFFF" w:themeColor="background1"/>
                          <w:szCs w:val="23"/>
                        </w:rPr>
                        <w:t>Extrato de Damiana 150 mg</w:t>
                      </w:r>
                    </w:p>
                    <w:p w14:paraId="0E8AB17D" w14:textId="77777777" w:rsidR="00FA41FC" w:rsidRDefault="00FA41FC">
                      <w:pPr>
                        <w:pStyle w:val="Corpo"/>
                        <w:jc w:val="center"/>
                        <w:rPr>
                          <w:rFonts w:cstheme="minorHAnsi" w:hint="eastAsia"/>
                          <w:i/>
                          <w:color w:val="FFFFFF" w:themeColor="background1"/>
                          <w:szCs w:val="23"/>
                        </w:rPr>
                      </w:pPr>
                      <w:r>
                        <w:rPr>
                          <w:rFonts w:cstheme="minorHAnsi"/>
                          <w:i/>
                          <w:color w:val="FFFFFF" w:themeColor="background1"/>
                          <w:szCs w:val="23"/>
                        </w:rPr>
                        <w:t xml:space="preserve">Ginkgo biloba </w:t>
                      </w:r>
                      <w:r>
                        <w:rPr>
                          <w:rFonts w:cstheme="minorHAnsi"/>
                          <w:color w:val="FFFFFF" w:themeColor="background1"/>
                          <w:szCs w:val="23"/>
                        </w:rPr>
                        <w:t>50 mg</w:t>
                      </w:r>
                    </w:p>
                    <w:p w14:paraId="79C7C2A0" w14:textId="77777777" w:rsidR="00FA41FC" w:rsidRDefault="00FA41FC">
                      <w:pPr>
                        <w:pStyle w:val="Corpo"/>
                        <w:jc w:val="center"/>
                        <w:rPr>
                          <w:rFonts w:cstheme="minorHAnsi" w:hint="eastAsia"/>
                          <w:i/>
                          <w:color w:val="FFFFFF" w:themeColor="background1"/>
                          <w:szCs w:val="23"/>
                        </w:rPr>
                      </w:pPr>
                      <w:r>
                        <w:rPr>
                          <w:rFonts w:cstheme="minorHAnsi"/>
                          <w:i/>
                          <w:color w:val="FFFFFF" w:themeColor="background1"/>
                          <w:szCs w:val="23"/>
                        </w:rPr>
                        <w:t xml:space="preserve">Tribulus terrestres </w:t>
                      </w:r>
                      <w:r>
                        <w:rPr>
                          <w:rFonts w:cstheme="minorHAnsi"/>
                          <w:color w:val="FFFFFF" w:themeColor="background1"/>
                          <w:szCs w:val="23"/>
                        </w:rPr>
                        <w:t>40 mg</w:t>
                      </w:r>
                    </w:p>
                    <w:p w14:paraId="7F82797E" w14:textId="77777777" w:rsidR="00FA41FC" w:rsidRDefault="00FA41FC">
                      <w:pPr>
                        <w:pStyle w:val="Corpo"/>
                        <w:jc w:val="center"/>
                        <w:rPr>
                          <w:rFonts w:cstheme="minorHAnsi" w:hint="eastAsia"/>
                          <w:color w:val="FFFFFF" w:themeColor="background1"/>
                          <w:szCs w:val="23"/>
                        </w:rPr>
                      </w:pPr>
                      <w:r>
                        <w:rPr>
                          <w:rFonts w:cstheme="minorHAnsi"/>
                          <w:color w:val="FFFFFF" w:themeColor="background1"/>
                          <w:szCs w:val="23"/>
                        </w:rPr>
                        <w:t>Dose diária</w:t>
                      </w:r>
                    </w:p>
                    <w:p w14:paraId="4B7BE343" w14:textId="77777777" w:rsidR="00FA41FC" w:rsidRDefault="00FA41FC">
                      <w:pPr>
                        <w:pStyle w:val="Corpo"/>
                        <w:jc w:val="center"/>
                        <w:rPr>
                          <w:rFonts w:hint="eastAsia"/>
                          <w:color w:val="FFFFFF" w:themeColor="background1"/>
                          <w:szCs w:val="23"/>
                        </w:rPr>
                      </w:pPr>
                    </w:p>
                  </w:txbxContent>
                </v:textbox>
              </v:shape>
            </w:pict>
          </mc:Fallback>
        </mc:AlternateContent>
      </w:r>
    </w:p>
    <w:p w14:paraId="6ACA715B" w14:textId="77777777" w:rsidR="00CD65C2" w:rsidRDefault="00CD65C2">
      <w:pPr>
        <w:pStyle w:val="Corpo"/>
        <w:rPr>
          <w:rFonts w:hint="eastAsia"/>
          <w:color w:val="404040" w:themeColor="text1" w:themeTint="BF"/>
        </w:rPr>
      </w:pPr>
    </w:p>
    <w:p w14:paraId="736B9F19" w14:textId="77777777" w:rsidR="00CD65C2" w:rsidRDefault="00CD65C2">
      <w:pPr>
        <w:pStyle w:val="Corpo"/>
        <w:rPr>
          <w:rFonts w:hint="eastAsia"/>
          <w:color w:val="404040" w:themeColor="text1" w:themeTint="BF"/>
        </w:rPr>
      </w:pPr>
    </w:p>
    <w:p w14:paraId="02C389C8" w14:textId="77777777" w:rsidR="00CD65C2" w:rsidRDefault="00CD65C2">
      <w:pPr>
        <w:pStyle w:val="Corpo"/>
        <w:rPr>
          <w:rFonts w:hint="eastAsia"/>
          <w:color w:val="404040" w:themeColor="text1" w:themeTint="BF"/>
        </w:rPr>
      </w:pPr>
    </w:p>
    <w:p w14:paraId="22896F56" w14:textId="77777777" w:rsidR="00CD65C2" w:rsidRDefault="00CD65C2">
      <w:pPr>
        <w:pStyle w:val="Corpo"/>
        <w:rPr>
          <w:rFonts w:hint="eastAsia"/>
          <w:color w:val="404040" w:themeColor="text1" w:themeTint="BF"/>
        </w:rPr>
      </w:pPr>
    </w:p>
    <w:p w14:paraId="0D80FA22" w14:textId="77777777" w:rsidR="00CD65C2" w:rsidRDefault="00CD65C2">
      <w:pPr>
        <w:pStyle w:val="Corpo"/>
        <w:rPr>
          <w:rFonts w:hint="eastAsia"/>
          <w:b/>
          <w:color w:val="339966"/>
          <w:sz w:val="25"/>
          <w:szCs w:val="25"/>
          <w14:textFill>
            <w14:solidFill>
              <w14:srgbClr w14:val="339966">
                <w14:lumMod w14:val="75000"/>
                <w14:lumOff w14:val="25000"/>
              </w14:srgbClr>
            </w14:solidFill>
          </w14:textFill>
        </w:rPr>
      </w:pPr>
    </w:p>
    <w:p w14:paraId="2808A433" w14:textId="77777777" w:rsidR="00CD65C2" w:rsidRDefault="00CD65C2">
      <w:pPr>
        <w:pStyle w:val="Corpo"/>
        <w:rPr>
          <w:rFonts w:hint="eastAsia"/>
          <w:b/>
          <w:color w:val="339966"/>
          <w:sz w:val="25"/>
          <w:szCs w:val="25"/>
          <w14:textFill>
            <w14:solidFill>
              <w14:srgbClr w14:val="339966">
                <w14:lumMod w14:val="75000"/>
                <w14:lumOff w14:val="25000"/>
              </w14:srgbClr>
            </w14:solidFill>
          </w14:textFill>
        </w:rPr>
      </w:pPr>
    </w:p>
    <w:p w14:paraId="6E8FF4B1" w14:textId="77777777" w:rsidR="00CD65C2" w:rsidRDefault="00CD65C2">
      <w:pPr>
        <w:pStyle w:val="Corpo"/>
        <w:rPr>
          <w:rFonts w:hint="eastAsia"/>
          <w:b/>
          <w:color w:val="339966"/>
          <w:sz w:val="25"/>
          <w:szCs w:val="25"/>
          <w14:textFill>
            <w14:solidFill>
              <w14:srgbClr w14:val="339966">
                <w14:lumMod w14:val="75000"/>
                <w14:lumOff w14:val="25000"/>
              </w14:srgbClr>
            </w14:solidFill>
          </w14:textFill>
        </w:rPr>
      </w:pPr>
    </w:p>
    <w:p w14:paraId="23AB2509" w14:textId="77777777" w:rsidR="00CD65C2" w:rsidRDefault="00CD65C2">
      <w:pPr>
        <w:pStyle w:val="Corpo"/>
        <w:rPr>
          <w:rFonts w:hint="eastAsia"/>
          <w:b/>
          <w:color w:val="339966"/>
          <w:sz w:val="25"/>
          <w:szCs w:val="25"/>
          <w14:textFill>
            <w14:solidFill>
              <w14:srgbClr w14:val="339966">
                <w14:lumMod w14:val="75000"/>
                <w14:lumOff w14:val="25000"/>
              </w14:srgbClr>
            </w14:solidFill>
          </w14:textFill>
        </w:rPr>
      </w:pPr>
    </w:p>
    <w:p w14:paraId="77B8921F"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7ECAB6E1" w14:textId="77777777" w:rsidR="00CD65C2" w:rsidRDefault="00CD65C2">
      <w:pPr>
        <w:pStyle w:val="Corpo"/>
        <w:rPr>
          <w:rFonts w:hint="eastAsia"/>
          <w:color w:val="404040" w:themeColor="text1" w:themeTint="BF"/>
          <w:sz w:val="16"/>
          <w:szCs w:val="16"/>
        </w:rPr>
      </w:pPr>
    </w:p>
    <w:p w14:paraId="41D6CD40" w14:textId="77777777" w:rsidR="00CD65C2" w:rsidRDefault="00FA41FC" w:rsidP="00D1428E">
      <w:pPr>
        <w:pStyle w:val="Corpo"/>
        <w:numPr>
          <w:ilvl w:val="0"/>
          <w:numId w:val="48"/>
        </w:numPr>
        <w:rPr>
          <w:rFonts w:hint="eastAsia"/>
          <w:bCs/>
          <w:color w:val="404040" w:themeColor="text1" w:themeTint="BF"/>
          <w:sz w:val="24"/>
        </w:rPr>
      </w:pPr>
      <w:r>
        <w:rPr>
          <w:bCs/>
          <w:color w:val="404040" w:themeColor="text1" w:themeTint="BF"/>
          <w:sz w:val="24"/>
        </w:rPr>
        <w:t>Houve uma melhora significativa dos escores de FSFI do início do estudo (20,15) ao final (25,03);</w:t>
      </w:r>
    </w:p>
    <w:p w14:paraId="688CDF4C" w14:textId="77777777" w:rsidR="00CD65C2" w:rsidRDefault="00FA41FC" w:rsidP="00D1428E">
      <w:pPr>
        <w:pStyle w:val="Corpo"/>
        <w:numPr>
          <w:ilvl w:val="0"/>
          <w:numId w:val="48"/>
        </w:numPr>
        <w:rPr>
          <w:rFonts w:hint="eastAsia"/>
          <w:bCs/>
          <w:color w:val="404040" w:themeColor="text1" w:themeTint="BF"/>
          <w:sz w:val="24"/>
        </w:rPr>
      </w:pPr>
      <w:r>
        <w:rPr>
          <w:bCs/>
          <w:color w:val="404040" w:themeColor="text1" w:themeTint="BF"/>
          <w:sz w:val="24"/>
        </w:rPr>
        <w:t>A maioria dos pacientes (86,2%) tiveram o escore de FSFI aumentado;</w:t>
      </w:r>
    </w:p>
    <w:p w14:paraId="7F5F58A6" w14:textId="77777777" w:rsidR="00CD65C2" w:rsidRDefault="00FA41FC" w:rsidP="00D1428E">
      <w:pPr>
        <w:pStyle w:val="Corpo"/>
        <w:numPr>
          <w:ilvl w:val="0"/>
          <w:numId w:val="48"/>
        </w:numPr>
        <w:rPr>
          <w:rFonts w:hint="eastAsia"/>
          <w:bCs/>
          <w:color w:val="404040" w:themeColor="text1" w:themeTint="BF"/>
          <w:sz w:val="24"/>
        </w:rPr>
      </w:pPr>
      <w:r>
        <w:rPr>
          <w:bCs/>
          <w:color w:val="404040" w:themeColor="text1" w:themeTint="BF"/>
          <w:sz w:val="24"/>
        </w:rPr>
        <w:t>Todos os domínios de FSFI, com exceção da dispareunia, foram significativamente melhorados com a suplementação, sendo que o domínio “desejo” teve resultados melhores;</w:t>
      </w:r>
    </w:p>
    <w:p w14:paraId="07D8C3AE" w14:textId="685CDFCA" w:rsidR="00CD65C2" w:rsidRDefault="00FA41FC" w:rsidP="00D1428E">
      <w:pPr>
        <w:pStyle w:val="Corpo"/>
        <w:numPr>
          <w:ilvl w:val="0"/>
          <w:numId w:val="48"/>
        </w:numPr>
        <w:rPr>
          <w:rFonts w:hint="eastAsia"/>
          <w:bCs/>
          <w:color w:val="404040" w:themeColor="text1" w:themeTint="BF"/>
          <w:sz w:val="24"/>
        </w:rPr>
      </w:pPr>
      <w:r>
        <w:rPr>
          <w:bCs/>
          <w:color w:val="404040" w:themeColor="text1" w:themeTint="BF"/>
          <w:sz w:val="24"/>
        </w:rPr>
        <w:t>Foi observado um aumento significativo nos níveis de testosterona do início do estudo (0,41 pg/mL) comparado ao final (0,50 pg/mL);</w:t>
      </w:r>
    </w:p>
    <w:p w14:paraId="21D7A8EE" w14:textId="77777777" w:rsidR="00CD65C2" w:rsidRDefault="00FA41FC" w:rsidP="00D1428E">
      <w:pPr>
        <w:pStyle w:val="Corpo"/>
        <w:numPr>
          <w:ilvl w:val="0"/>
          <w:numId w:val="48"/>
        </w:numPr>
        <w:rPr>
          <w:rFonts w:hint="eastAsia"/>
          <w:bCs/>
          <w:color w:val="404040" w:themeColor="text1" w:themeTint="BF"/>
          <w:sz w:val="24"/>
        </w:rPr>
      </w:pPr>
      <w:r>
        <w:rPr>
          <w:bCs/>
          <w:color w:val="404040" w:themeColor="text1" w:themeTint="BF"/>
          <w:sz w:val="24"/>
        </w:rPr>
        <w:t>Houve uma redução nos níveis de Globulina Ligadora de Hormônios Sexuais (SHBG) de 85nmol/L no início para 73 nmol/L no final do estudo.</w:t>
      </w:r>
    </w:p>
    <w:p w14:paraId="69786735"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4B1C57A9"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195BCE75" w14:textId="77777777" w:rsidR="00CD65C2" w:rsidRDefault="00CD65C2">
      <w:pPr>
        <w:pStyle w:val="Corpo"/>
        <w:rPr>
          <w:rFonts w:hint="eastAsia"/>
          <w:b/>
          <w:color w:val="339966"/>
          <w:sz w:val="16"/>
          <w:szCs w:val="16"/>
          <w14:textFill>
            <w14:solidFill>
              <w14:srgbClr w14:val="339966">
                <w14:lumMod w14:val="75000"/>
                <w14:lumOff w14:val="25000"/>
              </w14:srgbClr>
            </w14:solidFill>
          </w14:textFill>
        </w:rPr>
      </w:pPr>
    </w:p>
    <w:p w14:paraId="720C0CBB" w14:textId="4E0241B1" w:rsidR="00CD65C2" w:rsidRDefault="00FA41FC">
      <w:pPr>
        <w:pStyle w:val="Corpo"/>
        <w:jc w:val="center"/>
        <w:rPr>
          <w:rFonts w:hint="eastAsia"/>
          <w:b/>
          <w:i/>
          <w:color w:val="404040" w:themeColor="text1" w:themeTint="BF"/>
        </w:rPr>
      </w:pPr>
      <w:r>
        <w:rPr>
          <w:b/>
          <w:i/>
          <w:color w:val="404040" w:themeColor="text1" w:themeTint="BF"/>
        </w:rPr>
        <w:t xml:space="preserve">Este estudo demonstrou uma melhora significativa na função sexual e níveis de hormônios associados com a associação fitoterápica. </w:t>
      </w:r>
    </w:p>
    <w:p w14:paraId="535164E8" w14:textId="77777777" w:rsidR="00CD65C2" w:rsidRDefault="00CD65C2">
      <w:pPr>
        <w:pStyle w:val="Corpo"/>
        <w:jc w:val="center"/>
        <w:rPr>
          <w:rFonts w:hint="eastAsia"/>
          <w:b/>
          <w:i/>
          <w:color w:val="404040" w:themeColor="text1" w:themeTint="BF"/>
        </w:rPr>
      </w:pPr>
    </w:p>
    <w:p w14:paraId="74990599" w14:textId="77777777" w:rsidR="00CD65C2" w:rsidRDefault="00FA41FC">
      <w:pPr>
        <w:pStyle w:val="Ttulo1"/>
        <w:jc w:val="center"/>
        <w:rPr>
          <w:rFonts w:hint="eastAsia"/>
        </w:rPr>
      </w:pPr>
      <w:bookmarkStart w:id="126" w:name="_Toc165537274"/>
      <w:r>
        <w:t>Formulário</w:t>
      </w:r>
      <w:bookmarkEnd w:id="126"/>
    </w:p>
    <w:p w14:paraId="2D78BF4F" w14:textId="77777777" w:rsidR="00CD65C2" w:rsidRDefault="00CD65C2">
      <w:pPr>
        <w:pStyle w:val="Corpo"/>
        <w:rPr>
          <w:rFonts w:hint="eastAsia"/>
          <w:b/>
          <w:i/>
          <w:color w:val="404040" w:themeColor="text1" w:themeTint="BF"/>
        </w:rPr>
      </w:pPr>
    </w:p>
    <w:p w14:paraId="0C5015F0" w14:textId="77777777" w:rsidR="00CD65C2" w:rsidRDefault="00CD65C2">
      <w:pPr>
        <w:pStyle w:val="Corpo"/>
        <w:rPr>
          <w:rFonts w:hint="eastAsia"/>
          <w:b/>
          <w:i/>
          <w:color w:val="404040" w:themeColor="text1" w:themeTint="BF"/>
        </w:rPr>
      </w:pPr>
    </w:p>
    <w:p w14:paraId="776662AA" w14:textId="77777777" w:rsidR="00CD65C2" w:rsidRDefault="00FA41FC">
      <w:pPr>
        <w:pStyle w:val="Corpo"/>
        <w:rPr>
          <w:rFonts w:hint="eastAsia"/>
          <w:b/>
          <w:i/>
          <w:color w:val="404040" w:themeColor="text1" w:themeTint="BF"/>
          <w:sz w:val="24"/>
        </w:rPr>
      </w:pPr>
      <w:r>
        <w:rPr>
          <w:b/>
          <w:i/>
          <w:color w:val="404040" w:themeColor="text1" w:themeTint="BF"/>
          <w:sz w:val="24"/>
        </w:rPr>
        <w:t>Associação Fitoterápica Melhora o Desejo Sexual Em Mulheres Pós-Menopausadas</w:t>
      </w:r>
    </w:p>
    <w:p w14:paraId="2DE402BA" w14:textId="77777777" w:rsidR="00CD65C2" w:rsidRDefault="00CD65C2">
      <w:pPr>
        <w:pStyle w:val="Corpo"/>
        <w:rPr>
          <w:rFonts w:hint="eastAsia"/>
          <w:color w:val="404040" w:themeColor="text1" w:themeTint="BF"/>
        </w:rPr>
      </w:pPr>
    </w:p>
    <w:tbl>
      <w:tblPr>
        <w:tblStyle w:val="Tabelacomgrade"/>
        <w:tblW w:w="439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390"/>
      </w:tblGrid>
      <w:tr w:rsidR="00CD65C2" w14:paraId="5FEE940A" w14:textId="77777777">
        <w:trPr>
          <w:trHeight w:val="515"/>
        </w:trPr>
        <w:tc>
          <w:tcPr>
            <w:tcW w:w="43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1F4973DC" w14:textId="77777777" w:rsidR="00CD65C2" w:rsidRDefault="00FA41FC">
            <w:pPr>
              <w:pStyle w:val="Corpo"/>
              <w:jc w:val="center"/>
              <w:rPr>
                <w:rFonts w:hint="eastAsia"/>
                <w:b/>
                <w:color w:val="FFFFFF" w:themeColor="background1"/>
              </w:rPr>
            </w:pPr>
            <w:r>
              <w:rPr>
                <w:b/>
                <w:color w:val="FFFFFF" w:themeColor="background1"/>
                <w:sz w:val="22"/>
              </w:rPr>
              <w:t>Cápsulas Fitoterápicas</w:t>
            </w:r>
          </w:p>
        </w:tc>
      </w:tr>
      <w:tr w:rsidR="00CD65C2" w14:paraId="741B65DD" w14:textId="77777777">
        <w:trPr>
          <w:trHeight w:val="515"/>
        </w:trPr>
        <w:tc>
          <w:tcPr>
            <w:tcW w:w="43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EB22AA8" w14:textId="77777777" w:rsidR="00CD65C2" w:rsidRDefault="00FA41FC">
            <w:pPr>
              <w:pStyle w:val="Corpo"/>
              <w:rPr>
                <w:rFonts w:hint="eastAsia"/>
                <w:color w:val="404040" w:themeColor="text1" w:themeTint="BF"/>
              </w:rPr>
            </w:pPr>
            <w:r>
              <w:rPr>
                <w:i/>
                <w:color w:val="404040" w:themeColor="text1" w:themeTint="BF"/>
              </w:rPr>
              <w:t>Trigonella foenum graecum</w:t>
            </w:r>
            <w:r>
              <w:rPr>
                <w:color w:val="404040" w:themeColor="text1" w:themeTint="BF"/>
              </w:rPr>
              <w:t>..............300 mg</w:t>
            </w:r>
          </w:p>
        </w:tc>
      </w:tr>
      <w:tr w:rsidR="00CD65C2" w14:paraId="11E07ABA" w14:textId="77777777">
        <w:trPr>
          <w:trHeight w:val="515"/>
        </w:trPr>
        <w:tc>
          <w:tcPr>
            <w:tcW w:w="43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A1FD2A2" w14:textId="77777777" w:rsidR="00CD65C2" w:rsidRDefault="00FA41FC">
            <w:pPr>
              <w:pStyle w:val="Corpo"/>
              <w:rPr>
                <w:rFonts w:hint="eastAsia"/>
                <w:color w:val="404040" w:themeColor="text1" w:themeTint="BF"/>
              </w:rPr>
            </w:pPr>
            <w:r>
              <w:rPr>
                <w:color w:val="404040" w:themeColor="text1" w:themeTint="BF"/>
              </w:rPr>
              <w:t>Extrato de Damiana.............................75 mg</w:t>
            </w:r>
          </w:p>
        </w:tc>
      </w:tr>
      <w:tr w:rsidR="00CD65C2" w14:paraId="4BB88373" w14:textId="77777777">
        <w:trPr>
          <w:trHeight w:val="515"/>
        </w:trPr>
        <w:tc>
          <w:tcPr>
            <w:tcW w:w="43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BD0FE4B" w14:textId="77777777" w:rsidR="00CD65C2" w:rsidRDefault="00FA41FC">
            <w:pPr>
              <w:pStyle w:val="Corpo"/>
              <w:rPr>
                <w:rFonts w:hint="eastAsia"/>
                <w:color w:val="404040" w:themeColor="text1" w:themeTint="BF"/>
              </w:rPr>
            </w:pPr>
            <w:r>
              <w:rPr>
                <w:i/>
                <w:color w:val="404040" w:themeColor="text1" w:themeTint="BF"/>
              </w:rPr>
              <w:t>Ginkgo biloba</w:t>
            </w:r>
            <w:r>
              <w:rPr>
                <w:color w:val="404040" w:themeColor="text1" w:themeTint="BF"/>
              </w:rPr>
              <w:t>.....................................25 mg</w:t>
            </w:r>
          </w:p>
        </w:tc>
      </w:tr>
      <w:tr w:rsidR="00CD65C2" w14:paraId="548F8909" w14:textId="77777777">
        <w:trPr>
          <w:trHeight w:val="515"/>
        </w:trPr>
        <w:tc>
          <w:tcPr>
            <w:tcW w:w="43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097A487" w14:textId="77777777" w:rsidR="00CD65C2" w:rsidRDefault="00FA41FC">
            <w:pPr>
              <w:pStyle w:val="Corpo"/>
              <w:rPr>
                <w:rFonts w:hint="eastAsia"/>
                <w:color w:val="404040" w:themeColor="text1" w:themeTint="BF"/>
              </w:rPr>
            </w:pPr>
            <w:r>
              <w:rPr>
                <w:i/>
                <w:color w:val="404040" w:themeColor="text1" w:themeTint="BF"/>
              </w:rPr>
              <w:t>T. terrestris</w:t>
            </w:r>
            <w:r>
              <w:rPr>
                <w:color w:val="404040" w:themeColor="text1" w:themeTint="BF"/>
              </w:rPr>
              <w:t>..........................................20 mg</w:t>
            </w:r>
          </w:p>
        </w:tc>
      </w:tr>
      <w:tr w:rsidR="00CD65C2" w14:paraId="22074041" w14:textId="77777777">
        <w:trPr>
          <w:trHeight w:val="586"/>
        </w:trPr>
        <w:tc>
          <w:tcPr>
            <w:tcW w:w="43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1890EBE" w14:textId="479F0010" w:rsidR="00CD65C2" w:rsidRDefault="00FA41FC">
            <w:pPr>
              <w:pStyle w:val="Corpo"/>
              <w:rPr>
                <w:rFonts w:hint="eastAsia"/>
                <w:color w:val="404040" w:themeColor="text1" w:themeTint="BF"/>
              </w:rPr>
            </w:pPr>
            <w:r>
              <w:rPr>
                <w:color w:val="404040" w:themeColor="text1" w:themeTint="BF"/>
              </w:rPr>
              <w:t>Excipiente q.s.p. ........................1 Cápsula</w:t>
            </w:r>
          </w:p>
        </w:tc>
      </w:tr>
    </w:tbl>
    <w:p w14:paraId="0B38BE0E" w14:textId="77777777" w:rsidR="00CD65C2" w:rsidRDefault="00FA41FC">
      <w:pPr>
        <w:pStyle w:val="SemEspaamento"/>
        <w:ind w:right="4676"/>
        <w:jc w:val="center"/>
      </w:pPr>
      <w:r>
        <w:rPr>
          <w:rFonts w:ascii="Swis721 Th BT" w:eastAsia="MS Mincho" w:hAnsi="Swis721 Th BT"/>
          <w:color w:val="404040" w:themeColor="text1" w:themeTint="BF"/>
        </w:rPr>
        <w:t>Administrar 1 cápsula a cada 12 horas ou conforme orientação médica.</w:t>
      </w:r>
    </w:p>
    <w:p w14:paraId="1ADFDAA8" w14:textId="77777777" w:rsidR="00CD65C2" w:rsidRDefault="00CD65C2">
      <w:pPr>
        <w:pStyle w:val="SemEspaamento"/>
      </w:pPr>
    </w:p>
    <w:p w14:paraId="18D42205" w14:textId="77777777" w:rsidR="00CD65C2" w:rsidRDefault="00CD65C2">
      <w:pPr>
        <w:pStyle w:val="SemEspaamento"/>
      </w:pPr>
    </w:p>
    <w:p w14:paraId="1D29DC21" w14:textId="77777777" w:rsidR="00CD65C2" w:rsidRDefault="00CD65C2">
      <w:pPr>
        <w:pStyle w:val="SemEspaamento"/>
      </w:pPr>
    </w:p>
    <w:p w14:paraId="69EEAE4F" w14:textId="77777777" w:rsidR="00CD65C2" w:rsidRDefault="00CD65C2">
      <w:pPr>
        <w:pStyle w:val="SemEspaamento"/>
      </w:pPr>
    </w:p>
    <w:p w14:paraId="04A2021E" w14:textId="77777777" w:rsidR="00CD65C2" w:rsidRDefault="00CD65C2">
      <w:pPr>
        <w:pStyle w:val="SemEspaamento"/>
      </w:pPr>
    </w:p>
    <w:p w14:paraId="5637DE36" w14:textId="77777777" w:rsidR="00CD65C2" w:rsidRDefault="00CD65C2">
      <w:pPr>
        <w:pStyle w:val="SemEspaamento"/>
      </w:pPr>
    </w:p>
    <w:p w14:paraId="3854A8FD" w14:textId="77777777" w:rsidR="00CD65C2" w:rsidRDefault="00CD65C2">
      <w:pPr>
        <w:pStyle w:val="SemEspaamento"/>
      </w:pPr>
    </w:p>
    <w:p w14:paraId="22E3D6EA" w14:textId="77777777" w:rsidR="00CD65C2" w:rsidRDefault="00CD65C2">
      <w:pPr>
        <w:pStyle w:val="SemEspaamento"/>
      </w:pPr>
    </w:p>
    <w:p w14:paraId="19B8A328" w14:textId="77777777" w:rsidR="00CD65C2" w:rsidRDefault="00CD65C2">
      <w:pPr>
        <w:pStyle w:val="SemEspaamento"/>
      </w:pPr>
    </w:p>
    <w:p w14:paraId="5B57E855" w14:textId="77777777" w:rsidR="00CD65C2" w:rsidRDefault="00CD65C2">
      <w:pPr>
        <w:pStyle w:val="SemEspaamento"/>
      </w:pPr>
    </w:p>
    <w:p w14:paraId="5678E490" w14:textId="77777777" w:rsidR="00CD65C2" w:rsidRDefault="00CD65C2">
      <w:pPr>
        <w:pStyle w:val="SemEspaamento"/>
      </w:pPr>
    </w:p>
    <w:p w14:paraId="76E5406D" w14:textId="77777777" w:rsidR="00CD65C2" w:rsidRDefault="00CD65C2">
      <w:pPr>
        <w:pStyle w:val="SemEspaamento"/>
      </w:pPr>
    </w:p>
    <w:p w14:paraId="53E586D0" w14:textId="77777777" w:rsidR="00CD65C2" w:rsidRDefault="00CD65C2">
      <w:pPr>
        <w:pStyle w:val="SemEspaamento"/>
      </w:pPr>
    </w:p>
    <w:p w14:paraId="2771C516" w14:textId="77777777" w:rsidR="00CD65C2" w:rsidRDefault="00CD65C2">
      <w:pPr>
        <w:pStyle w:val="SemEspaamento"/>
      </w:pPr>
    </w:p>
    <w:p w14:paraId="52A2A991" w14:textId="77777777" w:rsidR="00CD65C2" w:rsidRDefault="00CD65C2">
      <w:pPr>
        <w:pStyle w:val="SemEspaamento"/>
      </w:pPr>
    </w:p>
    <w:p w14:paraId="455011F1" w14:textId="77777777" w:rsidR="00CD65C2" w:rsidRDefault="00CD65C2">
      <w:pPr>
        <w:pStyle w:val="SemEspaamento"/>
      </w:pPr>
    </w:p>
    <w:p w14:paraId="2BCD2477" w14:textId="77777777" w:rsidR="00CD65C2" w:rsidRDefault="00CD65C2">
      <w:pPr>
        <w:pStyle w:val="SemEspaamento"/>
      </w:pPr>
    </w:p>
    <w:p w14:paraId="77FCC1DE" w14:textId="77777777" w:rsidR="00CD65C2" w:rsidRDefault="00CD65C2">
      <w:pPr>
        <w:pStyle w:val="SemEspaamento"/>
      </w:pPr>
    </w:p>
    <w:p w14:paraId="36A65D48" w14:textId="77777777" w:rsidR="00CD65C2" w:rsidRDefault="00CD65C2">
      <w:pPr>
        <w:pStyle w:val="SemEspaamento"/>
      </w:pPr>
    </w:p>
    <w:p w14:paraId="275561E8" w14:textId="77777777" w:rsidR="00CD65C2" w:rsidRDefault="00CD65C2">
      <w:pPr>
        <w:pStyle w:val="SemEspaamento"/>
      </w:pPr>
    </w:p>
    <w:p w14:paraId="1199D774" w14:textId="77777777" w:rsidR="00CD65C2" w:rsidRDefault="00CD65C2">
      <w:pPr>
        <w:pStyle w:val="SemEspaamento"/>
      </w:pPr>
    </w:p>
    <w:p w14:paraId="55EB2C45" w14:textId="77777777" w:rsidR="00CD65C2" w:rsidRDefault="00CD65C2">
      <w:pPr>
        <w:pStyle w:val="SemEspaamento"/>
      </w:pPr>
    </w:p>
    <w:p w14:paraId="3A0E3692" w14:textId="77777777" w:rsidR="00CD65C2" w:rsidRDefault="00CD65C2">
      <w:pPr>
        <w:pStyle w:val="SemEspaamento"/>
      </w:pPr>
    </w:p>
    <w:p w14:paraId="4E506145" w14:textId="77777777" w:rsidR="00CD65C2" w:rsidRDefault="00CD65C2">
      <w:pPr>
        <w:pStyle w:val="SemEspaamento"/>
      </w:pPr>
    </w:p>
    <w:p w14:paraId="7CB072EC" w14:textId="77777777" w:rsidR="00CD65C2" w:rsidRDefault="00CD65C2">
      <w:pPr>
        <w:pStyle w:val="SemEspaamento"/>
      </w:pPr>
    </w:p>
    <w:p w14:paraId="1835C64B" w14:textId="77777777" w:rsidR="00CD65C2" w:rsidRDefault="00CD65C2">
      <w:pPr>
        <w:pStyle w:val="SemEspaamento"/>
      </w:pPr>
    </w:p>
    <w:p w14:paraId="6204D6C7" w14:textId="77777777" w:rsidR="00CD65C2" w:rsidRDefault="00FA41FC">
      <w:pPr>
        <w:pStyle w:val="Ttulo1"/>
        <w:jc w:val="center"/>
        <w:rPr>
          <w:rFonts w:hint="eastAsia"/>
        </w:rPr>
      </w:pPr>
      <w:bookmarkStart w:id="127" w:name="_Toc165537275"/>
      <w:r>
        <w:t>Outros Fitoterápicos</w:t>
      </w:r>
      <w:bookmarkEnd w:id="127"/>
    </w:p>
    <w:p w14:paraId="6EB07E96" w14:textId="77777777" w:rsidR="00CD65C2" w:rsidRDefault="00FA41FC">
      <w:pPr>
        <w:pStyle w:val="Subtitulocorpo"/>
        <w:rPr>
          <w:rFonts w:hint="eastAsia"/>
          <w:color w:val="0082B2"/>
          <w:szCs w:val="40"/>
        </w:rPr>
      </w:pPr>
      <w:r>
        <w:rPr>
          <w:color w:val="0082B2"/>
          <w:szCs w:val="40"/>
        </w:rPr>
        <w:t>Melhoram os Escores que Medem o Grau de Disfunção Sexual nas Mulheres</w:t>
      </w:r>
    </w:p>
    <w:p w14:paraId="03F528B9" w14:textId="77777777" w:rsidR="00CD65C2" w:rsidRDefault="00CD65C2">
      <w:pPr>
        <w:spacing w:after="20" w:line="240" w:lineRule="auto"/>
        <w:jc w:val="both"/>
        <w:rPr>
          <w:rFonts w:ascii="Swis721 Th BT" w:eastAsia="MS Mincho" w:hAnsi="Swis721 Th BT" w:cs="Times New Roman" w:hint="eastAsia"/>
          <w:b/>
          <w:color w:val="404040"/>
          <w:sz w:val="23"/>
          <w:szCs w:val="24"/>
        </w:rPr>
      </w:pPr>
    </w:p>
    <w:p w14:paraId="6F27E7CB" w14:textId="77777777" w:rsidR="00CD65C2" w:rsidRDefault="00CD65C2">
      <w:pPr>
        <w:pStyle w:val="Corpo"/>
        <w:rPr>
          <w:rFonts w:hint="eastAsia"/>
          <w:b/>
          <w:color w:val="404040" w:themeColor="text1" w:themeTint="BF"/>
        </w:rPr>
      </w:pPr>
    </w:p>
    <w:p w14:paraId="68F4457D" w14:textId="77777777" w:rsidR="00CD65C2" w:rsidRDefault="00CD65C2">
      <w:pPr>
        <w:pStyle w:val="Corpo"/>
        <w:rPr>
          <w:rFonts w:hint="eastAsia"/>
          <w:b/>
          <w:color w:val="404040" w:themeColor="text1" w:themeTint="BF"/>
        </w:rPr>
      </w:pPr>
    </w:p>
    <w:p w14:paraId="7E1AB83A" w14:textId="39D23AB5" w:rsidR="00CD65C2" w:rsidRDefault="00FA41FC">
      <w:pPr>
        <w:pStyle w:val="Corpo"/>
        <w:rPr>
          <w:rFonts w:hint="eastAsia"/>
          <w:color w:val="404040" w:themeColor="text1" w:themeTint="BF"/>
        </w:rPr>
      </w:pPr>
      <w:r>
        <w:rPr>
          <w:color w:val="404040" w:themeColor="text1" w:themeTint="BF"/>
        </w:rPr>
        <w:t>Este estudo de revisão, conduzido por Jurado</w:t>
      </w:r>
      <w:r>
        <w:rPr>
          <w:i/>
          <w:color w:val="404040" w:themeColor="text1" w:themeTint="BF"/>
        </w:rPr>
        <w:t xml:space="preserve"> et al</w:t>
      </w:r>
      <w:r>
        <w:rPr>
          <w:color w:val="404040" w:themeColor="text1" w:themeTint="BF"/>
        </w:rPr>
        <w:t xml:space="preserve">. (2020), teve como objetivo analisar as evidências relacionadas ao uso de fitoterápicos em mulheres com disfunção sexual. Para isso, foram pesquisados estudos clínicos e randomizados nos seguintes bancos de dados: </w:t>
      </w:r>
      <w:r>
        <w:rPr>
          <w:i/>
          <w:color w:val="404040" w:themeColor="text1" w:themeTint="BF"/>
        </w:rPr>
        <w:t>Scientific Information Web of Knowledge, MEDLINE, Pubmed, Scopus and Cochrane databases</w:t>
      </w:r>
      <w:r>
        <w:rPr>
          <w:color w:val="404040" w:themeColor="text1" w:themeTint="BF"/>
        </w:rPr>
        <w:t>. Estudos analisados nessa meta-análise mostraram que os fitoterápicos promovem melhoras significativas nos sintomas relacionados com disfunção sexual feminina, particularmente no desejo sexual hipoativo.</w:t>
      </w:r>
    </w:p>
    <w:p w14:paraId="621A97E2" w14:textId="77777777" w:rsidR="00CD65C2" w:rsidRDefault="00CD65C2">
      <w:pPr>
        <w:pStyle w:val="Corpo"/>
        <w:rPr>
          <w:rFonts w:hint="eastAsia"/>
          <w:b/>
          <w:color w:val="404040" w:themeColor="text1" w:themeTint="BF"/>
        </w:rPr>
      </w:pPr>
    </w:p>
    <w:p w14:paraId="31419B09" w14:textId="77777777" w:rsidR="00CD65C2" w:rsidRDefault="00CD65C2">
      <w:pPr>
        <w:pStyle w:val="Corpo"/>
        <w:rPr>
          <w:rFonts w:hint="eastAsia"/>
          <w:b/>
          <w:color w:val="404040" w:themeColor="text1" w:themeTint="BF"/>
        </w:rPr>
      </w:pPr>
    </w:p>
    <w:p w14:paraId="3CE56B42" w14:textId="77777777" w:rsidR="00CD65C2" w:rsidRDefault="00FA41FC">
      <w:pPr>
        <w:pStyle w:val="Corpo"/>
        <w:rPr>
          <w:rFonts w:hint="eastAsia"/>
          <w:b/>
          <w:color w:val="404040" w:themeColor="text1" w:themeTint="BF"/>
        </w:rPr>
      </w:pPr>
      <w:r>
        <w:rPr>
          <w:b/>
          <w:color w:val="404040" w:themeColor="text1" w:themeTint="BF"/>
        </w:rPr>
        <w:t>Estudos e seus respectivos resultados na melhora dos de mulheres com disfunção sexual</w:t>
      </w:r>
    </w:p>
    <w:tbl>
      <w:tblPr>
        <w:tblStyle w:val="Tabelacomgrade16"/>
        <w:tblpPr w:leftFromText="141" w:rightFromText="141" w:vertAnchor="text" w:horzAnchor="margin" w:tblpY="194"/>
        <w:tblW w:w="9351" w:type="dxa"/>
        <w:tblLook w:val="04A0" w:firstRow="1" w:lastRow="0" w:firstColumn="1" w:lastColumn="0" w:noHBand="0" w:noVBand="1"/>
      </w:tblPr>
      <w:tblGrid>
        <w:gridCol w:w="1413"/>
        <w:gridCol w:w="1735"/>
        <w:gridCol w:w="2092"/>
        <w:gridCol w:w="4111"/>
      </w:tblGrid>
      <w:tr w:rsidR="00CD65C2" w14:paraId="24CA4BF1" w14:textId="77777777">
        <w:trPr>
          <w:trHeight w:val="505"/>
        </w:trPr>
        <w:tc>
          <w:tcPr>
            <w:tcW w:w="1413" w:type="dxa"/>
          </w:tcPr>
          <w:p w14:paraId="4850854A" w14:textId="77777777" w:rsidR="00CD65C2" w:rsidRDefault="00FA41FC">
            <w:pPr>
              <w:pStyle w:val="Corpo"/>
              <w:jc w:val="center"/>
              <w:rPr>
                <w:rFonts w:hint="eastAsia"/>
                <w:b/>
                <w:color w:val="404040" w:themeColor="text1" w:themeTint="BF"/>
                <w:shd w:val="clear" w:color="auto" w:fill="FFFFFF"/>
              </w:rPr>
            </w:pPr>
            <w:r>
              <w:rPr>
                <w:b/>
                <w:color w:val="404040" w:themeColor="text1" w:themeTint="BF"/>
                <w:shd w:val="clear" w:color="auto" w:fill="FFFFFF"/>
              </w:rPr>
              <w:t>Autor</w:t>
            </w:r>
          </w:p>
        </w:tc>
        <w:tc>
          <w:tcPr>
            <w:tcW w:w="1735" w:type="dxa"/>
          </w:tcPr>
          <w:p w14:paraId="54163834" w14:textId="77777777" w:rsidR="00CD65C2" w:rsidRDefault="00FA41FC">
            <w:pPr>
              <w:pStyle w:val="Corpo"/>
              <w:jc w:val="center"/>
              <w:rPr>
                <w:rFonts w:hint="eastAsia"/>
                <w:b/>
                <w:color w:val="404040" w:themeColor="text1" w:themeTint="BF"/>
                <w:shd w:val="clear" w:color="auto" w:fill="FFFFFF"/>
              </w:rPr>
            </w:pPr>
            <w:r>
              <w:rPr>
                <w:b/>
                <w:color w:val="404040" w:themeColor="text1" w:themeTint="BF"/>
                <w:shd w:val="clear" w:color="auto" w:fill="FFFFFF"/>
              </w:rPr>
              <w:t>Número de participantes</w:t>
            </w:r>
          </w:p>
        </w:tc>
        <w:tc>
          <w:tcPr>
            <w:tcW w:w="2092" w:type="dxa"/>
          </w:tcPr>
          <w:p w14:paraId="7377184D" w14:textId="77777777" w:rsidR="00CD65C2" w:rsidRDefault="00CD65C2">
            <w:pPr>
              <w:pStyle w:val="Corpo"/>
              <w:jc w:val="center"/>
              <w:rPr>
                <w:rFonts w:hint="eastAsia"/>
                <w:b/>
                <w:color w:val="404040" w:themeColor="text1" w:themeTint="BF"/>
                <w:sz w:val="10"/>
                <w:szCs w:val="10"/>
                <w:shd w:val="clear" w:color="auto" w:fill="FFFFFF"/>
              </w:rPr>
            </w:pPr>
          </w:p>
          <w:p w14:paraId="3AEC3404" w14:textId="77777777" w:rsidR="00CD65C2" w:rsidRDefault="00FA41FC">
            <w:pPr>
              <w:pStyle w:val="Corpo"/>
              <w:jc w:val="center"/>
              <w:rPr>
                <w:rFonts w:hint="eastAsia"/>
                <w:b/>
                <w:color w:val="404040" w:themeColor="text1" w:themeTint="BF"/>
                <w:shd w:val="clear" w:color="auto" w:fill="FFFFFF"/>
              </w:rPr>
            </w:pPr>
            <w:r>
              <w:rPr>
                <w:b/>
                <w:color w:val="404040" w:themeColor="text1" w:themeTint="BF"/>
                <w:shd w:val="clear" w:color="auto" w:fill="FFFFFF"/>
              </w:rPr>
              <w:t>Posologia</w:t>
            </w:r>
          </w:p>
        </w:tc>
        <w:tc>
          <w:tcPr>
            <w:tcW w:w="4111" w:type="dxa"/>
          </w:tcPr>
          <w:p w14:paraId="1294429D" w14:textId="77777777" w:rsidR="00CD65C2" w:rsidRDefault="00CD65C2">
            <w:pPr>
              <w:pStyle w:val="Corpo"/>
              <w:jc w:val="center"/>
              <w:rPr>
                <w:rFonts w:hint="eastAsia"/>
                <w:b/>
                <w:color w:val="404040" w:themeColor="text1" w:themeTint="BF"/>
                <w:sz w:val="10"/>
                <w:szCs w:val="10"/>
                <w:shd w:val="clear" w:color="auto" w:fill="FFFFFF"/>
              </w:rPr>
            </w:pPr>
          </w:p>
          <w:p w14:paraId="5CCC4D9C" w14:textId="77777777" w:rsidR="00CD65C2" w:rsidRDefault="00FA41FC">
            <w:pPr>
              <w:pStyle w:val="Corpo"/>
              <w:jc w:val="center"/>
              <w:rPr>
                <w:rFonts w:hint="eastAsia"/>
                <w:b/>
                <w:color w:val="404040" w:themeColor="text1" w:themeTint="BF"/>
                <w:shd w:val="clear" w:color="auto" w:fill="FFFFFF"/>
              </w:rPr>
            </w:pPr>
            <w:r>
              <w:rPr>
                <w:b/>
                <w:color w:val="404040" w:themeColor="text1" w:themeTint="BF"/>
                <w:shd w:val="clear" w:color="auto" w:fill="FFFFFF"/>
              </w:rPr>
              <w:t>Resultados</w:t>
            </w:r>
          </w:p>
        </w:tc>
      </w:tr>
      <w:tr w:rsidR="00CD65C2" w14:paraId="66DAFD43" w14:textId="77777777">
        <w:trPr>
          <w:trHeight w:val="724"/>
        </w:trPr>
        <w:tc>
          <w:tcPr>
            <w:tcW w:w="1413" w:type="dxa"/>
          </w:tcPr>
          <w:p w14:paraId="7FD01019" w14:textId="77777777" w:rsidR="00CD65C2" w:rsidRDefault="00CD65C2">
            <w:pPr>
              <w:pStyle w:val="Corpo"/>
              <w:jc w:val="center"/>
              <w:rPr>
                <w:rFonts w:hint="eastAsia"/>
                <w:color w:val="404040" w:themeColor="text1" w:themeTint="BF"/>
                <w:shd w:val="clear" w:color="auto" w:fill="FFFFFF"/>
                <w:lang w:val="en-US"/>
              </w:rPr>
            </w:pPr>
          </w:p>
          <w:p w14:paraId="6C068E15" w14:textId="77777777" w:rsidR="00CD65C2" w:rsidRDefault="00CD65C2">
            <w:pPr>
              <w:pStyle w:val="Corpo"/>
              <w:jc w:val="center"/>
              <w:rPr>
                <w:rFonts w:hint="eastAsia"/>
                <w:color w:val="404040" w:themeColor="text1" w:themeTint="BF"/>
                <w:shd w:val="clear" w:color="auto" w:fill="FFFFFF"/>
                <w:lang w:val="en-US"/>
              </w:rPr>
            </w:pPr>
          </w:p>
          <w:p w14:paraId="5285B756" w14:textId="77777777" w:rsidR="00CD65C2" w:rsidRDefault="00FA41FC">
            <w:pPr>
              <w:pStyle w:val="Corpo"/>
              <w:jc w:val="center"/>
              <w:rPr>
                <w:rFonts w:hint="eastAsia"/>
                <w:color w:val="404040" w:themeColor="text1" w:themeTint="BF"/>
                <w:shd w:val="clear" w:color="auto" w:fill="FFFFFF"/>
              </w:rPr>
            </w:pPr>
            <w:r>
              <w:rPr>
                <w:color w:val="404040" w:themeColor="text1" w:themeTint="BF"/>
                <w:shd w:val="clear" w:color="auto" w:fill="FFFFFF"/>
                <w:lang w:val="en-US"/>
              </w:rPr>
              <w:t xml:space="preserve">Darvish-Mofrad-Kashani </w:t>
            </w:r>
            <w:r>
              <w:rPr>
                <w:i/>
                <w:color w:val="404040" w:themeColor="text1" w:themeTint="BF"/>
                <w:shd w:val="clear" w:color="auto" w:fill="FFFFFF"/>
                <w:lang w:val="en-US"/>
              </w:rPr>
              <w:t>et al</w:t>
            </w:r>
            <w:r>
              <w:rPr>
                <w:color w:val="404040" w:themeColor="text1" w:themeTint="BF"/>
                <w:shd w:val="clear" w:color="auto" w:fill="FFFFFF"/>
                <w:lang w:val="en-US"/>
              </w:rPr>
              <w:t xml:space="preserve">. </w:t>
            </w:r>
            <w:r>
              <w:rPr>
                <w:color w:val="404040" w:themeColor="text1" w:themeTint="BF"/>
                <w:shd w:val="clear" w:color="auto" w:fill="FFFFFF"/>
              </w:rPr>
              <w:t>(2018)</w:t>
            </w:r>
          </w:p>
          <w:p w14:paraId="6ED733E2" w14:textId="77777777" w:rsidR="00CD65C2" w:rsidRDefault="00CD65C2">
            <w:pPr>
              <w:pStyle w:val="Corpo"/>
              <w:jc w:val="center"/>
              <w:rPr>
                <w:rFonts w:hint="eastAsia"/>
                <w:color w:val="404040" w:themeColor="text1" w:themeTint="BF"/>
                <w:shd w:val="clear" w:color="auto" w:fill="FFFFFF"/>
              </w:rPr>
            </w:pPr>
          </w:p>
        </w:tc>
        <w:tc>
          <w:tcPr>
            <w:tcW w:w="1735" w:type="dxa"/>
          </w:tcPr>
          <w:p w14:paraId="50EE568B" w14:textId="77777777" w:rsidR="00CD65C2" w:rsidRDefault="00CD65C2">
            <w:pPr>
              <w:pStyle w:val="Corpo"/>
              <w:jc w:val="center"/>
              <w:rPr>
                <w:rFonts w:hint="eastAsia"/>
                <w:color w:val="404040" w:themeColor="text1" w:themeTint="BF"/>
                <w:sz w:val="10"/>
                <w:szCs w:val="10"/>
                <w:shd w:val="clear" w:color="auto" w:fill="FFFFFF"/>
              </w:rPr>
            </w:pPr>
          </w:p>
          <w:p w14:paraId="627AECA2" w14:textId="77777777" w:rsidR="00CD65C2" w:rsidRDefault="00CD65C2">
            <w:pPr>
              <w:pStyle w:val="Corpo"/>
              <w:jc w:val="center"/>
              <w:rPr>
                <w:rFonts w:hint="eastAsia"/>
                <w:color w:val="404040" w:themeColor="text1" w:themeTint="BF"/>
                <w:shd w:val="clear" w:color="auto" w:fill="FFFFFF"/>
              </w:rPr>
            </w:pPr>
          </w:p>
          <w:p w14:paraId="20D4F066" w14:textId="77777777" w:rsidR="00CD65C2" w:rsidRDefault="00FA41FC">
            <w:pPr>
              <w:pStyle w:val="Corpo"/>
              <w:jc w:val="center"/>
              <w:rPr>
                <w:rFonts w:hint="eastAsia"/>
                <w:color w:val="404040" w:themeColor="text1" w:themeTint="BF"/>
                <w:shd w:val="clear" w:color="auto" w:fill="FFFFFF"/>
              </w:rPr>
            </w:pPr>
            <w:r>
              <w:rPr>
                <w:color w:val="404040" w:themeColor="text1" w:themeTint="BF"/>
                <w:shd w:val="clear" w:color="auto" w:fill="FFFFFF"/>
              </w:rPr>
              <w:t>43 mulheres com idades entre 18 e 50 anos</w:t>
            </w:r>
          </w:p>
        </w:tc>
        <w:tc>
          <w:tcPr>
            <w:tcW w:w="2092" w:type="dxa"/>
          </w:tcPr>
          <w:p w14:paraId="241741F6" w14:textId="77777777" w:rsidR="00CD65C2" w:rsidRDefault="00CD65C2">
            <w:pPr>
              <w:pStyle w:val="Corpo"/>
              <w:rPr>
                <w:rFonts w:hint="eastAsia"/>
                <w:color w:val="404040" w:themeColor="text1" w:themeTint="BF"/>
                <w:shd w:val="clear" w:color="auto" w:fill="FFFFFF"/>
              </w:rPr>
            </w:pPr>
          </w:p>
          <w:p w14:paraId="2B4A4A18" w14:textId="77777777" w:rsidR="00CD65C2" w:rsidRDefault="00FA41FC">
            <w:pPr>
              <w:pStyle w:val="Corpo"/>
              <w:jc w:val="center"/>
              <w:rPr>
                <w:rFonts w:hint="eastAsia"/>
                <w:color w:val="404040" w:themeColor="text1" w:themeTint="BF"/>
                <w:shd w:val="clear" w:color="auto" w:fill="FFFFFF"/>
              </w:rPr>
            </w:pPr>
            <w:r>
              <w:rPr>
                <w:color w:val="404040" w:themeColor="text1" w:themeTint="BF"/>
                <w:shd w:val="clear" w:color="auto" w:fill="FFFFFF"/>
              </w:rPr>
              <w:t xml:space="preserve">500 mg de extrato de </w:t>
            </w:r>
            <w:r>
              <w:rPr>
                <w:i/>
                <w:color w:val="404040" w:themeColor="text1" w:themeTint="BF"/>
                <w:shd w:val="clear" w:color="auto" w:fill="FFFFFF"/>
              </w:rPr>
              <w:t>Melissa officinalis</w:t>
            </w:r>
          </w:p>
          <w:p w14:paraId="5C093862" w14:textId="77777777" w:rsidR="00CD65C2" w:rsidRDefault="00FA41FC">
            <w:pPr>
              <w:pStyle w:val="Corpo"/>
              <w:jc w:val="center"/>
              <w:rPr>
                <w:rFonts w:hint="eastAsia"/>
                <w:color w:val="404040" w:themeColor="text1" w:themeTint="BF"/>
                <w:shd w:val="clear" w:color="auto" w:fill="FFFFFF"/>
              </w:rPr>
            </w:pPr>
            <w:r>
              <w:rPr>
                <w:color w:val="404040" w:themeColor="text1" w:themeTint="BF"/>
                <w:shd w:val="clear" w:color="auto" w:fill="FFFFFF"/>
              </w:rPr>
              <w:t>ao dia por 4 semanas</w:t>
            </w:r>
          </w:p>
        </w:tc>
        <w:tc>
          <w:tcPr>
            <w:tcW w:w="4111" w:type="dxa"/>
          </w:tcPr>
          <w:p w14:paraId="68C4F43F" w14:textId="77777777" w:rsidR="00CD65C2" w:rsidRDefault="00FA41FC">
            <w:pPr>
              <w:pStyle w:val="Corpo"/>
              <w:jc w:val="center"/>
              <w:rPr>
                <w:rFonts w:hint="eastAsia"/>
                <w:color w:val="404040" w:themeColor="text1" w:themeTint="BF"/>
                <w:highlight w:val="yellow"/>
                <w:shd w:val="clear" w:color="auto" w:fill="FFFCF0"/>
              </w:rPr>
            </w:pPr>
            <w:r>
              <w:rPr>
                <w:color w:val="404040" w:themeColor="text1" w:themeTint="BF"/>
                <w:shd w:val="clear" w:color="auto" w:fill="FFFCF0"/>
              </w:rPr>
              <w:t xml:space="preserve">O aumento do desejo (P &lt;0,001), excitação (P &lt;0,001), lubrificação (P &lt;0,005), orgasmo (P &lt;0,001), satisfação (P &lt;0,001), dor (P &lt;0,002) e pontuação total do FSFI (P &lt;0,001) no grupo </w:t>
            </w:r>
            <w:r>
              <w:rPr>
                <w:i/>
                <w:color w:val="404040" w:themeColor="text1" w:themeTint="BF"/>
                <w:shd w:val="clear" w:color="auto" w:fill="FFFCF0"/>
              </w:rPr>
              <w:t>M. officinalis</w:t>
            </w:r>
            <w:r>
              <w:rPr>
                <w:color w:val="404040" w:themeColor="text1" w:themeTint="BF"/>
                <w:shd w:val="clear" w:color="auto" w:fill="FFFCF0"/>
              </w:rPr>
              <w:t xml:space="preserve"> foi significativamente maior do que no grupo placebo.</w:t>
            </w:r>
          </w:p>
        </w:tc>
      </w:tr>
      <w:tr w:rsidR="00CD65C2" w14:paraId="5E6BFEE8" w14:textId="77777777">
        <w:trPr>
          <w:trHeight w:val="1933"/>
        </w:trPr>
        <w:tc>
          <w:tcPr>
            <w:tcW w:w="1413" w:type="dxa"/>
          </w:tcPr>
          <w:p w14:paraId="7A32CE26" w14:textId="77777777" w:rsidR="00CD65C2" w:rsidRDefault="00CD65C2">
            <w:pPr>
              <w:pStyle w:val="Corpo"/>
              <w:jc w:val="center"/>
              <w:rPr>
                <w:rFonts w:hint="eastAsia"/>
                <w:color w:val="404040" w:themeColor="text1" w:themeTint="BF"/>
                <w:shd w:val="clear" w:color="auto" w:fill="FFFFFF"/>
              </w:rPr>
            </w:pPr>
          </w:p>
          <w:p w14:paraId="0A1B8DB5" w14:textId="77777777" w:rsidR="00CD65C2" w:rsidRDefault="00CD65C2">
            <w:pPr>
              <w:pStyle w:val="Corpo"/>
              <w:jc w:val="center"/>
              <w:rPr>
                <w:rFonts w:hint="eastAsia"/>
                <w:color w:val="404040" w:themeColor="text1" w:themeTint="BF"/>
                <w:shd w:val="clear" w:color="auto" w:fill="FFFFFF"/>
              </w:rPr>
            </w:pPr>
          </w:p>
          <w:p w14:paraId="5E17FCA5" w14:textId="77777777" w:rsidR="00CD65C2" w:rsidRDefault="00FA41FC">
            <w:pPr>
              <w:pStyle w:val="Corpo"/>
              <w:jc w:val="center"/>
              <w:rPr>
                <w:rFonts w:hint="eastAsia"/>
                <w:color w:val="404040" w:themeColor="text1" w:themeTint="BF"/>
                <w:sz w:val="24"/>
                <w:shd w:val="clear" w:color="auto" w:fill="FFFFFF"/>
              </w:rPr>
            </w:pPr>
            <w:hyperlink w:anchor="_Hlk42157188" w:history="1" w:docLocation="1,7119,7126,0,,Kashani">
              <w:r>
                <w:rPr>
                  <w:color w:val="404040" w:themeColor="text1" w:themeTint="BF"/>
                  <w:lang w:val="en-US"/>
                </w:rPr>
                <w:t>Kashani</w:t>
              </w:r>
            </w:hyperlink>
            <w:r>
              <w:rPr>
                <w:color w:val="404040" w:themeColor="text1" w:themeTint="BF"/>
                <w:shd w:val="clear" w:color="auto" w:fill="FFFFFF"/>
              </w:rPr>
              <w:t xml:space="preserve"> </w:t>
            </w:r>
            <w:r>
              <w:rPr>
                <w:i/>
                <w:color w:val="404040" w:themeColor="text1" w:themeTint="BF"/>
                <w:shd w:val="clear" w:color="auto" w:fill="FFFFFF"/>
              </w:rPr>
              <w:t>et al.</w:t>
            </w:r>
            <w:r>
              <w:rPr>
                <w:color w:val="404040" w:themeColor="text1" w:themeTint="BF"/>
                <w:shd w:val="clear" w:color="auto" w:fill="FFFFFF"/>
              </w:rPr>
              <w:t xml:space="preserve"> (2013</w:t>
            </w:r>
            <w:r>
              <w:rPr>
                <w:color w:val="404040" w:themeColor="text1" w:themeTint="BF"/>
                <w:sz w:val="24"/>
                <w:shd w:val="clear" w:color="auto" w:fill="FFFFFF"/>
              </w:rPr>
              <w:t>)</w:t>
            </w:r>
          </w:p>
          <w:p w14:paraId="59442001" w14:textId="77777777" w:rsidR="00CD65C2" w:rsidRDefault="00CD65C2">
            <w:pPr>
              <w:pStyle w:val="Corpo"/>
              <w:jc w:val="center"/>
              <w:rPr>
                <w:rFonts w:hint="eastAsia"/>
                <w:color w:val="404040" w:themeColor="text1" w:themeTint="BF"/>
                <w:sz w:val="24"/>
                <w:shd w:val="clear" w:color="auto" w:fill="FFFFFF"/>
              </w:rPr>
            </w:pPr>
          </w:p>
          <w:p w14:paraId="258CACF1" w14:textId="77777777" w:rsidR="00CD65C2" w:rsidRDefault="00CD65C2">
            <w:pPr>
              <w:pStyle w:val="Corpo"/>
              <w:jc w:val="center"/>
              <w:rPr>
                <w:rFonts w:hint="eastAsia"/>
                <w:color w:val="404040" w:themeColor="text1" w:themeTint="BF"/>
                <w:sz w:val="24"/>
                <w:shd w:val="clear" w:color="auto" w:fill="FFFFFF"/>
              </w:rPr>
            </w:pPr>
          </w:p>
        </w:tc>
        <w:tc>
          <w:tcPr>
            <w:tcW w:w="1735" w:type="dxa"/>
          </w:tcPr>
          <w:p w14:paraId="20D36694" w14:textId="77777777" w:rsidR="00CD65C2" w:rsidRDefault="00CD65C2">
            <w:pPr>
              <w:pStyle w:val="Corpo"/>
              <w:jc w:val="center"/>
              <w:rPr>
                <w:rFonts w:hint="eastAsia"/>
                <w:color w:val="404040" w:themeColor="text1" w:themeTint="BF"/>
                <w:shd w:val="clear" w:color="auto" w:fill="FFFFFF"/>
              </w:rPr>
            </w:pPr>
          </w:p>
          <w:p w14:paraId="69130B1D" w14:textId="77777777" w:rsidR="00CD65C2" w:rsidRDefault="00FA41FC">
            <w:pPr>
              <w:pStyle w:val="Corpo"/>
              <w:jc w:val="center"/>
              <w:rPr>
                <w:rFonts w:hint="eastAsia"/>
                <w:color w:val="404040" w:themeColor="text1" w:themeTint="BF"/>
                <w:shd w:val="clear" w:color="auto" w:fill="FFFFFF"/>
              </w:rPr>
            </w:pPr>
            <w:r>
              <w:rPr>
                <w:color w:val="404040" w:themeColor="text1" w:themeTint="BF"/>
                <w:shd w:val="clear" w:color="auto" w:fill="FFFFFF"/>
              </w:rPr>
              <w:t>38 mulheres com idades entre 18 e 45 anos</w:t>
            </w:r>
          </w:p>
          <w:p w14:paraId="1A9E3F17" w14:textId="77777777" w:rsidR="00CD65C2" w:rsidRDefault="00CD65C2">
            <w:pPr>
              <w:pStyle w:val="Corpo"/>
              <w:jc w:val="center"/>
              <w:rPr>
                <w:rFonts w:hint="eastAsia"/>
                <w:color w:val="404040" w:themeColor="text1" w:themeTint="BF"/>
                <w:shd w:val="clear" w:color="auto" w:fill="FFFFFF"/>
              </w:rPr>
            </w:pPr>
          </w:p>
        </w:tc>
        <w:tc>
          <w:tcPr>
            <w:tcW w:w="2092" w:type="dxa"/>
          </w:tcPr>
          <w:p w14:paraId="43E709E1" w14:textId="77777777" w:rsidR="00CD65C2" w:rsidRDefault="00CD65C2">
            <w:pPr>
              <w:pStyle w:val="Corpo"/>
              <w:jc w:val="center"/>
              <w:rPr>
                <w:rFonts w:cs="Calibri" w:hint="eastAsia"/>
                <w:color w:val="404040" w:themeColor="text1" w:themeTint="BF"/>
                <w:shd w:val="clear" w:color="auto" w:fill="FFFFFF"/>
              </w:rPr>
            </w:pPr>
          </w:p>
          <w:p w14:paraId="1172E33E" w14:textId="77777777" w:rsidR="00CD65C2" w:rsidRDefault="00CD65C2">
            <w:pPr>
              <w:pStyle w:val="Corpo"/>
              <w:jc w:val="center"/>
              <w:rPr>
                <w:rFonts w:cs="Calibri" w:hint="eastAsia"/>
                <w:color w:val="404040" w:themeColor="text1" w:themeTint="BF"/>
                <w:shd w:val="clear" w:color="auto" w:fill="FFFFFF"/>
              </w:rPr>
            </w:pPr>
          </w:p>
          <w:p w14:paraId="7F848794" w14:textId="77777777" w:rsidR="00CD65C2" w:rsidRDefault="00FA41FC">
            <w:pPr>
              <w:pStyle w:val="Corpo"/>
              <w:jc w:val="center"/>
              <w:rPr>
                <w:rFonts w:hint="eastAsia"/>
                <w:color w:val="404040" w:themeColor="text1" w:themeTint="BF"/>
                <w:shd w:val="clear" w:color="auto" w:fill="FFFFFF"/>
              </w:rPr>
            </w:pPr>
            <w:r>
              <w:rPr>
                <w:rFonts w:cs="Calibri"/>
                <w:color w:val="404040" w:themeColor="text1" w:themeTint="BF"/>
                <w:shd w:val="clear" w:color="auto" w:fill="FFFFFF"/>
              </w:rPr>
              <w:t>30 mg de Saffron ao dia por 4 semanas</w:t>
            </w:r>
          </w:p>
        </w:tc>
        <w:tc>
          <w:tcPr>
            <w:tcW w:w="4111" w:type="dxa"/>
          </w:tcPr>
          <w:p w14:paraId="1A52329A" w14:textId="77777777" w:rsidR="00CD65C2" w:rsidRDefault="00FA41FC">
            <w:pPr>
              <w:pStyle w:val="Corpo"/>
              <w:jc w:val="center"/>
              <w:rPr>
                <w:rFonts w:hint="eastAsia"/>
                <w:color w:val="404040" w:themeColor="text1" w:themeTint="BF"/>
                <w:shd w:val="clear" w:color="auto" w:fill="FFFFFF"/>
              </w:rPr>
            </w:pPr>
            <w:r>
              <w:rPr>
                <w:color w:val="404040" w:themeColor="text1" w:themeTint="BF"/>
                <w:shd w:val="clear" w:color="auto" w:fill="FFFFFF"/>
              </w:rPr>
              <w:t xml:space="preserve">O </w:t>
            </w:r>
            <w:r>
              <w:rPr>
                <w:i/>
                <w:color w:val="404040" w:themeColor="text1" w:themeTint="BF"/>
                <w:shd w:val="clear" w:color="auto" w:fill="FFFFFF"/>
              </w:rPr>
              <w:t>Crocus sativus (</w:t>
            </w:r>
            <w:r>
              <w:rPr>
                <w:color w:val="404040" w:themeColor="text1" w:themeTint="BF"/>
                <w:shd w:val="clear" w:color="auto" w:fill="FFFFFF"/>
              </w:rPr>
              <w:t>Saffron) demonstrou ser seguro e efetivo na melhora de alguns problemas sexuais em mulheres tratadas com fluoxetina como excitação, lubrificação e dor durante as relações sexuais.</w:t>
            </w:r>
          </w:p>
        </w:tc>
      </w:tr>
      <w:tr w:rsidR="00CD65C2" w14:paraId="56D61F0B" w14:textId="77777777">
        <w:trPr>
          <w:trHeight w:val="1945"/>
        </w:trPr>
        <w:tc>
          <w:tcPr>
            <w:tcW w:w="1413" w:type="dxa"/>
          </w:tcPr>
          <w:p w14:paraId="701EF6A0" w14:textId="77777777" w:rsidR="00CD65C2" w:rsidRDefault="00FA41FC">
            <w:pPr>
              <w:pStyle w:val="Corpo"/>
              <w:jc w:val="center"/>
              <w:rPr>
                <w:rFonts w:hint="eastAsia"/>
                <w:color w:val="404040" w:themeColor="text1" w:themeTint="BF"/>
                <w:shd w:val="clear" w:color="auto" w:fill="FFFFFF"/>
              </w:rPr>
            </w:pPr>
            <w:r>
              <w:rPr>
                <w:color w:val="404040" w:themeColor="text1" w:themeTint="BF"/>
                <w:shd w:val="clear" w:color="auto" w:fill="FFFFFF"/>
              </w:rPr>
              <w:t xml:space="preserve">Dongre </w:t>
            </w:r>
            <w:r>
              <w:rPr>
                <w:i/>
                <w:color w:val="404040" w:themeColor="text1" w:themeTint="BF"/>
                <w:shd w:val="clear" w:color="auto" w:fill="FFFFFF"/>
              </w:rPr>
              <w:t>et al.</w:t>
            </w:r>
            <w:r>
              <w:rPr>
                <w:color w:val="404040" w:themeColor="text1" w:themeTint="BF"/>
                <w:shd w:val="clear" w:color="auto" w:fill="FFFFFF"/>
              </w:rPr>
              <w:t xml:space="preserve"> (2015)</w:t>
            </w:r>
          </w:p>
          <w:p w14:paraId="6EE84AFD" w14:textId="77777777" w:rsidR="00CD65C2" w:rsidRDefault="00CD65C2">
            <w:pPr>
              <w:pStyle w:val="Corpo"/>
              <w:jc w:val="center"/>
              <w:rPr>
                <w:rFonts w:hint="eastAsia"/>
                <w:color w:val="404040" w:themeColor="text1" w:themeTint="BF"/>
                <w:shd w:val="clear" w:color="auto" w:fill="FFFFFF"/>
              </w:rPr>
            </w:pPr>
          </w:p>
          <w:p w14:paraId="6091B748" w14:textId="77777777" w:rsidR="00CD65C2" w:rsidRDefault="00CD65C2">
            <w:pPr>
              <w:pStyle w:val="Corpo"/>
              <w:jc w:val="center"/>
              <w:rPr>
                <w:rFonts w:hint="eastAsia"/>
                <w:color w:val="404040" w:themeColor="text1" w:themeTint="BF"/>
                <w:shd w:val="clear" w:color="auto" w:fill="FFFFFF"/>
              </w:rPr>
            </w:pPr>
          </w:p>
          <w:p w14:paraId="51312A3C" w14:textId="77777777" w:rsidR="00CD65C2" w:rsidRDefault="00CD65C2">
            <w:pPr>
              <w:pStyle w:val="Corpo"/>
              <w:jc w:val="center"/>
              <w:rPr>
                <w:rFonts w:hint="eastAsia"/>
                <w:color w:val="404040" w:themeColor="text1" w:themeTint="BF"/>
                <w:shd w:val="clear" w:color="auto" w:fill="FFFFFF"/>
              </w:rPr>
            </w:pPr>
          </w:p>
        </w:tc>
        <w:tc>
          <w:tcPr>
            <w:tcW w:w="1735" w:type="dxa"/>
          </w:tcPr>
          <w:p w14:paraId="662E1AE8" w14:textId="77777777" w:rsidR="00CD65C2" w:rsidRDefault="00CD65C2">
            <w:pPr>
              <w:pStyle w:val="Corpo"/>
              <w:jc w:val="center"/>
              <w:rPr>
                <w:rFonts w:hint="eastAsia"/>
                <w:color w:val="404040" w:themeColor="text1" w:themeTint="BF"/>
                <w:shd w:val="clear" w:color="auto" w:fill="FFFFFF"/>
              </w:rPr>
            </w:pPr>
          </w:p>
          <w:p w14:paraId="11CB31B1" w14:textId="77777777" w:rsidR="00CD65C2" w:rsidRDefault="00FA41FC">
            <w:pPr>
              <w:pStyle w:val="Corpo"/>
              <w:jc w:val="center"/>
              <w:rPr>
                <w:rFonts w:hint="eastAsia"/>
                <w:color w:val="404040" w:themeColor="text1" w:themeTint="BF"/>
                <w:shd w:val="clear" w:color="auto" w:fill="FFFFFF"/>
              </w:rPr>
            </w:pPr>
            <w:r>
              <w:rPr>
                <w:color w:val="404040" w:themeColor="text1" w:themeTint="BF"/>
                <w:shd w:val="clear" w:color="auto" w:fill="FFFFFF"/>
              </w:rPr>
              <w:t>50 mulheres com idades superiores a 18 anos</w:t>
            </w:r>
          </w:p>
        </w:tc>
        <w:tc>
          <w:tcPr>
            <w:tcW w:w="2092" w:type="dxa"/>
          </w:tcPr>
          <w:p w14:paraId="3B3E0CFF" w14:textId="512303E0" w:rsidR="00CD65C2" w:rsidRDefault="00FA41FC">
            <w:pPr>
              <w:pStyle w:val="Corpo"/>
              <w:jc w:val="center"/>
              <w:rPr>
                <w:rFonts w:hint="eastAsia"/>
                <w:iCs/>
                <w:color w:val="404040" w:themeColor="text1" w:themeTint="BF"/>
                <w:shd w:val="clear" w:color="auto" w:fill="FFFCF0"/>
              </w:rPr>
            </w:pPr>
            <w:r>
              <w:rPr>
                <w:iCs/>
                <w:color w:val="404040" w:themeColor="text1" w:themeTint="BF"/>
                <w:shd w:val="clear" w:color="auto" w:fill="FFFCF0"/>
              </w:rPr>
              <w:t>300 mg de Ashwagandha (</w:t>
            </w:r>
            <w:r>
              <w:rPr>
                <w:i/>
                <w:iCs/>
                <w:color w:val="404040" w:themeColor="text1" w:themeTint="BF"/>
                <w:shd w:val="clear" w:color="auto" w:fill="FFFCF0"/>
              </w:rPr>
              <w:t>Withania somnifera</w:t>
            </w:r>
            <w:r>
              <w:rPr>
                <w:iCs/>
                <w:color w:val="404040" w:themeColor="text1" w:themeTint="BF"/>
                <w:shd w:val="clear" w:color="auto" w:fill="FFFCF0"/>
              </w:rPr>
              <w:t>) duas vezes ao dia por 8 semanas</w:t>
            </w:r>
          </w:p>
        </w:tc>
        <w:tc>
          <w:tcPr>
            <w:tcW w:w="4111" w:type="dxa"/>
          </w:tcPr>
          <w:p w14:paraId="5685673B" w14:textId="77777777" w:rsidR="00CD65C2" w:rsidRDefault="00FA41FC">
            <w:pPr>
              <w:pStyle w:val="Corpo"/>
              <w:jc w:val="center"/>
              <w:rPr>
                <w:rFonts w:hint="eastAsia"/>
                <w:color w:val="404040" w:themeColor="text1" w:themeTint="BF"/>
                <w:shd w:val="clear" w:color="auto" w:fill="FFFFFF"/>
              </w:rPr>
            </w:pPr>
            <w:r>
              <w:rPr>
                <w:color w:val="404040" w:themeColor="text1" w:themeTint="BF"/>
                <w:shd w:val="clear" w:color="auto" w:fill="FFFFFF"/>
              </w:rPr>
              <w:t>A suplementação de Ashwagandha promove significativas melhoras na função sexual em mulheres saudáveis avaliadas pelo FSFI.</w:t>
            </w:r>
          </w:p>
        </w:tc>
      </w:tr>
    </w:tbl>
    <w:p w14:paraId="6F71D650" w14:textId="77777777" w:rsidR="00CD65C2" w:rsidRDefault="00CD65C2">
      <w:pPr>
        <w:pStyle w:val="Corpo"/>
        <w:jc w:val="center"/>
        <w:rPr>
          <w:rFonts w:hint="eastAsia"/>
          <w:b/>
          <w:i/>
          <w:color w:val="404040" w:themeColor="text1" w:themeTint="BF"/>
        </w:rPr>
      </w:pPr>
    </w:p>
    <w:p w14:paraId="7D37BBC9" w14:textId="77777777" w:rsidR="00CD65C2" w:rsidRDefault="00CD65C2">
      <w:pPr>
        <w:pStyle w:val="Corpo"/>
        <w:jc w:val="center"/>
        <w:rPr>
          <w:rFonts w:hint="eastAsia"/>
          <w:b/>
          <w:i/>
          <w:color w:val="404040" w:themeColor="text1" w:themeTint="BF"/>
        </w:rPr>
      </w:pPr>
    </w:p>
    <w:p w14:paraId="5E2C109E" w14:textId="77777777" w:rsidR="00CD65C2" w:rsidRDefault="00FA41FC">
      <w:pPr>
        <w:pStyle w:val="Ttulo1"/>
        <w:jc w:val="center"/>
        <w:rPr>
          <w:rFonts w:hint="eastAsia"/>
        </w:rPr>
      </w:pPr>
      <w:bookmarkStart w:id="128" w:name="_Toc165537276"/>
      <w:r>
        <w:t>Formulário</w:t>
      </w:r>
      <w:bookmarkEnd w:id="128"/>
    </w:p>
    <w:p w14:paraId="5B866E50" w14:textId="77777777" w:rsidR="00CD65C2" w:rsidRDefault="00CD65C2">
      <w:pPr>
        <w:pStyle w:val="Corpo"/>
        <w:rPr>
          <w:rFonts w:hint="eastAsia"/>
          <w:b/>
          <w:i/>
          <w:color w:val="404040" w:themeColor="text1" w:themeTint="BF"/>
        </w:rPr>
      </w:pPr>
    </w:p>
    <w:p w14:paraId="4F42E900" w14:textId="77777777" w:rsidR="00CD65C2" w:rsidRDefault="00CD65C2">
      <w:pPr>
        <w:pStyle w:val="Corpo"/>
        <w:rPr>
          <w:rFonts w:hint="eastAsia"/>
          <w:b/>
          <w:i/>
          <w:color w:val="404040" w:themeColor="text1" w:themeTint="BF"/>
        </w:rPr>
      </w:pPr>
    </w:p>
    <w:p w14:paraId="54F17B17" w14:textId="77777777" w:rsidR="00CD65C2" w:rsidRDefault="00CD65C2">
      <w:pPr>
        <w:pStyle w:val="Corpo"/>
        <w:rPr>
          <w:rFonts w:hint="eastAsia"/>
          <w:b/>
          <w:i/>
          <w:color w:val="404040" w:themeColor="text1" w:themeTint="BF"/>
          <w:sz w:val="24"/>
        </w:rPr>
      </w:pPr>
    </w:p>
    <w:p w14:paraId="4F0C163E" w14:textId="77777777" w:rsidR="00CD65C2" w:rsidRDefault="00CD65C2">
      <w:pPr>
        <w:pStyle w:val="Corpo"/>
        <w:rPr>
          <w:rFonts w:hint="eastAsia"/>
          <w:b/>
          <w:i/>
          <w:color w:val="404040" w:themeColor="text1" w:themeTint="BF"/>
          <w:sz w:val="24"/>
        </w:rPr>
      </w:pPr>
    </w:p>
    <w:p w14:paraId="1DBE3027" w14:textId="77777777" w:rsidR="00CD65C2" w:rsidRDefault="00FA41FC">
      <w:pPr>
        <w:pStyle w:val="Corpo"/>
        <w:rPr>
          <w:rFonts w:hint="eastAsia"/>
          <w:b/>
          <w:i/>
          <w:color w:val="404040" w:themeColor="text1" w:themeTint="BF"/>
          <w:sz w:val="24"/>
        </w:rPr>
      </w:pPr>
      <w:r>
        <w:rPr>
          <w:b/>
          <w:i/>
          <w:color w:val="404040" w:themeColor="text1" w:themeTint="BF"/>
          <w:sz w:val="24"/>
        </w:rPr>
        <w:t>Melissa no Tratamento da Disfunção Sexual em Mulheres</w:t>
      </w:r>
    </w:p>
    <w:p w14:paraId="244A03AA" w14:textId="77777777" w:rsidR="00CD65C2" w:rsidRDefault="00CD65C2">
      <w:pPr>
        <w:pStyle w:val="Corpo"/>
        <w:rPr>
          <w:rFonts w:hint="eastAsia"/>
          <w:b/>
          <w:i/>
          <w:color w:val="404040" w:themeColor="text1" w:themeTint="BF"/>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033D34BB"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467B4CC6" w14:textId="77777777" w:rsidR="00CD65C2" w:rsidRDefault="00FA41FC">
            <w:pPr>
              <w:pStyle w:val="Corpo"/>
              <w:jc w:val="center"/>
              <w:rPr>
                <w:rFonts w:hint="eastAsia"/>
                <w:b/>
                <w:color w:val="FFFFFF" w:themeColor="background1"/>
                <w:szCs w:val="23"/>
              </w:rPr>
            </w:pPr>
            <w:r>
              <w:rPr>
                <w:b/>
                <w:color w:val="FFFFFF" w:themeColor="background1"/>
                <w:szCs w:val="23"/>
              </w:rPr>
              <w:t>Cápsulas de Melissa</w:t>
            </w:r>
          </w:p>
        </w:tc>
      </w:tr>
      <w:tr w:rsidR="00CD65C2" w14:paraId="095427E5"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E1C9384" w14:textId="77777777" w:rsidR="00CD65C2" w:rsidRDefault="00FA41FC">
            <w:pPr>
              <w:pStyle w:val="Corpo"/>
              <w:jc w:val="center"/>
              <w:rPr>
                <w:rFonts w:hint="eastAsia"/>
                <w:color w:val="404040" w:themeColor="text1" w:themeTint="BF"/>
              </w:rPr>
            </w:pPr>
            <w:r>
              <w:rPr>
                <w:i/>
                <w:color w:val="404040" w:themeColor="text1" w:themeTint="BF"/>
              </w:rPr>
              <w:t>Melissa officinalis</w:t>
            </w:r>
            <w:r>
              <w:rPr>
                <w:color w:val="404040" w:themeColor="text1" w:themeTint="BF"/>
              </w:rPr>
              <w:t>............................500 mg</w:t>
            </w:r>
          </w:p>
        </w:tc>
      </w:tr>
      <w:tr w:rsidR="00CD65C2" w14:paraId="015A743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C8B26BF" w14:textId="47588536" w:rsidR="00CD65C2" w:rsidRDefault="00FA41FC">
            <w:pPr>
              <w:pStyle w:val="Corpo"/>
              <w:jc w:val="center"/>
              <w:rPr>
                <w:rFonts w:hint="eastAsia"/>
                <w:iCs/>
                <w:color w:val="404040" w:themeColor="text1" w:themeTint="BF"/>
              </w:rPr>
            </w:pPr>
            <w:r>
              <w:rPr>
                <w:color w:val="404040" w:themeColor="text1" w:themeTint="BF"/>
              </w:rPr>
              <w:t>Excipiente q.s.p. ........................1 Cápsula</w:t>
            </w:r>
          </w:p>
        </w:tc>
      </w:tr>
    </w:tbl>
    <w:p w14:paraId="0628003A" w14:textId="77777777" w:rsidR="00CD65C2" w:rsidRDefault="00FA41FC">
      <w:pPr>
        <w:pStyle w:val="Corpo"/>
        <w:ind w:right="4818"/>
        <w:jc w:val="center"/>
        <w:rPr>
          <w:rFonts w:hint="eastAsia"/>
          <w:color w:val="404040" w:themeColor="text1" w:themeTint="BF"/>
          <w:sz w:val="22"/>
          <w:szCs w:val="22"/>
        </w:rPr>
      </w:pPr>
      <w:r>
        <w:rPr>
          <w:color w:val="404040" w:themeColor="text1" w:themeTint="BF"/>
          <w:sz w:val="22"/>
          <w:szCs w:val="22"/>
        </w:rPr>
        <w:t>Administrar 1 cápsula ao dia ou conforme orientação médica.</w:t>
      </w:r>
    </w:p>
    <w:p w14:paraId="479D59AF" w14:textId="77777777" w:rsidR="00CD65C2" w:rsidRDefault="00CD65C2">
      <w:pPr>
        <w:rPr>
          <w:rFonts w:ascii="Swis721 Th BT" w:eastAsia="MS Mincho" w:hAnsi="Swis721 Th BT" w:hint="eastAsia"/>
          <w:color w:val="404040" w:themeColor="text1" w:themeTint="BF"/>
          <w:sz w:val="16"/>
          <w:szCs w:val="16"/>
        </w:rPr>
      </w:pPr>
    </w:p>
    <w:p w14:paraId="7A865EC7" w14:textId="77777777" w:rsidR="00CD65C2" w:rsidRDefault="00CD65C2">
      <w:pPr>
        <w:pStyle w:val="Corpo"/>
        <w:rPr>
          <w:rFonts w:hint="eastAsia"/>
          <w:b/>
          <w:i/>
          <w:color w:val="404040" w:themeColor="text1" w:themeTint="BF"/>
          <w:sz w:val="24"/>
        </w:rPr>
      </w:pPr>
    </w:p>
    <w:p w14:paraId="0FEEEED5" w14:textId="77777777" w:rsidR="00CD65C2" w:rsidRDefault="00CD65C2">
      <w:pPr>
        <w:pStyle w:val="Corpo"/>
        <w:rPr>
          <w:rFonts w:hint="eastAsia"/>
          <w:b/>
          <w:i/>
          <w:color w:val="404040" w:themeColor="text1" w:themeTint="BF"/>
          <w:sz w:val="24"/>
        </w:rPr>
      </w:pPr>
    </w:p>
    <w:p w14:paraId="5C4D22A4" w14:textId="77777777" w:rsidR="00CD65C2" w:rsidRDefault="00FA41FC">
      <w:pPr>
        <w:pStyle w:val="Corpo"/>
        <w:rPr>
          <w:rFonts w:hint="eastAsia"/>
          <w:b/>
          <w:i/>
          <w:color w:val="404040" w:themeColor="text1" w:themeTint="BF"/>
          <w:sz w:val="24"/>
        </w:rPr>
      </w:pPr>
      <w:r>
        <w:rPr>
          <w:b/>
          <w:i/>
          <w:color w:val="404040" w:themeColor="text1" w:themeTint="BF"/>
          <w:sz w:val="24"/>
        </w:rPr>
        <w:t>Saffron no Tratamento da Disfunção Sexual em Mulheres</w:t>
      </w:r>
    </w:p>
    <w:p w14:paraId="1636CF70" w14:textId="77777777" w:rsidR="00CD65C2" w:rsidRDefault="00CD65C2">
      <w:pPr>
        <w:pStyle w:val="Corpo"/>
        <w:rPr>
          <w:rFonts w:hint="eastAsia"/>
          <w:b/>
          <w:i/>
          <w:color w:val="404040" w:themeColor="text1" w:themeTint="BF"/>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2F54613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4FC0B7B4" w14:textId="77777777" w:rsidR="00CD65C2" w:rsidRDefault="00FA41FC">
            <w:pPr>
              <w:pStyle w:val="Corpo"/>
              <w:jc w:val="center"/>
              <w:rPr>
                <w:rFonts w:hint="eastAsia"/>
                <w:b/>
                <w:color w:val="FFFFFF" w:themeColor="background1"/>
                <w:szCs w:val="23"/>
              </w:rPr>
            </w:pPr>
            <w:r>
              <w:rPr>
                <w:b/>
                <w:color w:val="FFFFFF" w:themeColor="background1"/>
                <w:szCs w:val="23"/>
              </w:rPr>
              <w:t>Cápsulas de Saffron</w:t>
            </w:r>
          </w:p>
        </w:tc>
      </w:tr>
      <w:tr w:rsidR="00CD65C2" w14:paraId="3D632E89"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3213E63" w14:textId="77777777" w:rsidR="00CD65C2" w:rsidRDefault="00FA41FC">
            <w:pPr>
              <w:pStyle w:val="Corpo"/>
              <w:jc w:val="center"/>
              <w:rPr>
                <w:rFonts w:hint="eastAsia"/>
                <w:color w:val="404040" w:themeColor="text1" w:themeTint="BF"/>
              </w:rPr>
            </w:pPr>
            <w:r>
              <w:rPr>
                <w:color w:val="404040" w:themeColor="text1" w:themeTint="BF"/>
              </w:rPr>
              <w:t>Saffron..............................................30 mg</w:t>
            </w:r>
          </w:p>
        </w:tc>
      </w:tr>
      <w:tr w:rsidR="00CD65C2" w14:paraId="2976C239"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0FD1E0E" w14:textId="29FB447B" w:rsidR="00CD65C2" w:rsidRDefault="00FA41FC">
            <w:pPr>
              <w:pStyle w:val="Corpo"/>
              <w:jc w:val="center"/>
              <w:rPr>
                <w:rFonts w:hint="eastAsia"/>
                <w:iCs/>
                <w:color w:val="404040" w:themeColor="text1" w:themeTint="BF"/>
              </w:rPr>
            </w:pPr>
            <w:r>
              <w:rPr>
                <w:color w:val="404040" w:themeColor="text1" w:themeTint="BF"/>
              </w:rPr>
              <w:t>Excipiente q.s.p. ........................1 Cápsula</w:t>
            </w:r>
          </w:p>
        </w:tc>
      </w:tr>
    </w:tbl>
    <w:p w14:paraId="4C05D4F4" w14:textId="77777777" w:rsidR="00CD65C2" w:rsidRDefault="00FA41FC">
      <w:pPr>
        <w:pStyle w:val="Corpo"/>
        <w:ind w:right="4818"/>
        <w:jc w:val="center"/>
        <w:rPr>
          <w:rFonts w:hint="eastAsia"/>
          <w:color w:val="404040" w:themeColor="text1" w:themeTint="BF"/>
          <w:sz w:val="22"/>
          <w:szCs w:val="22"/>
        </w:rPr>
      </w:pPr>
      <w:r>
        <w:rPr>
          <w:color w:val="404040" w:themeColor="text1" w:themeTint="BF"/>
          <w:sz w:val="22"/>
          <w:szCs w:val="22"/>
        </w:rPr>
        <w:t>Administrar 1 cápsula ao dia ou conforme orientação médica.</w:t>
      </w:r>
    </w:p>
    <w:p w14:paraId="16C78316" w14:textId="77777777" w:rsidR="00CD65C2" w:rsidRDefault="00CD65C2">
      <w:pPr>
        <w:pStyle w:val="Corpo"/>
        <w:rPr>
          <w:rFonts w:hint="eastAsia"/>
          <w:b/>
          <w:i/>
          <w:color w:val="404040" w:themeColor="text1" w:themeTint="BF"/>
          <w:sz w:val="24"/>
        </w:rPr>
      </w:pPr>
    </w:p>
    <w:p w14:paraId="7EFCB2CA" w14:textId="77777777" w:rsidR="00CD65C2" w:rsidRDefault="00CD65C2">
      <w:pPr>
        <w:pStyle w:val="Corpo"/>
        <w:ind w:right="4818"/>
        <w:rPr>
          <w:rFonts w:hint="eastAsia"/>
          <w:color w:val="404040" w:themeColor="text1" w:themeTint="BF"/>
          <w:sz w:val="16"/>
          <w:szCs w:val="16"/>
        </w:rPr>
      </w:pPr>
    </w:p>
    <w:p w14:paraId="3F63DA61" w14:textId="77777777" w:rsidR="00CD65C2" w:rsidRDefault="00CD65C2">
      <w:pPr>
        <w:pStyle w:val="Corpo"/>
        <w:rPr>
          <w:rFonts w:hint="eastAsia"/>
          <w:b/>
          <w:i/>
          <w:color w:val="404040" w:themeColor="text1" w:themeTint="BF"/>
          <w:sz w:val="16"/>
          <w:szCs w:val="16"/>
        </w:rPr>
      </w:pPr>
    </w:p>
    <w:p w14:paraId="74BDA3C3" w14:textId="77777777" w:rsidR="00CD65C2" w:rsidRDefault="00FA41FC">
      <w:pPr>
        <w:spacing w:after="20" w:line="240" w:lineRule="auto"/>
        <w:jc w:val="both"/>
        <w:rPr>
          <w:rFonts w:ascii="Swis721 Th BT" w:eastAsia="MS Mincho" w:hAnsi="Swis721 Th BT" w:hint="eastAsia"/>
          <w:b/>
          <w:i/>
          <w:color w:val="404040" w:themeColor="text1" w:themeTint="BF"/>
          <w:sz w:val="24"/>
          <w:szCs w:val="24"/>
        </w:rPr>
      </w:pPr>
      <w:r>
        <w:rPr>
          <w:rFonts w:ascii="Swis721 Th BT" w:eastAsia="MS Mincho" w:hAnsi="Swis721 Th BT"/>
          <w:b/>
          <w:i/>
          <w:color w:val="404040" w:themeColor="text1" w:themeTint="BF"/>
          <w:sz w:val="24"/>
          <w:szCs w:val="24"/>
        </w:rPr>
        <w:t>Ashwagandha no Tratamento da Disfunção Sexual em Mulheres</w:t>
      </w:r>
    </w:p>
    <w:p w14:paraId="2A405897" w14:textId="77777777" w:rsidR="00CD65C2" w:rsidRDefault="00CD65C2">
      <w:pPr>
        <w:spacing w:after="20" w:line="240" w:lineRule="auto"/>
        <w:jc w:val="both"/>
        <w:rPr>
          <w:rFonts w:ascii="Swis721 Th BT" w:eastAsia="MS Mincho" w:hAnsi="Swis721 Th BT" w:hint="eastAsia"/>
          <w:color w:val="404040" w:themeColor="text1" w:themeTint="BF"/>
          <w:sz w:val="10"/>
          <w:szCs w:val="10"/>
        </w:rPr>
      </w:pPr>
    </w:p>
    <w:tbl>
      <w:tblPr>
        <w:tblStyle w:val="Tabelacomgrade13"/>
        <w:tblpPr w:leftFromText="141" w:rightFromText="141" w:vertAnchor="text" w:tblpY="1"/>
        <w:tblOverlap w:val="never"/>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1047EC7A"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0193704D" w14:textId="77777777" w:rsidR="00CD65C2" w:rsidRDefault="00FA41FC">
            <w:pPr>
              <w:spacing w:after="20"/>
              <w:jc w:val="center"/>
              <w:rPr>
                <w:rFonts w:ascii="Swis721 Th BT" w:hAnsi="Swis721 Th BT"/>
                <w:b/>
                <w:color w:val="FFFFFF" w:themeColor="background1"/>
                <w:sz w:val="23"/>
                <w:szCs w:val="24"/>
              </w:rPr>
            </w:pPr>
            <w:r>
              <w:rPr>
                <w:rFonts w:ascii="Swis721 Th BT" w:hAnsi="Swis721 Th BT"/>
                <w:b/>
                <w:color w:val="FFFFFF" w:themeColor="background1"/>
                <w:szCs w:val="24"/>
              </w:rPr>
              <w:t>Cápsulas de Ashwagandha</w:t>
            </w:r>
          </w:p>
        </w:tc>
      </w:tr>
      <w:tr w:rsidR="00CD65C2" w14:paraId="06D58E18"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247C822" w14:textId="77777777" w:rsidR="00CD65C2" w:rsidRDefault="00FA41FC">
            <w:pPr>
              <w:pStyle w:val="Corpo"/>
              <w:jc w:val="center"/>
              <w:rPr>
                <w:rFonts w:hint="eastAsia"/>
                <w:color w:val="404040" w:themeColor="text1" w:themeTint="BF"/>
              </w:rPr>
            </w:pPr>
            <w:r>
              <w:rPr>
                <w:color w:val="404040" w:themeColor="text1" w:themeTint="BF"/>
              </w:rPr>
              <w:t>Ashwagandha................................300 mg</w:t>
            </w:r>
          </w:p>
        </w:tc>
      </w:tr>
      <w:tr w:rsidR="00CD65C2" w14:paraId="5483FD01"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9B8E05C" w14:textId="277EF0B0" w:rsidR="00CD65C2" w:rsidRDefault="00FA41FC">
            <w:pPr>
              <w:pStyle w:val="Corpo"/>
              <w:jc w:val="center"/>
              <w:rPr>
                <w:rFonts w:hint="eastAsia"/>
                <w:color w:val="404040" w:themeColor="text1" w:themeTint="BF"/>
              </w:rPr>
            </w:pPr>
            <w:r>
              <w:rPr>
                <w:color w:val="404040" w:themeColor="text1" w:themeTint="BF"/>
              </w:rPr>
              <w:t>Excipiente q.s.p. ........................1 Cápsula</w:t>
            </w:r>
          </w:p>
        </w:tc>
      </w:tr>
    </w:tbl>
    <w:p w14:paraId="668DEDC5" w14:textId="77777777" w:rsidR="00CD65C2" w:rsidRDefault="00FA41FC">
      <w:pPr>
        <w:spacing w:after="20" w:line="240" w:lineRule="auto"/>
        <w:ind w:right="4762"/>
        <w:jc w:val="center"/>
        <w:rPr>
          <w:rFonts w:ascii="Swis721 Th BT" w:eastAsia="MS Mincho" w:hAnsi="Swis721 Th BT" w:hint="eastAsia"/>
          <w:color w:val="404040" w:themeColor="text1" w:themeTint="BF"/>
        </w:rPr>
      </w:pPr>
      <w:r>
        <w:rPr>
          <w:rFonts w:ascii="Swis721 Th BT" w:eastAsia="MS Mincho" w:hAnsi="Swis721 Th BT"/>
          <w:color w:val="404040" w:themeColor="text1" w:themeTint="BF"/>
        </w:rPr>
        <w:t>Administrar 1 cápsula ao dia ou conforme orientação médica.</w:t>
      </w:r>
    </w:p>
    <w:p w14:paraId="6DE799AC" w14:textId="77777777" w:rsidR="00CD65C2" w:rsidRDefault="00CD65C2">
      <w:pPr>
        <w:pStyle w:val="SemEspaamento"/>
      </w:pPr>
    </w:p>
    <w:p w14:paraId="68FF4608" w14:textId="77777777" w:rsidR="00CD65C2" w:rsidRDefault="00CD65C2">
      <w:pPr>
        <w:pStyle w:val="SemEspaamento"/>
      </w:pPr>
    </w:p>
    <w:p w14:paraId="242E8623" w14:textId="77777777" w:rsidR="00CD65C2" w:rsidRDefault="00CD65C2">
      <w:pPr>
        <w:pStyle w:val="SemEspaamento"/>
      </w:pPr>
    </w:p>
    <w:p w14:paraId="27DCAF67" w14:textId="77777777" w:rsidR="00CD65C2" w:rsidRDefault="00CD65C2">
      <w:pPr>
        <w:pStyle w:val="SemEspaamento"/>
      </w:pPr>
    </w:p>
    <w:p w14:paraId="5841CF38" w14:textId="77777777" w:rsidR="00CD65C2" w:rsidRDefault="00FA41FC">
      <w:pPr>
        <w:pStyle w:val="Ttulo1"/>
        <w:jc w:val="center"/>
        <w:rPr>
          <w:rFonts w:hint="eastAsia"/>
        </w:rPr>
      </w:pPr>
      <w:bookmarkStart w:id="129" w:name="_Toc165537277"/>
      <w:r>
        <w:rPr>
          <w:szCs w:val="23"/>
        </w:rPr>
        <w:t>Camomila</w:t>
      </w:r>
      <w:bookmarkEnd w:id="129"/>
    </w:p>
    <w:p w14:paraId="6FB77826" w14:textId="77777777" w:rsidR="00CD65C2" w:rsidRDefault="00FA41FC">
      <w:pPr>
        <w:pStyle w:val="Subtitulocorpo"/>
        <w:rPr>
          <w:rFonts w:hint="eastAsia"/>
        </w:rPr>
      </w:pPr>
      <w:r>
        <w:t>Gel Vaginal de Camomila é Benéfico para Mulheres na Pós-Menopausa</w:t>
      </w:r>
    </w:p>
    <w:p w14:paraId="6C893DB7" w14:textId="77777777" w:rsidR="00CD65C2" w:rsidRDefault="00CD65C2">
      <w:pPr>
        <w:pStyle w:val="Corpo"/>
        <w:spacing w:after="120"/>
        <w:rPr>
          <w:rFonts w:hint="eastAsia"/>
          <w:color w:val="404040" w:themeColor="text1" w:themeTint="BF"/>
          <w:sz w:val="24"/>
        </w:rPr>
      </w:pPr>
    </w:p>
    <w:p w14:paraId="681195AE" w14:textId="4BE446C9" w:rsidR="00CD65C2" w:rsidRDefault="00FA41FC">
      <w:pPr>
        <w:pStyle w:val="Corpo"/>
        <w:spacing w:after="120"/>
        <w:rPr>
          <w:rFonts w:hint="eastAsia"/>
          <w:color w:val="404040" w:themeColor="text1" w:themeTint="BF"/>
          <w:sz w:val="24"/>
        </w:rPr>
      </w:pPr>
      <w:r>
        <w:rPr>
          <w:color w:val="404040" w:themeColor="text1" w:themeTint="BF"/>
          <w:sz w:val="24"/>
        </w:rPr>
        <w:t xml:space="preserve">O objetivo deste estudo clínico e duplo-cego foi avaliar os efeitos do gel vaginal de camomila na dispareunia e satisfação sexual em mulheres na pós-menopausa </w:t>
      </w:r>
      <w:r>
        <w:rPr>
          <w:color w:val="404040" w:themeColor="text1" w:themeTint="BF"/>
          <w:sz w:val="24"/>
        </w:rPr>
        <w:fldChar w:fldCharType="begin"/>
      </w:r>
      <w:r>
        <w:rPr>
          <w:color w:val="404040" w:themeColor="text1" w:themeTint="BF"/>
          <w:sz w:val="24"/>
        </w:rPr>
        <w:instrText xml:space="preserve"> ADDIN EN.CITE &lt;EndNote&gt;&lt;Cite&gt;&lt;Author&gt;Bosak&lt;/Author&gt;&lt;Year&gt;2020&lt;/Year&gt;&lt;IDText&gt;Evaluation of the influence of chamomile vaginal gel on dyspareunia and sexual satisfaction in postmenopausal women: A randomized, double-blind, controlled clinical trial&lt;/IDText&gt;&lt;DisplayText&gt;(BOSAK; IRAVANI; MOGHIMIPOUR; HAGHIGHIZADEH&lt;style face="italic"&gt; et al.&lt;/style&gt;, 2020)&lt;/DisplayText&gt;&lt;record&gt;&lt;dates&gt;&lt;pub-dates&gt;&lt;date&gt;Sep-Oct&lt;/date&gt;&lt;/pub-dates&gt;&lt;year&gt;2020&lt;/year&gt;&lt;/dates&gt;&lt;keywords&gt;&lt;keyword&gt;Chamomile&lt;/keyword&gt;&lt;keyword&gt;Dyspareunia&lt;/keyword&gt;&lt;keyword&gt;Menopause&lt;/keyword&gt;&lt;keyword&gt;Sexual satisfaction&lt;/keyword&gt;&lt;/keywords&gt;&lt;urls&gt;&lt;related-urls&gt;&lt;url&gt;https://pubmed.ncbi.nlm.nih.gov/32995326&lt;/url&gt;&lt;url&gt;https://www.ncbi.nlm.nih.gov/pmc/articles/PMC7508318/&lt;/url&gt;&lt;/related-urls&gt;&lt;/urls&gt;&lt;isbn&gt;2228-7930&amp;#xD;2228-7949&lt;/isbn&gt;&lt;titles&gt;&lt;title&gt;Evaluation of the influence of chamomile vaginal gel on dyspareunia and sexual satisfaction in postmenopausal women: A randomized, double-blind, controlled clinical trial&lt;/title&gt;&lt;secondary-title&gt;Avicenna journal of phytomedicine&lt;/secondary-title&gt;&lt;alt-title&gt;Avicenna J Phytomed&lt;/alt-title&gt;&lt;/titles&gt;&lt;pages&gt;481-491&lt;/pages&gt;&lt;number&gt;5&lt;/number&gt;&lt;contributors&gt;&lt;authors&gt;&lt;author&gt;Bosak, Zahra&lt;/author&gt;&lt;author&gt;Iravani, Mina&lt;/author&gt;&lt;author&gt;Moghimipour, Eskandar&lt;/author&gt;&lt;author&gt;Haghighizadeh, Mohammad Hosein&lt;/author&gt;&lt;author&gt;Jelodarian, Parivash&lt;/author&gt;&lt;author&gt;Khazdair, Mohammad Reza&lt;/author&gt;&lt;/authors&gt;&lt;/contributors&gt;&lt;language&gt;eng&lt;/language&gt;&lt;added-date format="utc"&gt;1607364248&lt;/added-date&gt;&lt;ref-type name="Journal Article"&gt;17&lt;/ref-type&gt;&lt;rec-number&gt;1732&lt;/rec-number&gt;&lt;publisher&gt;Mashhad University of Medical Sciences&lt;/publisher&gt;&lt;last-updated-date format="utc"&gt;1607364248&lt;/last-updated-date&gt;&lt;accession-num&gt;32995326&lt;/accession-num&gt;&lt;volume&gt;10&lt;/volume&gt;&lt;remote-database-name&gt;PubMed&lt;/remote-database-name&gt;&lt;/record&gt;&lt;/Cite&gt;&lt;/EndNote&gt;</w:instrText>
      </w:r>
      <w:r>
        <w:rPr>
          <w:color w:val="404040" w:themeColor="text1" w:themeTint="BF"/>
          <w:sz w:val="24"/>
        </w:rPr>
        <w:fldChar w:fldCharType="separate"/>
      </w:r>
      <w:r>
        <w:rPr>
          <w:color w:val="404040" w:themeColor="text1" w:themeTint="BF"/>
          <w:sz w:val="24"/>
        </w:rPr>
        <w:t>(BOSAK; IRAVANI; MOGHIMIPOUR; HAGHIGHIZADEH</w:t>
      </w:r>
      <w:r>
        <w:rPr>
          <w:i/>
          <w:color w:val="404040" w:themeColor="text1" w:themeTint="BF"/>
          <w:sz w:val="24"/>
        </w:rPr>
        <w:t xml:space="preserve"> et al.</w:t>
      </w:r>
      <w:r>
        <w:rPr>
          <w:color w:val="404040" w:themeColor="text1" w:themeTint="BF"/>
          <w:sz w:val="24"/>
        </w:rPr>
        <w:t>, 2020)</w:t>
      </w:r>
      <w:r>
        <w:rPr>
          <w:color w:val="404040" w:themeColor="text1" w:themeTint="BF"/>
          <w:sz w:val="24"/>
        </w:rPr>
        <w:fldChar w:fldCharType="end"/>
      </w:r>
      <w:r>
        <w:rPr>
          <w:color w:val="404040" w:themeColor="text1" w:themeTint="BF"/>
          <w:sz w:val="24"/>
        </w:rPr>
        <w:t xml:space="preserve">. </w:t>
      </w:r>
    </w:p>
    <w:p w14:paraId="05A82C53"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912192" behindDoc="0" locked="0" layoutInCell="1" allowOverlap="1">
                <wp:simplePos x="0" y="0"/>
                <wp:positionH relativeFrom="margin">
                  <wp:posOffset>5715</wp:posOffset>
                </wp:positionH>
                <wp:positionV relativeFrom="paragraph">
                  <wp:posOffset>27940</wp:posOffset>
                </wp:positionV>
                <wp:extent cx="5724525" cy="676275"/>
                <wp:effectExtent l="0" t="0" r="28575" b="28575"/>
                <wp:wrapNone/>
                <wp:docPr id="739657704" name="Caixa de texto 739657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676275"/>
                        </a:xfrm>
                        <a:prstGeom prst="rect">
                          <a:avLst/>
                        </a:prstGeom>
                        <a:solidFill>
                          <a:schemeClr val="bg1">
                            <a:lumMod val="100000"/>
                            <a:lumOff val="0"/>
                          </a:schemeClr>
                        </a:solidFill>
                        <a:ln w="9525">
                          <a:solidFill>
                            <a:srgbClr val="0070C0"/>
                          </a:solidFill>
                          <a:miter lim="800000"/>
                        </a:ln>
                      </wps:spPr>
                      <wps:txbx>
                        <w:txbxContent>
                          <w:p w14:paraId="22953BC6" w14:textId="77777777" w:rsidR="00FA41FC" w:rsidRDefault="00FA41FC">
                            <w:pPr>
                              <w:jc w:val="center"/>
                              <w:rPr>
                                <w:rFonts w:ascii="Swis721 Th BT" w:hAnsi="Swis721 Th BT"/>
                                <w:sz w:val="23"/>
                                <w:szCs w:val="23"/>
                              </w:rPr>
                            </w:pPr>
                            <w:r>
                              <w:rPr>
                                <w:rFonts w:ascii="Swis721 Th BT" w:hAnsi="Swis721 Th BT"/>
                                <w:sz w:val="23"/>
                                <w:szCs w:val="23"/>
                              </w:rPr>
                              <w:t>Para isso, 96 mulheres na pós-menopausa, com dispareunia e insatisfação sexual foram randomizadas em três grupos (cada um com 32 indivíduos) para receberem por 12 semanas:</w:t>
                            </w:r>
                          </w:p>
                        </w:txbxContent>
                      </wps:txbx>
                      <wps:bodyPr rot="0" vert="horz" wrap="square" lIns="91440" tIns="45720" rIns="91440" bIns="45720" anchor="t" anchorCtr="0" upright="1">
                        <a:noAutofit/>
                      </wps:bodyPr>
                    </wps:wsp>
                  </a:graphicData>
                </a:graphic>
              </wp:anchor>
            </w:drawing>
          </mc:Choice>
          <mc:Fallback>
            <w:pict>
              <v:shape id="Caixa de texto 739657704" o:spid="_x0000_s1191" type="#_x0000_t202" style="position:absolute;left:0;text-align:left;margin-left:.45pt;margin-top:2.2pt;width:450.75pt;height:53.25pt;z-index:2519121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" fillcolor="white [3212]" strokecolor="#0070c0">
                <v:textbox>
                  <w:txbxContent>
                    <w:p w14:paraId="22953BC6" w14:textId="77777777" w:rsidR="00FA41FC" w:rsidRDefault="00FA41FC">
                      <w:pPr>
                        <w:jc w:val="center"/>
                        <w:rPr>
                          <w:rFonts w:ascii="Swis721 Th BT" w:hAnsi="Swis721 Th BT"/>
                          <w:sz w:val="23"/>
                          <w:szCs w:val="23"/>
                        </w:rPr>
                      </w:pPr>
                      <w:r>
                        <w:rPr>
                          <w:rFonts w:ascii="Swis721 Th BT" w:hAnsi="Swis721 Th BT"/>
                          <w:sz w:val="23"/>
                          <w:szCs w:val="23"/>
                        </w:rPr>
                        <w:t>Para isso, 96 mulheres na pós-menopausa, com dispareunia e insatisfação sexual foram randomizadas em três grupos (cada um com 32 indivíduos) para receberem por 12 semanas:</w:t>
                      </w:r>
                    </w:p>
                  </w:txbxContent>
                </v:textbox>
                <w10:wrap anchorx="margin"/>
              </v:shape>
            </w:pict>
          </mc:Fallback>
        </mc:AlternateContent>
      </w:r>
      <w:r>
        <w:rPr>
          <w:color w:val="404040" w:themeColor="text1" w:themeTint="BF"/>
          <w:sz w:val="24"/>
        </w:rPr>
        <w:br/>
      </w:r>
    </w:p>
    <w:p w14:paraId="5222E362" w14:textId="77777777" w:rsidR="00CD65C2" w:rsidRDefault="00CD65C2">
      <w:pPr>
        <w:pStyle w:val="Corpo"/>
        <w:rPr>
          <w:rFonts w:hint="eastAsia"/>
          <w:color w:val="404040" w:themeColor="text1" w:themeTint="BF"/>
        </w:rPr>
      </w:pPr>
    </w:p>
    <w:p w14:paraId="1F7A193F" w14:textId="77777777" w:rsidR="00CD65C2" w:rsidRDefault="00CD65C2">
      <w:pPr>
        <w:pStyle w:val="Corpo"/>
        <w:rPr>
          <w:rFonts w:hint="eastAsia"/>
          <w:color w:val="404040" w:themeColor="text1" w:themeTint="BF"/>
        </w:rPr>
      </w:pPr>
    </w:p>
    <w:p w14:paraId="2A2735EB"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913216" behindDoc="0" locked="0" layoutInCell="1" allowOverlap="1">
                <wp:simplePos x="0" y="0"/>
                <wp:positionH relativeFrom="column">
                  <wp:posOffset>2762885</wp:posOffset>
                </wp:positionH>
                <wp:positionV relativeFrom="paragraph">
                  <wp:posOffset>10795</wp:posOffset>
                </wp:positionV>
                <wp:extent cx="226695" cy="138430"/>
                <wp:effectExtent l="0" t="0" r="1905" b="0"/>
                <wp:wrapNone/>
                <wp:docPr id="739657705" name="Triângulo isósceles 739657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705" o:spid="_x0000_s1026" o:spt="5" type="#_x0000_t5" style="position:absolute;left:0pt;flip:y;margin-left:217.55pt;margin-top:0.85pt;height:10.9pt;width:17.85pt;z-index:251913216;mso-width-relative:page;mso-height-relative:page;" fillcolor="#D9D9D9 [3212]" filled="t" stroked="f" coordsize="21600,21600" o:gfxdata="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DERpx9YAAAAIAQAADwAAAAAAAAABACAAAAAiAAAAZHJzL2Rvd25yZXYueG1sUEsBAhQAFAAAAAgA&#10;h07iQGTRmUdgAgAAswQAAA4AAAAAAAAAAQAgAAAAJQEAAGRycy9lMm9Eb2MueG1sUEsFBgAAAAAG&#10;AAYAWQEAAPcFA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909120" behindDoc="0" locked="0" layoutInCell="1" allowOverlap="1">
                <wp:simplePos x="0" y="0"/>
                <wp:positionH relativeFrom="column">
                  <wp:posOffset>4697095</wp:posOffset>
                </wp:positionH>
                <wp:positionV relativeFrom="paragraph">
                  <wp:posOffset>10795</wp:posOffset>
                </wp:positionV>
                <wp:extent cx="226695" cy="138430"/>
                <wp:effectExtent l="0" t="0" r="1905" b="0"/>
                <wp:wrapNone/>
                <wp:docPr id="739657736" name="Triângulo isósceles 7396577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736" o:spid="_x0000_s1026" o:spt="5" type="#_x0000_t5" style="position:absolute;left:0pt;flip:y;margin-left:369.85pt;margin-top:0.85pt;height:10.9pt;width:17.85pt;z-index:251909120;mso-width-relative:page;mso-height-relative:page;" fillcolor="#D9D9D9 [3212]" filled="t" stroked="f" coordsize="21600,21600" o:gfxdata="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IVtuszXAAAACAEAAA8AAAAAAAAAAQAgAAAAIgAAAGRycy9kb3ducmV2LnhtbFBLAQIUABQAAAAI&#10;AIdO4kBAUTw/YAIAALMEAAAOAAAAAAAAAAEAIAAAACYBAABkcnMvZTJvRG9jLnhtbFBLBQYAAAAA&#10;BgAGAFkBAAD4BQ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911168" behindDoc="0" locked="0" layoutInCell="1" allowOverlap="1">
                <wp:simplePos x="0" y="0"/>
                <wp:positionH relativeFrom="column">
                  <wp:posOffset>3877310</wp:posOffset>
                </wp:positionH>
                <wp:positionV relativeFrom="paragraph">
                  <wp:posOffset>276860</wp:posOffset>
                </wp:positionV>
                <wp:extent cx="1871980" cy="781685"/>
                <wp:effectExtent l="0" t="0" r="13970" b="18415"/>
                <wp:wrapNone/>
                <wp:docPr id="739657738" name="Caixa de texto 739657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781685"/>
                        </a:xfrm>
                        <a:prstGeom prst="rect">
                          <a:avLst/>
                        </a:prstGeom>
                        <a:solidFill>
                          <a:srgbClr val="0070C0"/>
                        </a:solidFill>
                        <a:ln w="9525">
                          <a:solidFill>
                            <a:srgbClr val="0070C0"/>
                          </a:solidFill>
                          <a:miter lim="800000"/>
                        </a:ln>
                      </wps:spPr>
                      <wps:txbx>
                        <w:txbxContent>
                          <w:p w14:paraId="59B29917"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14:paraId="33A7DBA7" w14:textId="77777777" w:rsidR="00FA41FC" w:rsidRDefault="00FA41FC">
                            <w:pPr>
                              <w:spacing w:after="0" w:line="240" w:lineRule="auto"/>
                              <w:jc w:val="center"/>
                            </w:pPr>
                            <w:r>
                              <w:rPr>
                                <w:rFonts w:ascii="Swis721 Th BT" w:hAnsi="Swis721 Th BT"/>
                                <w:color w:val="FFFFFF" w:themeColor="background1"/>
                                <w:sz w:val="23"/>
                                <w:szCs w:val="23"/>
                              </w:rPr>
                              <w:t>Gel Placebo</w:t>
                            </w:r>
                          </w:p>
                        </w:txbxContent>
                      </wps:txbx>
                      <wps:bodyPr rot="0" vert="horz" wrap="square" lIns="91440" tIns="45720" rIns="91440" bIns="45720" anchor="ctr" anchorCtr="0" upright="1">
                        <a:noAutofit/>
                      </wps:bodyPr>
                    </wps:wsp>
                  </a:graphicData>
                </a:graphic>
              </wp:anchor>
            </w:drawing>
          </mc:Choice>
          <mc:Fallback>
            <w:pict>
              <v:shape id="Caixa de texto 739657738" o:spid="_x0000_s1192" type="#_x0000_t202" style="position:absolute;left:0;text-align:left;margin-left:305.3pt;margin-top:21.8pt;width:147.4pt;height:61.55pt;z-index:251911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" fillcolor="#0070c0" strokecolor="#0070c0">
                <v:textbox>
                  <w:txbxContent>
                    <w:p w14:paraId="59B29917"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14:paraId="33A7DBA7" w14:textId="77777777" w:rsidR="00FA41FC" w:rsidRDefault="00FA41FC">
                      <w:pPr>
                        <w:spacing w:after="0" w:line="240" w:lineRule="auto"/>
                        <w:jc w:val="center"/>
                      </w:pPr>
                      <w:r>
                        <w:rPr>
                          <w:rFonts w:ascii="Swis721 Th BT" w:hAnsi="Swis721 Th BT"/>
                          <w:color w:val="FFFFFF" w:themeColor="background1"/>
                          <w:sz w:val="23"/>
                          <w:szCs w:val="23"/>
                        </w:rPr>
                        <w:t>Gel Placebo</w:t>
                      </w: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910144" behindDoc="0" locked="0" layoutInCell="1" allowOverlap="1">
                <wp:simplePos x="0" y="0"/>
                <wp:positionH relativeFrom="column">
                  <wp:posOffset>822960</wp:posOffset>
                </wp:positionH>
                <wp:positionV relativeFrom="paragraph">
                  <wp:posOffset>10795</wp:posOffset>
                </wp:positionV>
                <wp:extent cx="226695" cy="138430"/>
                <wp:effectExtent l="0" t="0" r="1905" b="0"/>
                <wp:wrapNone/>
                <wp:docPr id="739657739" name="Triângulo isósceles 7396577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739" o:spid="_x0000_s1026" o:spt="5" type="#_x0000_t5" style="position:absolute;left:0pt;flip:y;margin-left:64.8pt;margin-top:0.85pt;height:10.9pt;width:17.85pt;z-index:251910144;mso-width-relative:page;mso-height-relative:page;" fillcolor="#D9D9D9 [3212]" filled="t" stroked="f" coordsize="21600,21600" o:gfxdata="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L&#10;OWvL1gAAAAgBAAAPAAAAAAAAAAEAIAAAACIAAABkcnMvZG93bnJldi54bWxQSwECFAAUAAAACACH&#10;TuJA2mT1bl8CAACzBAAADgAAAAAAAAABACAAAAAlAQAAZHJzL2Uyb0RvYy54bWxQSwUGAAAAAAYA&#10;BgBZAQAA9gUAAAAA&#10;" adj="10800">
                <v:fill on="t" focussize="0,0"/>
                <v:stroke on="f"/>
                <v:imagedata o:title=""/>
                <o:lock v:ext="edit" aspectratio="f"/>
              </v:shape>
            </w:pict>
          </mc:Fallback>
        </mc:AlternateContent>
      </w:r>
    </w:p>
    <w:p w14:paraId="49A25668"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914240" behindDoc="0" locked="0" layoutInCell="1" allowOverlap="1">
                <wp:simplePos x="0" y="0"/>
                <wp:positionH relativeFrom="column">
                  <wp:posOffset>1943100</wp:posOffset>
                </wp:positionH>
                <wp:positionV relativeFrom="paragraph">
                  <wp:posOffset>88900</wp:posOffset>
                </wp:positionV>
                <wp:extent cx="1871980" cy="781685"/>
                <wp:effectExtent l="0" t="0" r="13970" b="18415"/>
                <wp:wrapNone/>
                <wp:docPr id="739657740"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000" cy="781685"/>
                        </a:xfrm>
                        <a:prstGeom prst="rect">
                          <a:avLst/>
                        </a:prstGeom>
                        <a:solidFill>
                          <a:srgbClr val="0070C0"/>
                        </a:solidFill>
                        <a:ln w="9525">
                          <a:solidFill>
                            <a:srgbClr val="0070C0"/>
                          </a:solidFill>
                          <a:miter lim="800000"/>
                        </a:ln>
                      </wps:spPr>
                      <wps:txbx>
                        <w:txbxContent>
                          <w:p w14:paraId="5CC0055C"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4D9A90F6" w14:textId="77777777" w:rsidR="00FA41FC" w:rsidRDefault="00FA41FC">
                            <w:pPr>
                              <w:spacing w:after="0" w:line="240" w:lineRule="auto"/>
                              <w:jc w:val="center"/>
                            </w:pPr>
                            <w:r>
                              <w:rPr>
                                <w:rFonts w:ascii="Swis721 Th BT" w:hAnsi="Swis721 Th BT"/>
                                <w:color w:val="FFFFFF" w:themeColor="background1"/>
                                <w:sz w:val="23"/>
                                <w:szCs w:val="23"/>
                              </w:rPr>
                              <w:t>Creme Vaginal de Estrogênio Conjugado</w:t>
                            </w:r>
                          </w:p>
                        </w:txbxContent>
                      </wps:txbx>
                      <wps:bodyPr rot="0" vert="horz" wrap="square" lIns="91440" tIns="45720" rIns="91440" bIns="45720" anchor="ctr" anchorCtr="0" upright="1">
                        <a:noAutofit/>
                      </wps:bodyPr>
                    </wps:wsp>
                  </a:graphicData>
                </a:graphic>
              </wp:anchor>
            </w:drawing>
          </mc:Choice>
          <mc:Fallback>
            <w:pict>
              <v:shape id="Caixa de texto 9" o:spid="_x0000_s1193" type="#_x0000_t202" style="position:absolute;left:0;text-align:left;margin-left:153pt;margin-top:7pt;width:147.4pt;height:61.55pt;z-index:251914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" fillcolor="#0070c0" strokecolor="#0070c0">
                <v:textbox>
                  <w:txbxContent>
                    <w:p w14:paraId="5CC0055C"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4D9A90F6" w14:textId="77777777" w:rsidR="00FA41FC" w:rsidRDefault="00FA41FC">
                      <w:pPr>
                        <w:spacing w:after="0" w:line="240" w:lineRule="auto"/>
                        <w:jc w:val="center"/>
                      </w:pPr>
                      <w:r>
                        <w:rPr>
                          <w:rFonts w:ascii="Swis721 Th BT" w:hAnsi="Swis721 Th BT"/>
                          <w:color w:val="FFFFFF" w:themeColor="background1"/>
                          <w:sz w:val="23"/>
                          <w:szCs w:val="23"/>
                        </w:rPr>
                        <w:t>Creme Vaginal de Estrogênio Conjugado</w:t>
                      </w: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908096" behindDoc="0" locked="0" layoutInCell="1" allowOverlap="1">
                <wp:simplePos x="0" y="0"/>
                <wp:positionH relativeFrom="column">
                  <wp:posOffset>-5715</wp:posOffset>
                </wp:positionH>
                <wp:positionV relativeFrom="paragraph">
                  <wp:posOffset>88900</wp:posOffset>
                </wp:positionV>
                <wp:extent cx="1871980" cy="781685"/>
                <wp:effectExtent l="0" t="0" r="13970" b="18415"/>
                <wp:wrapNone/>
                <wp:docPr id="739657741" name="Caixa de texto 739657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000" cy="781685"/>
                        </a:xfrm>
                        <a:prstGeom prst="rect">
                          <a:avLst/>
                        </a:prstGeom>
                        <a:solidFill>
                          <a:srgbClr val="0070C0"/>
                        </a:solidFill>
                        <a:ln w="9525">
                          <a:solidFill>
                            <a:srgbClr val="0070C0"/>
                          </a:solidFill>
                          <a:miter lim="800000"/>
                        </a:ln>
                      </wps:spPr>
                      <wps:txbx>
                        <w:txbxContent>
                          <w:p w14:paraId="53801FD7"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Gel Vaginal de Camomila 5%</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739657741" o:spid="_x0000_s1194" type="#_x0000_t202" style="position:absolute;left:0;text-align:left;margin-left:-.45pt;margin-top:7pt;width:147.4pt;height:61.55pt;z-index:251908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" fillcolor="#0070c0" strokecolor="#0070c0">
                <v:textbox>
                  <w:txbxContent>
                    <w:p w14:paraId="53801FD7"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Gel Vaginal de Camomila 5%</w:t>
                      </w:r>
                      <w:r>
                        <w:rPr>
                          <w:rFonts w:ascii="Swis721 Th BT" w:hAnsi="Swis721 Th BT"/>
                          <w:color w:val="FFFFFF" w:themeColor="background1"/>
                          <w:szCs w:val="23"/>
                        </w:rPr>
                        <w:t xml:space="preserve"> </w:t>
                      </w:r>
                    </w:p>
                  </w:txbxContent>
                </v:textbox>
              </v:shape>
            </w:pict>
          </mc:Fallback>
        </mc:AlternateContent>
      </w:r>
    </w:p>
    <w:p w14:paraId="755253BE" w14:textId="77777777" w:rsidR="00CD65C2" w:rsidRDefault="00CD65C2">
      <w:pPr>
        <w:pStyle w:val="Corpo"/>
        <w:rPr>
          <w:rFonts w:hint="eastAsia"/>
          <w:color w:val="404040" w:themeColor="text1" w:themeTint="BF"/>
        </w:rPr>
      </w:pPr>
    </w:p>
    <w:p w14:paraId="72639BA7" w14:textId="77777777" w:rsidR="00CD65C2" w:rsidRDefault="00CD65C2">
      <w:pPr>
        <w:pStyle w:val="Corpo"/>
        <w:rPr>
          <w:rFonts w:hint="eastAsia"/>
          <w:color w:val="404040" w:themeColor="text1" w:themeTint="BF"/>
        </w:rPr>
      </w:pPr>
    </w:p>
    <w:p w14:paraId="72574AC7" w14:textId="77777777" w:rsidR="00CD65C2" w:rsidRDefault="00CD65C2">
      <w:pPr>
        <w:pStyle w:val="Corpo"/>
        <w:rPr>
          <w:rFonts w:hint="eastAsia"/>
          <w:color w:val="404040" w:themeColor="text1" w:themeTint="BF"/>
        </w:rPr>
      </w:pPr>
    </w:p>
    <w:p w14:paraId="19DCB0E7" w14:textId="77777777" w:rsidR="00CD65C2" w:rsidRDefault="00CD65C2">
      <w:pPr>
        <w:pStyle w:val="Corpo"/>
        <w:spacing w:before="120"/>
        <w:rPr>
          <w:rFonts w:hint="eastAsia"/>
          <w:color w:val="404040" w:themeColor="text1" w:themeTint="BF"/>
          <w:sz w:val="20"/>
        </w:rPr>
      </w:pPr>
    </w:p>
    <w:p w14:paraId="0DF00CB6" w14:textId="32495A2E" w:rsidR="00CD65C2" w:rsidRDefault="00FA41FC">
      <w:pPr>
        <w:pStyle w:val="Corpo"/>
        <w:numPr>
          <w:ilvl w:val="0"/>
          <w:numId w:val="4"/>
        </w:numPr>
        <w:spacing w:after="0"/>
        <w:ind w:left="360"/>
        <w:rPr>
          <w:rFonts w:hint="eastAsia"/>
          <w:color w:val="404040" w:themeColor="text1" w:themeTint="BF"/>
          <w:sz w:val="20"/>
          <w:szCs w:val="23"/>
        </w:rPr>
      </w:pPr>
      <w:r>
        <w:rPr>
          <w:color w:val="404040" w:themeColor="text1" w:themeTint="BF"/>
          <w:sz w:val="20"/>
          <w:szCs w:val="23"/>
        </w:rPr>
        <w:t>Todas as mulheres responderam aos questionários de Larsson e de autoavaliação da dor de quatro graus. Os dados foram analisados usando SPSS versão 22. Um valor de p inferior a 0,05 foi considerado significativo.</w:t>
      </w:r>
    </w:p>
    <w:p w14:paraId="4D245A3D" w14:textId="77777777" w:rsidR="00CD65C2" w:rsidRDefault="00CD65C2">
      <w:pPr>
        <w:pStyle w:val="Corpo"/>
        <w:rPr>
          <w:rFonts w:hint="eastAsia"/>
          <w:b/>
          <w:color w:val="339966"/>
          <w:sz w:val="25"/>
          <w:szCs w:val="25"/>
          <w14:textFill>
            <w14:solidFill>
              <w14:srgbClr w14:val="339966">
                <w14:lumMod w14:val="75000"/>
                <w14:lumOff w14:val="25000"/>
              </w14:srgbClr>
            </w14:solidFill>
          </w14:textFill>
        </w:rPr>
      </w:pPr>
    </w:p>
    <w:p w14:paraId="06A6B1E0"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44029E70" w14:textId="77777777" w:rsidR="00CD65C2" w:rsidRDefault="00CD65C2">
      <w:pPr>
        <w:pStyle w:val="Corpo"/>
        <w:rPr>
          <w:rFonts w:hint="eastAsia"/>
          <w:color w:val="404040" w:themeColor="text1" w:themeTint="BF"/>
          <w:sz w:val="16"/>
          <w:szCs w:val="16"/>
        </w:rPr>
      </w:pPr>
    </w:p>
    <w:p w14:paraId="33851424" w14:textId="77777777"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Após 12 semanas, foi observada uma diferença significativa entre os grupos 1 e 2 e o grupo placebo na satisfação sexual média;</w:t>
      </w:r>
    </w:p>
    <w:p w14:paraId="136280AC" w14:textId="431575CC"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Uma redução significativa foi observada na relação sexual dolorosa entre os grupos usando gel vaginal de camomila e creme vaginal de estrogênio conjugado.</w:t>
      </w:r>
    </w:p>
    <w:p w14:paraId="44EF06EC" w14:textId="77777777" w:rsidR="00CD65C2" w:rsidRDefault="00FA41FC">
      <w:pPr>
        <w:pStyle w:val="Corpo"/>
        <w:spacing w:after="120"/>
        <w:jc w:val="center"/>
        <w:rPr>
          <w:rFonts w:hint="eastAsia"/>
          <w:color w:val="404040" w:themeColor="text1" w:themeTint="BF"/>
          <w:sz w:val="24"/>
          <w:u w:val="single"/>
        </w:rPr>
      </w:pPr>
      <w:r>
        <w:rPr>
          <w:color w:val="404040" w:themeColor="text1" w:themeTint="BF"/>
          <w:sz w:val="24"/>
          <w:u w:val="single"/>
        </w:rPr>
        <w:t>Comparação na Média dos Escores de Satisfação Sexual nos Grupos 1, 2 e 3</w:t>
      </w:r>
    </w:p>
    <w:tbl>
      <w:tblPr>
        <w:tblStyle w:val="TabeladeLista2-nfase31"/>
        <w:tblW w:w="0" w:type="auto"/>
        <w:jc w:val="center"/>
        <w:tblLook w:val="04A0" w:firstRow="1" w:lastRow="0" w:firstColumn="1" w:lastColumn="0" w:noHBand="0" w:noVBand="1"/>
      </w:tblPr>
      <w:tblGrid>
        <w:gridCol w:w="3163"/>
        <w:gridCol w:w="1247"/>
        <w:gridCol w:w="2420"/>
        <w:gridCol w:w="1247"/>
      </w:tblGrid>
      <w:tr w:rsidR="00CD65C2" w14:paraId="76793C8F" w14:textId="77777777" w:rsidTr="00CD65C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0E96DAB" w14:textId="77777777" w:rsidR="00CD65C2" w:rsidRDefault="00FA41FC">
            <w:pPr>
              <w:pStyle w:val="Corpo"/>
              <w:spacing w:after="120"/>
              <w:jc w:val="center"/>
              <w:rPr>
                <w:rFonts w:hint="eastAsia"/>
                <w:b w:val="0"/>
                <w:bCs w:val="0"/>
                <w:color w:val="404040" w:themeColor="text1" w:themeTint="BF"/>
                <w:sz w:val="24"/>
              </w:rPr>
            </w:pPr>
            <w:r>
              <w:rPr>
                <w:color w:val="404040" w:themeColor="text1" w:themeTint="BF"/>
                <w:sz w:val="24"/>
              </w:rPr>
              <w:t>Escores de Satisfação Sexual</w:t>
            </w:r>
          </w:p>
        </w:tc>
        <w:tc>
          <w:tcPr>
            <w:tcW w:w="0" w:type="auto"/>
            <w:vAlign w:val="center"/>
          </w:tcPr>
          <w:p w14:paraId="3620FC1C" w14:textId="77777777" w:rsidR="00CD65C2" w:rsidRDefault="00FA41FC">
            <w:pPr>
              <w:pStyle w:val="Corpo"/>
              <w:spacing w:after="120"/>
              <w:jc w:val="center"/>
              <w:cnfStyle w:val="100000000000" w:firstRow="1" w:lastRow="0" w:firstColumn="0" w:lastColumn="0" w:oddVBand="0" w:evenVBand="0" w:oddHBand="0" w:evenHBand="0" w:firstRowFirstColumn="0" w:firstRowLastColumn="0" w:lastRowFirstColumn="0" w:lastRowLastColumn="0"/>
              <w:rPr>
                <w:rFonts w:hint="eastAsia"/>
                <w:b w:val="0"/>
                <w:bCs w:val="0"/>
                <w:color w:val="404040" w:themeColor="text1" w:themeTint="BF"/>
                <w:sz w:val="24"/>
              </w:rPr>
            </w:pPr>
            <w:r>
              <w:rPr>
                <w:color w:val="404040" w:themeColor="text1" w:themeTint="BF"/>
                <w:sz w:val="24"/>
              </w:rPr>
              <w:t>Camomila</w:t>
            </w:r>
          </w:p>
        </w:tc>
        <w:tc>
          <w:tcPr>
            <w:tcW w:w="0" w:type="auto"/>
            <w:vAlign w:val="center"/>
          </w:tcPr>
          <w:p w14:paraId="2A74807C" w14:textId="77777777" w:rsidR="00CD65C2" w:rsidRDefault="00FA41FC">
            <w:pPr>
              <w:pStyle w:val="Corpo"/>
              <w:spacing w:after="120"/>
              <w:jc w:val="center"/>
              <w:cnfStyle w:val="100000000000" w:firstRow="1" w:lastRow="0" w:firstColumn="0" w:lastColumn="0" w:oddVBand="0" w:evenVBand="0" w:oddHBand="0" w:evenHBand="0" w:firstRowFirstColumn="0" w:firstRowLastColumn="0" w:lastRowFirstColumn="0" w:lastRowLastColumn="0"/>
              <w:rPr>
                <w:rFonts w:hint="eastAsia"/>
                <w:b w:val="0"/>
                <w:bCs w:val="0"/>
                <w:color w:val="404040" w:themeColor="text1" w:themeTint="BF"/>
                <w:sz w:val="24"/>
              </w:rPr>
            </w:pPr>
            <w:r>
              <w:rPr>
                <w:color w:val="404040" w:themeColor="text1" w:themeTint="BF"/>
                <w:sz w:val="24"/>
              </w:rPr>
              <w:t>Estrogênio conjugado</w:t>
            </w:r>
          </w:p>
        </w:tc>
        <w:tc>
          <w:tcPr>
            <w:tcW w:w="0" w:type="auto"/>
            <w:vAlign w:val="center"/>
          </w:tcPr>
          <w:p w14:paraId="5271E55F" w14:textId="77777777" w:rsidR="00CD65C2" w:rsidRDefault="00FA41FC">
            <w:pPr>
              <w:pStyle w:val="Corpo"/>
              <w:spacing w:after="120"/>
              <w:jc w:val="center"/>
              <w:cnfStyle w:val="100000000000" w:firstRow="1" w:lastRow="0" w:firstColumn="0" w:lastColumn="0" w:oddVBand="0" w:evenVBand="0" w:oddHBand="0" w:evenHBand="0" w:firstRowFirstColumn="0" w:firstRowLastColumn="0" w:lastRowFirstColumn="0" w:lastRowLastColumn="0"/>
              <w:rPr>
                <w:rFonts w:hint="eastAsia"/>
                <w:b w:val="0"/>
                <w:bCs w:val="0"/>
                <w:color w:val="404040" w:themeColor="text1" w:themeTint="BF"/>
                <w:sz w:val="24"/>
              </w:rPr>
            </w:pPr>
            <w:r>
              <w:rPr>
                <w:color w:val="404040" w:themeColor="text1" w:themeTint="BF"/>
                <w:sz w:val="24"/>
              </w:rPr>
              <w:t>Placebo</w:t>
            </w:r>
          </w:p>
        </w:tc>
      </w:tr>
      <w:tr w:rsidR="00CD65C2" w14:paraId="42481934" w14:textId="77777777" w:rsidTr="00CD65C2">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themeFill="accent3" w:themeFillTint="33"/>
            <w:vAlign w:val="center"/>
          </w:tcPr>
          <w:p w14:paraId="24152BFE" w14:textId="77777777" w:rsidR="00CD65C2" w:rsidRDefault="00FA41FC">
            <w:pPr>
              <w:pStyle w:val="Corpo"/>
              <w:spacing w:after="120"/>
              <w:jc w:val="center"/>
              <w:rPr>
                <w:rFonts w:hint="eastAsia"/>
                <w:color w:val="404040" w:themeColor="text1" w:themeTint="BF"/>
                <w:sz w:val="24"/>
              </w:rPr>
            </w:pPr>
            <w:r>
              <w:rPr>
                <w:b w:val="0"/>
                <w:bCs w:val="0"/>
                <w:color w:val="404040" w:themeColor="text1" w:themeTint="BF"/>
                <w:sz w:val="24"/>
              </w:rPr>
              <w:t>Início</w:t>
            </w:r>
          </w:p>
        </w:tc>
        <w:tc>
          <w:tcPr>
            <w:tcW w:w="0" w:type="auto"/>
            <w:shd w:val="clear" w:color="auto" w:fill="EDEDED" w:themeFill="accent3" w:themeFillTint="33"/>
            <w:vAlign w:val="center"/>
          </w:tcPr>
          <w:p w14:paraId="5B45746E"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Cs w:val="23"/>
              </w:rPr>
            </w:pPr>
            <w:r>
              <w:rPr>
                <w:color w:val="000000"/>
                <w:szCs w:val="23"/>
                <w14:textFill>
                  <w14:solidFill>
                    <w14:srgbClr w14:val="000000">
                      <w14:lumMod w14:val="75000"/>
                      <w14:lumOff w14:val="25000"/>
                    </w14:srgbClr>
                  </w14:solidFill>
                </w14:textFill>
              </w:rPr>
              <w:t>66,8±16,3</w:t>
            </w:r>
          </w:p>
        </w:tc>
        <w:tc>
          <w:tcPr>
            <w:tcW w:w="0" w:type="auto"/>
            <w:shd w:val="clear" w:color="auto" w:fill="EDEDED" w:themeFill="accent3" w:themeFillTint="33"/>
            <w:vAlign w:val="center"/>
          </w:tcPr>
          <w:p w14:paraId="129092E7"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Cs w:val="23"/>
              </w:rPr>
            </w:pPr>
            <w:r>
              <w:rPr>
                <w:color w:val="000000"/>
                <w:szCs w:val="23"/>
                <w14:textFill>
                  <w14:solidFill>
                    <w14:srgbClr w14:val="000000">
                      <w14:lumMod w14:val="75000"/>
                      <w14:lumOff w14:val="25000"/>
                    </w14:srgbClr>
                  </w14:solidFill>
                </w14:textFill>
              </w:rPr>
              <w:t>16,3±66,5</w:t>
            </w:r>
          </w:p>
        </w:tc>
        <w:tc>
          <w:tcPr>
            <w:tcW w:w="0" w:type="auto"/>
            <w:shd w:val="clear" w:color="auto" w:fill="EDEDED" w:themeFill="accent3" w:themeFillTint="33"/>
            <w:vAlign w:val="center"/>
          </w:tcPr>
          <w:p w14:paraId="4F6073D2"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Cs w:val="23"/>
              </w:rPr>
            </w:pPr>
            <w:r>
              <w:rPr>
                <w:color w:val="000000"/>
                <w:szCs w:val="23"/>
                <w14:textFill>
                  <w14:solidFill>
                    <w14:srgbClr w14:val="000000">
                      <w14:lumMod w14:val="75000"/>
                      <w14:lumOff w14:val="25000"/>
                    </w14:srgbClr>
                  </w14:solidFill>
                </w14:textFill>
              </w:rPr>
              <w:t>15,7±71,8</w:t>
            </w:r>
          </w:p>
        </w:tc>
      </w:tr>
      <w:tr w:rsidR="00CD65C2" w14:paraId="6A669755" w14:textId="77777777" w:rsidTr="00CD65C2">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2FBB887" w14:textId="77777777" w:rsidR="00CD65C2" w:rsidRDefault="00FA41FC">
            <w:pPr>
              <w:pStyle w:val="Corpo"/>
              <w:spacing w:after="120"/>
              <w:jc w:val="center"/>
              <w:rPr>
                <w:rFonts w:hint="eastAsia"/>
                <w:color w:val="404040" w:themeColor="text1" w:themeTint="BF"/>
                <w:sz w:val="24"/>
              </w:rPr>
            </w:pPr>
            <w:r>
              <w:rPr>
                <w:b w:val="0"/>
                <w:bCs w:val="0"/>
                <w:color w:val="404040" w:themeColor="text1" w:themeTint="BF"/>
                <w:sz w:val="24"/>
              </w:rPr>
              <w:t>Final</w:t>
            </w:r>
          </w:p>
        </w:tc>
        <w:tc>
          <w:tcPr>
            <w:tcW w:w="0" w:type="auto"/>
            <w:vAlign w:val="center"/>
          </w:tcPr>
          <w:p w14:paraId="6DE30EAC"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Cs w:val="23"/>
              </w:rPr>
            </w:pPr>
            <w:r>
              <w:rPr>
                <w:color w:val="000000"/>
                <w:szCs w:val="23"/>
                <w14:textFill>
                  <w14:solidFill>
                    <w14:srgbClr w14:val="000000">
                      <w14:lumMod w14:val="75000"/>
                      <w14:lumOff w14:val="25000"/>
                    </w14:srgbClr>
                  </w14:solidFill>
                </w14:textFill>
              </w:rPr>
              <w:t>88,4±14,9</w:t>
            </w:r>
          </w:p>
        </w:tc>
        <w:tc>
          <w:tcPr>
            <w:tcW w:w="0" w:type="auto"/>
            <w:vAlign w:val="center"/>
          </w:tcPr>
          <w:p w14:paraId="3AB6D173"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Cs w:val="23"/>
              </w:rPr>
            </w:pPr>
            <w:r>
              <w:rPr>
                <w:color w:val="000000"/>
                <w:szCs w:val="23"/>
                <w14:textFill>
                  <w14:solidFill>
                    <w14:srgbClr w14:val="000000">
                      <w14:lumMod w14:val="75000"/>
                      <w14:lumOff w14:val="25000"/>
                    </w14:srgbClr>
                  </w14:solidFill>
                </w14:textFill>
              </w:rPr>
              <w:t>12,9±7,88</w:t>
            </w:r>
          </w:p>
        </w:tc>
        <w:tc>
          <w:tcPr>
            <w:tcW w:w="0" w:type="auto"/>
            <w:vAlign w:val="center"/>
          </w:tcPr>
          <w:p w14:paraId="128DF116" w14:textId="77777777" w:rsidR="00CD65C2" w:rsidRDefault="00FA41FC">
            <w:pPr>
              <w:pStyle w:val="Corpo"/>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Cs w:val="23"/>
              </w:rPr>
            </w:pPr>
            <w:r>
              <w:rPr>
                <w:color w:val="000000"/>
                <w:szCs w:val="23"/>
                <w14:textFill>
                  <w14:solidFill>
                    <w14:srgbClr w14:val="000000">
                      <w14:lumMod w14:val="75000"/>
                      <w14:lumOff w14:val="25000"/>
                    </w14:srgbClr>
                  </w14:solidFill>
                </w14:textFill>
              </w:rPr>
              <w:t>16,2±76,4</w:t>
            </w:r>
          </w:p>
        </w:tc>
      </w:tr>
    </w:tbl>
    <w:p w14:paraId="7CC87683" w14:textId="77777777" w:rsidR="00CD65C2" w:rsidRDefault="00CD65C2">
      <w:pPr>
        <w:pStyle w:val="Corpo"/>
        <w:spacing w:after="120"/>
        <w:rPr>
          <w:rFonts w:hint="eastAsia"/>
          <w:color w:val="404040" w:themeColor="text1" w:themeTint="BF"/>
          <w:sz w:val="24"/>
        </w:rPr>
      </w:pPr>
    </w:p>
    <w:p w14:paraId="3177693D"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4D0D277F" w14:textId="77777777" w:rsidR="00CD65C2" w:rsidRDefault="00CD65C2">
      <w:pPr>
        <w:pStyle w:val="Corpo"/>
        <w:rPr>
          <w:rFonts w:hint="eastAsia"/>
          <w:b/>
          <w:color w:val="339966"/>
          <w:sz w:val="16"/>
          <w:szCs w:val="16"/>
          <w14:textFill>
            <w14:solidFill>
              <w14:srgbClr w14:val="339966">
                <w14:lumMod w14:val="75000"/>
                <w14:lumOff w14:val="25000"/>
              </w14:srgbClr>
            </w14:solidFill>
          </w14:textFill>
        </w:rPr>
      </w:pPr>
    </w:p>
    <w:p w14:paraId="0CB100EA" w14:textId="77777777" w:rsidR="00CD65C2" w:rsidRDefault="00FA41FC">
      <w:pPr>
        <w:pStyle w:val="Corpo"/>
        <w:jc w:val="center"/>
        <w:rPr>
          <w:rFonts w:hint="eastAsia"/>
          <w:b/>
          <w:i/>
          <w:color w:val="404040" w:themeColor="text1" w:themeTint="BF"/>
        </w:rPr>
      </w:pPr>
      <w:r>
        <w:rPr>
          <w:b/>
          <w:i/>
          <w:color w:val="404040" w:themeColor="text1" w:themeTint="BF"/>
        </w:rPr>
        <w:t>O gel vaginal de camomila pode reduzir as relações sexuais dolorosas e aumentar a satisfação sexual em mulheres na pós-menopausa.</w:t>
      </w:r>
    </w:p>
    <w:p w14:paraId="7D7CD94F" w14:textId="77777777" w:rsidR="00CD65C2" w:rsidRDefault="00FA41FC">
      <w:pPr>
        <w:pStyle w:val="Ttulo1"/>
        <w:jc w:val="center"/>
        <w:rPr>
          <w:rFonts w:hint="eastAsia"/>
        </w:rPr>
      </w:pPr>
      <w:bookmarkStart w:id="130" w:name="_Toc165537278"/>
      <w:r>
        <w:t>Formulário</w:t>
      </w:r>
      <w:bookmarkEnd w:id="130"/>
    </w:p>
    <w:p w14:paraId="39A9B6C4" w14:textId="77777777" w:rsidR="00CD65C2" w:rsidRDefault="00CD65C2">
      <w:pPr>
        <w:pStyle w:val="Corpo"/>
        <w:rPr>
          <w:rFonts w:hint="eastAsia"/>
          <w:b/>
          <w:i/>
          <w:color w:val="404040" w:themeColor="text1" w:themeTint="BF"/>
        </w:rPr>
      </w:pPr>
    </w:p>
    <w:p w14:paraId="3ED55BD7" w14:textId="77777777" w:rsidR="00CD65C2" w:rsidRDefault="00CD65C2">
      <w:pPr>
        <w:pStyle w:val="Corpo"/>
        <w:rPr>
          <w:rFonts w:hint="eastAsia"/>
          <w:b/>
          <w:i/>
          <w:color w:val="404040" w:themeColor="text1" w:themeTint="BF"/>
        </w:rPr>
      </w:pPr>
    </w:p>
    <w:p w14:paraId="1A310A65" w14:textId="77777777" w:rsidR="00CD65C2" w:rsidRDefault="00FA41FC">
      <w:pPr>
        <w:pStyle w:val="Corpo"/>
        <w:rPr>
          <w:rFonts w:hint="eastAsia"/>
          <w:b/>
          <w:i/>
          <w:color w:val="404040" w:themeColor="text1" w:themeTint="BF"/>
          <w:sz w:val="24"/>
        </w:rPr>
      </w:pPr>
      <w:r>
        <w:rPr>
          <w:b/>
          <w:i/>
          <w:color w:val="404040" w:themeColor="text1" w:themeTint="BF"/>
          <w:sz w:val="24"/>
        </w:rPr>
        <w:t>Reduz as Relações Sexuais Dolorosas e Aumenta a Satisfação Sexual em Mulheres na Pós-Menopausa</w:t>
      </w:r>
    </w:p>
    <w:p w14:paraId="66687C83"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599BA34B"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517D93CB" w14:textId="77777777" w:rsidR="00CD65C2" w:rsidRDefault="00FA41FC">
            <w:pPr>
              <w:pStyle w:val="Corpo"/>
              <w:jc w:val="center"/>
              <w:rPr>
                <w:rFonts w:hint="eastAsia"/>
                <w:b/>
                <w:color w:val="FFFFFF" w:themeColor="background1"/>
              </w:rPr>
            </w:pPr>
            <w:r>
              <w:rPr>
                <w:b/>
                <w:color w:val="FFFFFF" w:themeColor="background1"/>
                <w:sz w:val="22"/>
              </w:rPr>
              <w:t>Gel Vaginal</w:t>
            </w:r>
          </w:p>
        </w:tc>
      </w:tr>
      <w:tr w:rsidR="00CD65C2" w14:paraId="67488234"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2D45833" w14:textId="77777777" w:rsidR="00CD65C2" w:rsidRDefault="00FA41FC">
            <w:pPr>
              <w:pStyle w:val="Corpo"/>
              <w:rPr>
                <w:rFonts w:hint="eastAsia"/>
                <w:color w:val="404040" w:themeColor="text1" w:themeTint="BF"/>
              </w:rPr>
            </w:pPr>
            <w:r>
              <w:rPr>
                <w:color w:val="404040" w:themeColor="text1" w:themeTint="BF"/>
              </w:rPr>
              <w:t>Extrato de Camomila..............................5%</w:t>
            </w:r>
          </w:p>
        </w:tc>
      </w:tr>
      <w:tr w:rsidR="00CD65C2" w14:paraId="22B43D68"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3B7F163" w14:textId="2954D9D8" w:rsidR="00CD65C2" w:rsidRDefault="00FA41FC">
            <w:pPr>
              <w:pStyle w:val="Corpo"/>
              <w:rPr>
                <w:rFonts w:hint="eastAsia"/>
                <w:color w:val="404040" w:themeColor="text1" w:themeTint="BF"/>
              </w:rPr>
            </w:pPr>
            <w:r>
              <w:rPr>
                <w:color w:val="404040" w:themeColor="text1" w:themeTint="BF"/>
              </w:rPr>
              <w:t>Gel Vaginal q.s.p. ...............................50 g</w:t>
            </w:r>
          </w:p>
        </w:tc>
      </w:tr>
    </w:tbl>
    <w:p w14:paraId="77A47B78" w14:textId="77777777" w:rsidR="00CD65C2" w:rsidRDefault="00FA41FC">
      <w:pPr>
        <w:pStyle w:val="Corpo"/>
        <w:ind w:right="4762"/>
        <w:jc w:val="center"/>
        <w:rPr>
          <w:rFonts w:hint="eastAsia"/>
          <w:color w:val="404040" w:themeColor="text1" w:themeTint="BF"/>
          <w:sz w:val="22"/>
          <w:szCs w:val="22"/>
        </w:rPr>
      </w:pPr>
      <w:r>
        <w:rPr>
          <w:color w:val="404040" w:themeColor="text1" w:themeTint="BF"/>
          <w:sz w:val="22"/>
          <w:szCs w:val="22"/>
        </w:rPr>
        <w:t>Aplicar uma dose ao dia ou conforme orientação médica.</w:t>
      </w:r>
    </w:p>
    <w:p w14:paraId="7C21AFBD" w14:textId="77777777" w:rsidR="00CD65C2" w:rsidRDefault="00CD65C2">
      <w:pPr>
        <w:pStyle w:val="SemEspaamento"/>
      </w:pPr>
    </w:p>
    <w:p w14:paraId="335FDD52" w14:textId="77777777" w:rsidR="00CD65C2" w:rsidRDefault="00CD65C2">
      <w:pPr>
        <w:pStyle w:val="SemEspaamento"/>
      </w:pPr>
    </w:p>
    <w:p w14:paraId="7FBA6FC6" w14:textId="77777777" w:rsidR="00CD65C2" w:rsidRDefault="00CD65C2">
      <w:pPr>
        <w:pStyle w:val="SemEspaamento"/>
      </w:pPr>
    </w:p>
    <w:p w14:paraId="2E5EE8BB" w14:textId="77777777" w:rsidR="00CD65C2" w:rsidRDefault="00CD65C2">
      <w:pPr>
        <w:pStyle w:val="SemEspaamento"/>
      </w:pPr>
    </w:p>
    <w:p w14:paraId="0A1313B2" w14:textId="77777777" w:rsidR="00CD65C2" w:rsidRDefault="00CD65C2">
      <w:pPr>
        <w:pStyle w:val="SemEspaamento"/>
      </w:pPr>
    </w:p>
    <w:p w14:paraId="18E74B43" w14:textId="77777777" w:rsidR="00CD65C2" w:rsidRDefault="00CD65C2">
      <w:pPr>
        <w:pStyle w:val="SemEspaamento"/>
      </w:pPr>
    </w:p>
    <w:p w14:paraId="7C3F1AA2" w14:textId="77777777" w:rsidR="00CD65C2" w:rsidRDefault="00CD65C2">
      <w:pPr>
        <w:pStyle w:val="SemEspaamento"/>
      </w:pPr>
    </w:p>
    <w:p w14:paraId="1BEDBC21" w14:textId="77777777" w:rsidR="00CD65C2" w:rsidRDefault="00CD65C2">
      <w:pPr>
        <w:pStyle w:val="SemEspaamento"/>
      </w:pPr>
    </w:p>
    <w:p w14:paraId="0A56FA76" w14:textId="77777777" w:rsidR="00CD65C2" w:rsidRDefault="00CD65C2">
      <w:pPr>
        <w:pStyle w:val="SemEspaamento"/>
      </w:pPr>
    </w:p>
    <w:p w14:paraId="45D32462" w14:textId="77777777" w:rsidR="00CD65C2" w:rsidRDefault="00CD65C2">
      <w:pPr>
        <w:pStyle w:val="SemEspaamento"/>
      </w:pPr>
    </w:p>
    <w:p w14:paraId="5027A130" w14:textId="77777777" w:rsidR="00CD65C2" w:rsidRDefault="00CD65C2">
      <w:pPr>
        <w:pStyle w:val="SemEspaamento"/>
      </w:pPr>
    </w:p>
    <w:p w14:paraId="1B5F8342" w14:textId="77777777" w:rsidR="00CD65C2" w:rsidRDefault="00CD65C2">
      <w:pPr>
        <w:pStyle w:val="SemEspaamento"/>
      </w:pPr>
    </w:p>
    <w:p w14:paraId="3A3B4621" w14:textId="77777777" w:rsidR="00CD65C2" w:rsidRDefault="00CD65C2">
      <w:pPr>
        <w:pStyle w:val="SemEspaamento"/>
      </w:pPr>
    </w:p>
    <w:p w14:paraId="0EFE40F3" w14:textId="77777777" w:rsidR="00CD65C2" w:rsidRDefault="00CD65C2">
      <w:pPr>
        <w:pStyle w:val="SemEspaamento"/>
      </w:pPr>
    </w:p>
    <w:p w14:paraId="4B0E5F67" w14:textId="77777777" w:rsidR="00CD65C2" w:rsidRDefault="00CD65C2">
      <w:pPr>
        <w:pStyle w:val="SemEspaamento"/>
      </w:pPr>
    </w:p>
    <w:p w14:paraId="016EC3F2" w14:textId="77777777" w:rsidR="00CD65C2" w:rsidRDefault="00CD65C2">
      <w:pPr>
        <w:pStyle w:val="SemEspaamento"/>
      </w:pPr>
    </w:p>
    <w:p w14:paraId="115FC002" w14:textId="77777777" w:rsidR="00CD65C2" w:rsidRDefault="00CD65C2">
      <w:pPr>
        <w:pStyle w:val="SemEspaamento"/>
      </w:pPr>
    </w:p>
    <w:p w14:paraId="2155BCD5" w14:textId="77777777" w:rsidR="00CD65C2" w:rsidRDefault="00CD65C2">
      <w:pPr>
        <w:pStyle w:val="SemEspaamento"/>
      </w:pPr>
    </w:p>
    <w:p w14:paraId="713A0DE2" w14:textId="77777777" w:rsidR="00CD65C2" w:rsidRDefault="00CD65C2">
      <w:pPr>
        <w:pStyle w:val="SemEspaamento"/>
      </w:pPr>
    </w:p>
    <w:p w14:paraId="5B3378C5" w14:textId="77777777" w:rsidR="00CD65C2" w:rsidRDefault="00CD65C2">
      <w:pPr>
        <w:pStyle w:val="SemEspaamento"/>
      </w:pPr>
    </w:p>
    <w:p w14:paraId="60AD01BE" w14:textId="77777777" w:rsidR="00CD65C2" w:rsidRDefault="00CD65C2">
      <w:pPr>
        <w:pStyle w:val="SemEspaamento"/>
      </w:pPr>
    </w:p>
    <w:p w14:paraId="6828D09B" w14:textId="77777777" w:rsidR="00CD65C2" w:rsidRDefault="00CD65C2">
      <w:pPr>
        <w:pStyle w:val="SemEspaamento"/>
      </w:pPr>
    </w:p>
    <w:p w14:paraId="00D7AA72" w14:textId="77777777" w:rsidR="00CD65C2" w:rsidRDefault="00CD65C2">
      <w:pPr>
        <w:pStyle w:val="SemEspaamento"/>
      </w:pPr>
    </w:p>
    <w:p w14:paraId="6CB28C9C" w14:textId="77777777" w:rsidR="00CD65C2" w:rsidRDefault="00CD65C2">
      <w:pPr>
        <w:pStyle w:val="SemEspaamento"/>
      </w:pPr>
    </w:p>
    <w:p w14:paraId="18C93B88" w14:textId="77777777" w:rsidR="00CD65C2" w:rsidRDefault="00CD65C2">
      <w:pPr>
        <w:pStyle w:val="SemEspaamento"/>
      </w:pPr>
    </w:p>
    <w:p w14:paraId="7AFD7CFC" w14:textId="77777777" w:rsidR="00CD65C2" w:rsidRDefault="00CD65C2">
      <w:pPr>
        <w:pStyle w:val="SemEspaamento"/>
      </w:pPr>
    </w:p>
    <w:p w14:paraId="69B0D2AB" w14:textId="77777777" w:rsidR="00CD65C2" w:rsidRDefault="00CD65C2">
      <w:pPr>
        <w:pStyle w:val="SemEspaamento"/>
      </w:pPr>
    </w:p>
    <w:p w14:paraId="3F8EE587" w14:textId="77777777" w:rsidR="00CD65C2" w:rsidRDefault="00CD65C2">
      <w:pPr>
        <w:pStyle w:val="SemEspaamento"/>
      </w:pPr>
    </w:p>
    <w:p w14:paraId="68084C19" w14:textId="77777777" w:rsidR="00CD65C2" w:rsidRDefault="00CD65C2">
      <w:pPr>
        <w:pStyle w:val="SemEspaamento"/>
      </w:pPr>
    </w:p>
    <w:p w14:paraId="215C560B" w14:textId="77777777" w:rsidR="00CD65C2" w:rsidRDefault="00FA41FC">
      <w:pPr>
        <w:pStyle w:val="Ttulo1"/>
        <w:jc w:val="center"/>
        <w:rPr>
          <w:rFonts w:hint="eastAsia"/>
        </w:rPr>
      </w:pPr>
      <w:bookmarkStart w:id="131" w:name="_Toc165537279"/>
      <w:r>
        <w:rPr>
          <w:bCs/>
          <w:iCs/>
        </w:rPr>
        <w:t>Estriol</w:t>
      </w:r>
      <w:bookmarkEnd w:id="131"/>
    </w:p>
    <w:p w14:paraId="6E5D9A3E" w14:textId="77777777" w:rsidR="00CD65C2" w:rsidRPr="00D1428E" w:rsidRDefault="00FA41FC">
      <w:pPr>
        <w:pStyle w:val="Corpo"/>
        <w:spacing w:after="120"/>
        <w:jc w:val="center"/>
        <w:rPr>
          <w:rFonts w:hint="eastAsia"/>
          <w:b/>
          <w:color w:val="0070C0"/>
          <w:sz w:val="40"/>
        </w:rPr>
      </w:pPr>
      <w:r w:rsidRPr="00D1428E">
        <w:rPr>
          <w:b/>
          <w:color w:val="0070C0"/>
          <w:sz w:val="40"/>
        </w:rPr>
        <w:t>Baixa Dose de Estriol Reverte os Efeitos da Atrofia Vaginal</w:t>
      </w:r>
    </w:p>
    <w:p w14:paraId="17F329D9" w14:textId="77777777" w:rsidR="00CD65C2" w:rsidRDefault="00CD65C2">
      <w:pPr>
        <w:pStyle w:val="Corpo"/>
        <w:spacing w:after="120"/>
        <w:rPr>
          <w:rFonts w:hint="eastAsia"/>
          <w:color w:val="404040" w:themeColor="text1" w:themeTint="BF"/>
          <w:sz w:val="24"/>
        </w:rPr>
      </w:pPr>
    </w:p>
    <w:p w14:paraId="66991DE8" w14:textId="3735F8EE" w:rsidR="00CD65C2" w:rsidRDefault="00FA41FC">
      <w:pPr>
        <w:pStyle w:val="Corpo"/>
        <w:spacing w:after="120"/>
        <w:rPr>
          <w:rFonts w:hint="eastAsia"/>
          <w:color w:val="404040" w:themeColor="text1" w:themeTint="BF"/>
          <w:sz w:val="24"/>
        </w:rPr>
      </w:pPr>
      <w:r>
        <w:rPr>
          <w:color w:val="404040" w:themeColor="text1" w:themeTint="BF"/>
          <w:sz w:val="24"/>
        </w:rPr>
        <w:t xml:space="preserve">Um estudo conduzido por Hirschberg </w:t>
      </w:r>
      <w:r>
        <w:rPr>
          <w:i/>
          <w:color w:val="404040" w:themeColor="text1" w:themeTint="BF"/>
          <w:sz w:val="24"/>
        </w:rPr>
        <w:t>et al.</w:t>
      </w:r>
      <w:r>
        <w:rPr>
          <w:color w:val="404040" w:themeColor="text1" w:themeTint="BF"/>
          <w:sz w:val="24"/>
        </w:rPr>
        <w:t xml:space="preserve"> (2020) teve como objetivo medir a eficácia e segurança de doses ultra baixas de estriol em gel vaginal em mulheres com câncer de mama recebendo inibidores da aromatase e que apresentam sinais e sintomas vulvovaginais.</w:t>
      </w:r>
    </w:p>
    <w:p w14:paraId="1B1D3057"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896832" behindDoc="0" locked="0" layoutInCell="1" allowOverlap="1">
                <wp:simplePos x="0" y="0"/>
                <wp:positionH relativeFrom="margin">
                  <wp:posOffset>-12065</wp:posOffset>
                </wp:positionH>
                <wp:positionV relativeFrom="paragraph">
                  <wp:posOffset>77470</wp:posOffset>
                </wp:positionV>
                <wp:extent cx="5735955" cy="696595"/>
                <wp:effectExtent l="0" t="0" r="17780" b="27305"/>
                <wp:wrapNone/>
                <wp:docPr id="739657790" name="Caixa de texto 739657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781" cy="696685"/>
                        </a:xfrm>
                        <a:prstGeom prst="rect">
                          <a:avLst/>
                        </a:prstGeom>
                        <a:solidFill>
                          <a:schemeClr val="bg1">
                            <a:lumMod val="100000"/>
                            <a:lumOff val="0"/>
                          </a:schemeClr>
                        </a:solidFill>
                        <a:ln w="9525">
                          <a:solidFill>
                            <a:srgbClr val="0070C0"/>
                          </a:solidFill>
                          <a:miter lim="800000"/>
                        </a:ln>
                      </wps:spPr>
                      <wps:txbx>
                        <w:txbxContent>
                          <w:p w14:paraId="6C86C025" w14:textId="2E0DFE89" w:rsidR="00FA41FC" w:rsidRDefault="00FA41FC">
                            <w:pPr>
                              <w:jc w:val="center"/>
                              <w:rPr>
                                <w:rFonts w:ascii="Swis721 Th BT" w:hAnsi="Swis721 Th BT"/>
                                <w:sz w:val="23"/>
                                <w:szCs w:val="23"/>
                              </w:rPr>
                            </w:pPr>
                            <w:r>
                              <w:rPr>
                                <w:rFonts w:ascii="Swis721 Th BT" w:hAnsi="Swis721 Th BT"/>
                                <w:sz w:val="23"/>
                                <w:szCs w:val="23"/>
                              </w:rPr>
                              <w:t>Assim, 61 mulheres com média de idade de 59 anos foram selecionadas para participarem deste estudo clínico, randomizado, duplo-cego e placebo-controlado. Elas foram divididas em dois grupos para receberem por 12 semanas a seguinte posologia:</w:t>
                            </w:r>
                          </w:p>
                          <w:p w14:paraId="08863279"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790" o:spid="_x0000_s1195" type="#_x0000_t202" style="position:absolute;left:0;text-align:left;margin-left:-.95pt;margin-top:6.1pt;width:451.65pt;height:54.85pt;z-index:2518968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" fillcolor="white [3212]" strokecolor="#0070c0">
                <v:textbox>
                  <w:txbxContent>
                    <w:p w14:paraId="6C86C025" w14:textId="2E0DFE89" w:rsidR="00FA41FC" w:rsidRDefault="00FA41FC">
                      <w:pPr>
                        <w:jc w:val="center"/>
                        <w:rPr>
                          <w:rFonts w:ascii="Swis721 Th BT" w:hAnsi="Swis721 Th BT"/>
                          <w:sz w:val="23"/>
                          <w:szCs w:val="23"/>
                        </w:rPr>
                      </w:pPr>
                      <w:r>
                        <w:rPr>
                          <w:rFonts w:ascii="Swis721 Th BT" w:hAnsi="Swis721 Th BT"/>
                          <w:sz w:val="23"/>
                          <w:szCs w:val="23"/>
                        </w:rPr>
                        <w:t>Assim, 61 mulheres com média de idade de 59 anos foram selecionadas para participarem deste estudo clínico, randomizado, duplo-cego e placebo-controlado. Elas foram divididas em dois grupos para receberem por 12 semanas a seguinte posologia:</w:t>
                      </w:r>
                    </w:p>
                    <w:p w14:paraId="08863279"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1F4AF625" w14:textId="77777777" w:rsidR="00CD65C2" w:rsidRDefault="00CD65C2">
      <w:pPr>
        <w:pStyle w:val="Corpo"/>
        <w:rPr>
          <w:rFonts w:hint="eastAsia"/>
          <w:color w:val="404040" w:themeColor="text1" w:themeTint="BF"/>
        </w:rPr>
      </w:pPr>
    </w:p>
    <w:p w14:paraId="19D1A709" w14:textId="77777777" w:rsidR="00CD65C2" w:rsidRDefault="00CD65C2">
      <w:pPr>
        <w:pStyle w:val="Corpo"/>
        <w:rPr>
          <w:rFonts w:hint="eastAsia"/>
          <w:color w:val="404040" w:themeColor="text1" w:themeTint="BF"/>
        </w:rPr>
      </w:pPr>
    </w:p>
    <w:p w14:paraId="1B01C396"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895808" behindDoc="0" locked="0" layoutInCell="1" allowOverlap="1">
                <wp:simplePos x="0" y="0"/>
                <wp:positionH relativeFrom="column">
                  <wp:posOffset>3274060</wp:posOffset>
                </wp:positionH>
                <wp:positionV relativeFrom="paragraph">
                  <wp:posOffset>86995</wp:posOffset>
                </wp:positionV>
                <wp:extent cx="2448560" cy="1153795"/>
                <wp:effectExtent l="0" t="0" r="27940" b="27940"/>
                <wp:wrapNone/>
                <wp:docPr id="739657793" name="Caixa de texto 7396577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8741" cy="1153704"/>
                        </a:xfrm>
                        <a:prstGeom prst="rect">
                          <a:avLst/>
                        </a:prstGeom>
                        <a:solidFill>
                          <a:srgbClr val="0070C0"/>
                        </a:solidFill>
                        <a:ln w="9525">
                          <a:solidFill>
                            <a:srgbClr val="0070C0"/>
                          </a:solidFill>
                          <a:miter lim="800000"/>
                        </a:ln>
                      </wps:spPr>
                      <wps:txbx>
                        <w:txbxContent>
                          <w:p w14:paraId="24498A5F"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344E16EF" w14:textId="77777777" w:rsidR="00FA41FC" w:rsidRDefault="00FA41FC">
                            <w:pPr>
                              <w:spacing w:after="0" w:line="240" w:lineRule="auto"/>
                              <w:jc w:val="center"/>
                              <w:rPr>
                                <w:rFonts w:ascii="Swis721 Th BT" w:hAnsi="Swis721 Th BT"/>
                                <w:bCs/>
                                <w:color w:val="FFFFFF" w:themeColor="background1"/>
                                <w:sz w:val="23"/>
                                <w:szCs w:val="23"/>
                              </w:rPr>
                            </w:pPr>
                          </w:p>
                          <w:p w14:paraId="32D2A00C"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14:paraId="5552C24D" w14:textId="77777777" w:rsidR="00FA41FC" w:rsidRDefault="00FA41FC">
                            <w:pPr>
                              <w:spacing w:after="0" w:line="240" w:lineRule="auto"/>
                              <w:jc w:val="center"/>
                              <w:rPr>
                                <w:rFonts w:ascii="Swis721 Th BT" w:hAnsi="Swis721 Th BT"/>
                                <w:b/>
                                <w:color w:val="FFFFFF" w:themeColor="background1"/>
                                <w:sz w:val="12"/>
                                <w:szCs w:val="12"/>
                              </w:rPr>
                            </w:pPr>
                          </w:p>
                          <w:p w14:paraId="62F4EAEC" w14:textId="77777777" w:rsidR="00FA41FC" w:rsidRDefault="00FA41FC">
                            <w:pPr>
                              <w:spacing w:after="0" w:line="240" w:lineRule="auto"/>
                              <w:jc w:val="center"/>
                              <w:rPr>
                                <w:rFonts w:ascii="Swis721 Th BT" w:hAnsi="Swis721 Th BT"/>
                                <w:b/>
                                <w:color w:val="FFFFFF" w:themeColor="background1"/>
                                <w:sz w:val="23"/>
                                <w:szCs w:val="23"/>
                              </w:rPr>
                            </w:pPr>
                          </w:p>
                          <w:p w14:paraId="68E54F9A" w14:textId="77777777" w:rsidR="00FA41FC" w:rsidRDefault="00FA41FC">
                            <w:pPr>
                              <w:spacing w:after="0" w:line="240" w:lineRule="auto"/>
                              <w:jc w:val="center"/>
                              <w:rPr>
                                <w:rFonts w:ascii="Swis721 Th BT" w:hAnsi="Swis721 Th BT"/>
                                <w:b/>
                                <w:color w:val="FFFFFF" w:themeColor="background1"/>
                                <w:sz w:val="12"/>
                                <w:szCs w:val="12"/>
                              </w:rPr>
                            </w:pPr>
                          </w:p>
                          <w:p w14:paraId="402BA80D" w14:textId="77777777" w:rsidR="00FA41FC" w:rsidRDefault="00FA41FC"/>
                        </w:txbxContent>
                      </wps:txbx>
                      <wps:bodyPr rot="0" vert="horz" wrap="square" lIns="91440" tIns="45720" rIns="91440" bIns="45720" anchor="t" anchorCtr="0" upright="1">
                        <a:noAutofit/>
                      </wps:bodyPr>
                    </wps:wsp>
                  </a:graphicData>
                </a:graphic>
              </wp:anchor>
            </w:drawing>
          </mc:Choice>
          <mc:Fallback>
            <w:pict>
              <v:shape id="Caixa de texto 739657793" o:spid="_x0000_s1196" type="#_x0000_t202" style="position:absolute;left:0;text-align:left;margin-left:257.8pt;margin-top:6.85pt;width:192.8pt;height:90.85pt;z-index:251895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" fillcolor="#0070c0" strokecolor="#0070c0">
                <v:textbox>
                  <w:txbxContent>
                    <w:p w14:paraId="24498A5F"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344E16EF" w14:textId="77777777" w:rsidR="00FA41FC" w:rsidRDefault="00FA41FC">
                      <w:pPr>
                        <w:spacing w:after="0" w:line="240" w:lineRule="auto"/>
                        <w:jc w:val="center"/>
                        <w:rPr>
                          <w:rFonts w:ascii="Swis721 Th BT" w:hAnsi="Swis721 Th BT"/>
                          <w:bCs/>
                          <w:color w:val="FFFFFF" w:themeColor="background1"/>
                          <w:sz w:val="23"/>
                          <w:szCs w:val="23"/>
                        </w:rPr>
                      </w:pPr>
                    </w:p>
                    <w:p w14:paraId="32D2A00C"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14:paraId="5552C24D" w14:textId="77777777" w:rsidR="00FA41FC" w:rsidRDefault="00FA41FC">
                      <w:pPr>
                        <w:spacing w:after="0" w:line="240" w:lineRule="auto"/>
                        <w:jc w:val="center"/>
                        <w:rPr>
                          <w:rFonts w:ascii="Swis721 Th BT" w:hAnsi="Swis721 Th BT"/>
                          <w:b/>
                          <w:color w:val="FFFFFF" w:themeColor="background1"/>
                          <w:sz w:val="12"/>
                          <w:szCs w:val="12"/>
                        </w:rPr>
                      </w:pPr>
                    </w:p>
                    <w:p w14:paraId="62F4EAEC" w14:textId="77777777" w:rsidR="00FA41FC" w:rsidRDefault="00FA41FC">
                      <w:pPr>
                        <w:spacing w:after="0" w:line="240" w:lineRule="auto"/>
                        <w:jc w:val="center"/>
                        <w:rPr>
                          <w:rFonts w:ascii="Swis721 Th BT" w:hAnsi="Swis721 Th BT"/>
                          <w:b/>
                          <w:color w:val="FFFFFF" w:themeColor="background1"/>
                          <w:sz w:val="23"/>
                          <w:szCs w:val="23"/>
                        </w:rPr>
                      </w:pPr>
                    </w:p>
                    <w:p w14:paraId="68E54F9A" w14:textId="77777777" w:rsidR="00FA41FC" w:rsidRDefault="00FA41FC">
                      <w:pPr>
                        <w:spacing w:after="0" w:line="240" w:lineRule="auto"/>
                        <w:jc w:val="center"/>
                        <w:rPr>
                          <w:rFonts w:ascii="Swis721 Th BT" w:hAnsi="Swis721 Th BT"/>
                          <w:b/>
                          <w:color w:val="FFFFFF" w:themeColor="background1"/>
                          <w:sz w:val="12"/>
                          <w:szCs w:val="12"/>
                        </w:rPr>
                      </w:pPr>
                    </w:p>
                    <w:p w14:paraId="402BA80D" w14:textId="77777777" w:rsidR="00FA41FC" w:rsidRDefault="00FA41FC"/>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894784" behindDoc="0" locked="0" layoutInCell="1" allowOverlap="1">
                <wp:simplePos x="0" y="0"/>
                <wp:positionH relativeFrom="column">
                  <wp:posOffset>-1905</wp:posOffset>
                </wp:positionH>
                <wp:positionV relativeFrom="paragraph">
                  <wp:posOffset>76200</wp:posOffset>
                </wp:positionV>
                <wp:extent cx="2406015" cy="1164590"/>
                <wp:effectExtent l="0" t="0" r="13970" b="16510"/>
                <wp:wrapNone/>
                <wp:docPr id="739657794" name="Caixa de texto 739657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5743" cy="1164772"/>
                        </a:xfrm>
                        <a:prstGeom prst="rect">
                          <a:avLst/>
                        </a:prstGeom>
                        <a:solidFill>
                          <a:srgbClr val="0070C0"/>
                        </a:solidFill>
                        <a:ln w="9525">
                          <a:solidFill>
                            <a:srgbClr val="0070C0"/>
                          </a:solidFill>
                          <a:miter lim="800000"/>
                        </a:ln>
                      </wps:spPr>
                      <wps:txbx>
                        <w:txbxContent>
                          <w:p w14:paraId="5E39CB31"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Gel intravaginal de estriol a 0,005%</w:t>
                            </w:r>
                          </w:p>
                          <w:p w14:paraId="6A350C96" w14:textId="68163565"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Aplicar 1 vez ao dia durante as primeiras três semanas. Após aplicar duas vezes por semana da semana 4 a 12.</w:t>
                            </w:r>
                          </w:p>
                          <w:p w14:paraId="1030C504"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739657794" o:spid="_x0000_s1197" type="#_x0000_t202" style="position:absolute;left:0;text-align:left;margin-left:-.15pt;margin-top:6pt;width:189.45pt;height:91.7pt;z-index:251894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" fillcolor="#0070c0" strokecolor="#0070c0">
                <v:textbox>
                  <w:txbxContent>
                    <w:p w14:paraId="5E39CB31"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Gel intravaginal de estriol a 0,005%</w:t>
                      </w:r>
                    </w:p>
                    <w:p w14:paraId="6A350C96" w14:textId="68163565"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Aplicar 1 vez ao dia durante as primeiras três semanas. Após aplicar duas vezes por semana da semana 4 a 12.</w:t>
                      </w:r>
                    </w:p>
                    <w:p w14:paraId="1030C504"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p>
    <w:p w14:paraId="3A02DADC" w14:textId="77777777" w:rsidR="00CD65C2" w:rsidRDefault="00CD65C2">
      <w:pPr>
        <w:pStyle w:val="Corpo"/>
        <w:rPr>
          <w:rFonts w:hint="eastAsia"/>
          <w:color w:val="404040" w:themeColor="text1" w:themeTint="BF"/>
        </w:rPr>
      </w:pPr>
    </w:p>
    <w:p w14:paraId="1A92EA70" w14:textId="77777777" w:rsidR="00CD65C2" w:rsidRDefault="00CD65C2">
      <w:pPr>
        <w:pStyle w:val="Corpo"/>
        <w:rPr>
          <w:rFonts w:hint="eastAsia"/>
          <w:color w:val="404040" w:themeColor="text1" w:themeTint="BF"/>
        </w:rPr>
      </w:pPr>
    </w:p>
    <w:p w14:paraId="11388D3A" w14:textId="77777777" w:rsidR="00CD65C2" w:rsidRDefault="00CD65C2">
      <w:pPr>
        <w:pStyle w:val="Corpo"/>
        <w:rPr>
          <w:rFonts w:hint="eastAsia"/>
          <w:color w:val="404040" w:themeColor="text1" w:themeTint="BF"/>
        </w:rPr>
      </w:pPr>
    </w:p>
    <w:p w14:paraId="418EA8EF" w14:textId="77777777" w:rsidR="00CD65C2" w:rsidRDefault="00CD65C2">
      <w:pPr>
        <w:pStyle w:val="Corpo"/>
        <w:rPr>
          <w:rFonts w:hint="eastAsia"/>
          <w:color w:val="404040" w:themeColor="text1" w:themeTint="BF"/>
        </w:rPr>
      </w:pPr>
    </w:p>
    <w:p w14:paraId="18F3C1E0" w14:textId="77777777" w:rsidR="00CD65C2" w:rsidRDefault="00CD65C2">
      <w:pPr>
        <w:pStyle w:val="Corpo"/>
        <w:rPr>
          <w:rFonts w:hint="eastAsia"/>
          <w:color w:val="404040" w:themeColor="text1" w:themeTint="BF"/>
        </w:rPr>
      </w:pPr>
    </w:p>
    <w:p w14:paraId="5A617B2D" w14:textId="77777777" w:rsidR="00CD65C2" w:rsidRDefault="00CD65C2">
      <w:pPr>
        <w:pStyle w:val="Corpo"/>
        <w:rPr>
          <w:rFonts w:hint="eastAsia"/>
          <w:color w:val="404040" w:themeColor="text1" w:themeTint="BF"/>
        </w:rPr>
      </w:pPr>
    </w:p>
    <w:p w14:paraId="68BF4E27" w14:textId="77777777" w:rsidR="00CD65C2" w:rsidRDefault="00FA41FC" w:rsidP="00D1428E">
      <w:pPr>
        <w:pStyle w:val="Corpo"/>
        <w:numPr>
          <w:ilvl w:val="0"/>
          <w:numId w:val="49"/>
        </w:numPr>
        <w:rPr>
          <w:rFonts w:hint="eastAsia"/>
          <w:b/>
          <w:color w:val="404040" w:themeColor="text1" w:themeTint="BF"/>
          <w:sz w:val="20"/>
          <w:szCs w:val="20"/>
        </w:rPr>
      </w:pPr>
      <w:r>
        <w:rPr>
          <w:color w:val="404040" w:themeColor="text1" w:themeTint="BF"/>
          <w:sz w:val="20"/>
          <w:szCs w:val="20"/>
        </w:rPr>
        <w:t xml:space="preserve">A maturação vaginal, o pH da vagina e os escoes que medem os sinais e sintomas da atrofia vaginal foram medidos na linha de base e nas semanas 3 e 12. A função sexual foi avaliada através do </w:t>
      </w:r>
      <w:r>
        <w:rPr>
          <w:i/>
          <w:color w:val="404040" w:themeColor="text1" w:themeTint="BF"/>
          <w:sz w:val="20"/>
          <w:szCs w:val="20"/>
        </w:rPr>
        <w:t>Female Sexual Functioning Index</w:t>
      </w:r>
      <w:r>
        <w:rPr>
          <w:color w:val="404040" w:themeColor="text1" w:themeTint="BF"/>
          <w:sz w:val="20"/>
          <w:szCs w:val="20"/>
        </w:rPr>
        <w:t xml:space="preserve"> (FSFI) e os estrógenos circulantes foram medidos o LH (hormônio luteinizante) e o hormônio folículo estimulante (FSH).</w:t>
      </w:r>
    </w:p>
    <w:p w14:paraId="0E262216" w14:textId="77777777" w:rsidR="00CD65C2" w:rsidRDefault="00CD65C2">
      <w:pPr>
        <w:pStyle w:val="Corpo"/>
        <w:rPr>
          <w:rFonts w:hint="eastAsia"/>
          <w:color w:val="404040" w:themeColor="text1" w:themeTint="BF"/>
        </w:rPr>
      </w:pPr>
    </w:p>
    <w:p w14:paraId="67F65964"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70D04264" w14:textId="77777777" w:rsidR="00CD65C2" w:rsidRDefault="00CD65C2">
      <w:pPr>
        <w:pStyle w:val="Corpo"/>
        <w:rPr>
          <w:rFonts w:hint="eastAsia"/>
          <w:color w:val="404040" w:themeColor="text1" w:themeTint="BF"/>
          <w:sz w:val="16"/>
          <w:szCs w:val="16"/>
        </w:rPr>
      </w:pPr>
    </w:p>
    <w:p w14:paraId="008FFA35" w14:textId="77777777" w:rsidR="00CD65C2" w:rsidRDefault="00FA41FC">
      <w:pPr>
        <w:pStyle w:val="Corpo"/>
        <w:numPr>
          <w:ilvl w:val="0"/>
          <w:numId w:val="5"/>
        </w:numPr>
        <w:spacing w:after="0"/>
        <w:ind w:right="4109"/>
        <w:rPr>
          <w:rFonts w:hint="eastAsia"/>
          <w:color w:val="404040" w:themeColor="text1" w:themeTint="BF"/>
          <w:szCs w:val="23"/>
        </w:rPr>
      </w:pPr>
      <w:r>
        <w:rPr>
          <w:noProof/>
          <w:color w:val="404040" w:themeColor="text1" w:themeTint="BF"/>
          <w:szCs w:val="23"/>
          <w:lang w:eastAsia="pt-BR"/>
        </w:rPr>
        <mc:AlternateContent>
          <mc:Choice Requires="wps">
            <w:drawing>
              <wp:anchor distT="0" distB="0" distL="114300" distR="114300" simplePos="0" relativeHeight="251897856" behindDoc="0" locked="0" layoutInCell="1" allowOverlap="1">
                <wp:simplePos x="0" y="0"/>
                <wp:positionH relativeFrom="column">
                  <wp:posOffset>3369310</wp:posOffset>
                </wp:positionH>
                <wp:positionV relativeFrom="paragraph">
                  <wp:posOffset>41275</wp:posOffset>
                </wp:positionV>
                <wp:extent cx="2980690" cy="1516380"/>
                <wp:effectExtent l="10795" t="13970" r="8890" b="12700"/>
                <wp:wrapNone/>
                <wp:docPr id="739657797" name="Caixa de texto 7396577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690" cy="1516380"/>
                        </a:xfrm>
                        <a:prstGeom prst="rect">
                          <a:avLst/>
                        </a:prstGeom>
                        <a:solidFill>
                          <a:schemeClr val="lt1">
                            <a:lumMod val="100000"/>
                            <a:lumOff val="0"/>
                          </a:schemeClr>
                        </a:solidFill>
                        <a:ln w="6350">
                          <a:solidFill>
                            <a:srgbClr val="000000"/>
                          </a:solidFill>
                          <a:miter lim="800000"/>
                        </a:ln>
                      </wps:spPr>
                      <wps:txbx>
                        <w:txbxContent>
                          <w:p w14:paraId="054AB1B3" w14:textId="77777777" w:rsidR="00FA41FC" w:rsidRDefault="00FA41FC">
                            <w:r>
                              <w:rPr>
                                <w:noProof/>
                                <w:lang w:eastAsia="pt-BR"/>
                              </w:rPr>
                              <w:drawing>
                                <wp:inline distT="0" distB="0" distL="0" distR="0">
                                  <wp:extent cx="2790825" cy="1419225"/>
                                  <wp:effectExtent l="0" t="0" r="0" b="0"/>
                                  <wp:docPr id="739657795" name="Imagem 739657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657795" name="Imagem 739657795"/>
                                          <pic:cNvPicPr>
                                            <a:picLocks noChangeAspect="1" noChangeArrowheads="1"/>
                                          </pic:cNvPicPr>
                                        </pic:nvPicPr>
                                        <pic:blipFill>
                                          <a:blip r:embed="rId16"/>
                                          <a:srcRect/>
                                          <a:stretch>
                                            <a:fillRect/>
                                          </a:stretch>
                                        </pic:blipFill>
                                        <pic:spPr>
                                          <a:xfrm>
                                            <a:off x="0" y="0"/>
                                            <a:ext cx="2790825" cy="141922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noAutofit/>
                      </wps:bodyPr>
                    </wps:wsp>
                  </a:graphicData>
                </a:graphic>
              </wp:anchor>
            </w:drawing>
          </mc:Choice>
          <mc:Fallback>
            <w:pict>
              <v:shape id="Caixa de texto 739657797" o:spid="_x0000_s1198" type="#_x0000_t202" style="position:absolute;left:0;text-align:left;margin-left:265.3pt;margin-top:3.25pt;width:234.7pt;height:119.4pt;z-index:2518978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" fillcolor="white [3201]" strokeweight=".5pt">
                <v:textbox>
                  <w:txbxContent>
                    <w:p w14:paraId="054AB1B3" w14:textId="77777777" w:rsidR="00FA41FC" w:rsidRDefault="00FA41FC">
                      <w:r>
                        <w:rPr>
                          <w:noProof/>
                          <w:lang w:eastAsia="pt-BR"/>
                        </w:rPr>
                        <w:drawing>
                          <wp:inline distT="0" distB="0" distL="0" distR="0">
                            <wp:extent cx="2790825" cy="1419225"/>
                            <wp:effectExtent l="0" t="0" r="0" b="0"/>
                            <wp:docPr id="739657795" name="Imagem 739657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657795" name="Imagem 739657795"/>
                                    <pic:cNvPicPr>
                                      <a:picLocks noChangeAspect="1" noChangeArrowheads="1"/>
                                    </pic:cNvPicPr>
                                  </pic:nvPicPr>
                                  <pic:blipFill>
                                    <a:blip r:embed="rId16"/>
                                    <a:srcRect/>
                                    <a:stretch>
                                      <a:fillRect/>
                                    </a:stretch>
                                  </pic:blipFill>
                                  <pic:spPr>
                                    <a:xfrm>
                                      <a:off x="0" y="0"/>
                                      <a:ext cx="2790825" cy="1419225"/>
                                    </a:xfrm>
                                    <a:prstGeom prst="rect">
                                      <a:avLst/>
                                    </a:prstGeom>
                                    <a:noFill/>
                                    <a:ln w="9525">
                                      <a:noFill/>
                                      <a:miter lim="800000"/>
                                      <a:headEnd/>
                                      <a:tailEnd/>
                                    </a:ln>
                                  </pic:spPr>
                                </pic:pic>
                              </a:graphicData>
                            </a:graphic>
                          </wp:inline>
                        </w:drawing>
                      </w:r>
                    </w:p>
                  </w:txbxContent>
                </v:textbox>
              </v:shape>
            </w:pict>
          </mc:Fallback>
        </mc:AlternateContent>
      </w:r>
      <w:r>
        <w:rPr>
          <w:color w:val="404040" w:themeColor="text1" w:themeTint="BF"/>
          <w:szCs w:val="23"/>
        </w:rPr>
        <w:t>As pacientes do grupo tratamento apresentaram melhora significativa nos valores referentes a maturação celular, pH, secura vaginal e nos escores globais que medem os sinais e sintomas da Atrofia;</w:t>
      </w:r>
    </w:p>
    <w:p w14:paraId="1D8FC100" w14:textId="77777777" w:rsidR="00CD65C2" w:rsidRDefault="00FA41FC" w:rsidP="00D1428E">
      <w:pPr>
        <w:pStyle w:val="Corpo"/>
        <w:numPr>
          <w:ilvl w:val="0"/>
          <w:numId w:val="50"/>
        </w:numPr>
        <w:spacing w:after="0"/>
        <w:ind w:left="284" w:right="4109"/>
        <w:rPr>
          <w:rFonts w:hint="eastAsia"/>
          <w:color w:val="404040" w:themeColor="text1" w:themeTint="BF"/>
          <w:szCs w:val="23"/>
        </w:rPr>
      </w:pPr>
      <w:r>
        <w:rPr>
          <w:color w:val="404040" w:themeColor="text1" w:themeTint="BF"/>
          <w:szCs w:val="23"/>
        </w:rPr>
        <w:t>Houve aumento também no grupo 1 nos escores totais do FSFI;</w:t>
      </w:r>
    </w:p>
    <w:p w14:paraId="2EEBCD7B" w14:textId="77777777" w:rsidR="00CD65C2" w:rsidRDefault="00FA41FC" w:rsidP="00D1428E">
      <w:pPr>
        <w:pStyle w:val="Corpo"/>
        <w:numPr>
          <w:ilvl w:val="0"/>
          <w:numId w:val="50"/>
        </w:numPr>
        <w:spacing w:after="0"/>
        <w:ind w:left="284" w:right="4109"/>
        <w:rPr>
          <w:rFonts w:hint="eastAsia"/>
          <w:color w:val="404040" w:themeColor="text1" w:themeTint="BF"/>
          <w:szCs w:val="23"/>
        </w:rPr>
      </w:pPr>
      <w:r>
        <w:rPr>
          <w:noProof/>
          <w:color w:val="404040" w:themeColor="text1" w:themeTint="BF"/>
          <w:szCs w:val="23"/>
          <w:lang w:eastAsia="pt-BR"/>
        </w:rPr>
        <mc:AlternateContent>
          <mc:Choice Requires="wps">
            <w:drawing>
              <wp:anchor distT="0" distB="0" distL="114300" distR="114300" simplePos="0" relativeHeight="251898880" behindDoc="0" locked="0" layoutInCell="1" allowOverlap="1">
                <wp:simplePos x="0" y="0"/>
                <wp:positionH relativeFrom="column">
                  <wp:posOffset>3354705</wp:posOffset>
                </wp:positionH>
                <wp:positionV relativeFrom="paragraph">
                  <wp:posOffset>339725</wp:posOffset>
                </wp:positionV>
                <wp:extent cx="2974975" cy="914400"/>
                <wp:effectExtent l="5715" t="13970" r="10160" b="5080"/>
                <wp:wrapNone/>
                <wp:docPr id="739657796" name="Caixa de texto 739657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4975" cy="914400"/>
                        </a:xfrm>
                        <a:prstGeom prst="rect">
                          <a:avLst/>
                        </a:prstGeom>
                        <a:solidFill>
                          <a:srgbClr val="FFFFFF"/>
                        </a:solidFill>
                        <a:ln w="9525">
                          <a:solidFill>
                            <a:srgbClr val="000000"/>
                          </a:solidFill>
                          <a:miter lim="800000"/>
                        </a:ln>
                      </wps:spPr>
                      <wps:txbx>
                        <w:txbxContent>
                          <w:p w14:paraId="044915E0" w14:textId="77777777" w:rsidR="00FA41FC" w:rsidRDefault="00FA41FC">
                            <w:pPr>
                              <w:pStyle w:val="Corpo"/>
                              <w:rPr>
                                <w:rFonts w:hint="eastAsia"/>
                                <w:color w:val="404040" w:themeColor="text1" w:themeTint="BF"/>
                                <w:sz w:val="21"/>
                                <w:szCs w:val="21"/>
                              </w:rPr>
                            </w:pPr>
                            <w:r>
                              <w:rPr>
                                <w:color w:val="404040" w:themeColor="text1" w:themeTint="BF"/>
                                <w:sz w:val="21"/>
                                <w:szCs w:val="21"/>
                              </w:rPr>
                              <w:t>Escores dos sintomas relacionados com a atrofia vaginal. A severidade dos sintomas é apresentada nas seguintes escalas de 0 a 3: zero – falta de sintoma, 1 – leve, 2 – moderado, 3 – severo. **P&lt;0,001, * P&lt;0,05</w:t>
                            </w:r>
                          </w:p>
                        </w:txbxContent>
                      </wps:txbx>
                      <wps:bodyPr rot="0" vert="horz" wrap="square" lIns="91440" tIns="45720" rIns="91440" bIns="45720" anchor="t" anchorCtr="0" upright="1">
                        <a:noAutofit/>
                      </wps:bodyPr>
                    </wps:wsp>
                  </a:graphicData>
                </a:graphic>
              </wp:anchor>
            </w:drawing>
          </mc:Choice>
          <mc:Fallback>
            <w:pict>
              <v:shape id="Caixa de texto 739657796" o:spid="_x0000_s1199" type="#_x0000_t202" style="position:absolute;left:0;text-align:left;margin-left:264.15pt;margin-top:26.75pt;width:234.25pt;height:1in;z-index:251898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">
                <v:textbox>
                  <w:txbxContent>
                    <w:p w14:paraId="044915E0" w14:textId="77777777" w:rsidR="00FA41FC" w:rsidRDefault="00FA41FC">
                      <w:pPr>
                        <w:pStyle w:val="Corpo"/>
                        <w:rPr>
                          <w:rFonts w:hint="eastAsia"/>
                          <w:color w:val="404040" w:themeColor="text1" w:themeTint="BF"/>
                          <w:sz w:val="21"/>
                          <w:szCs w:val="21"/>
                        </w:rPr>
                      </w:pPr>
                      <w:r>
                        <w:rPr>
                          <w:color w:val="404040" w:themeColor="text1" w:themeTint="BF"/>
                          <w:sz w:val="21"/>
                          <w:szCs w:val="21"/>
                        </w:rPr>
                        <w:t>Escores dos sintomas relacionados com a atrofia vaginal. A severidade dos sintomas é apresentada nas seguintes escalas de 0 a 3: zero – falta de sintoma, 1 – leve, 2 – moderado, 3 – severo. **P&lt;0,001, * P&lt;0,05</w:t>
                      </w:r>
                    </w:p>
                  </w:txbxContent>
                </v:textbox>
              </v:shape>
            </w:pict>
          </mc:Fallback>
        </mc:AlternateContent>
      </w:r>
      <w:r>
        <w:rPr>
          <w:color w:val="404040" w:themeColor="text1" w:themeTint="BF"/>
          <w:szCs w:val="23"/>
        </w:rPr>
        <w:t>Pequenas oscilações foram observadas nos níveis de FSH e LH, que permaneceram dentro dos padrões para mulheres na pós-menopausa;</w:t>
      </w:r>
    </w:p>
    <w:p w14:paraId="02D8F18B" w14:textId="77777777" w:rsidR="00CD65C2" w:rsidRDefault="00FA41FC" w:rsidP="00D1428E">
      <w:pPr>
        <w:pStyle w:val="Corpo"/>
        <w:numPr>
          <w:ilvl w:val="0"/>
          <w:numId w:val="50"/>
        </w:numPr>
        <w:spacing w:after="0"/>
        <w:ind w:left="284" w:right="4109"/>
        <w:rPr>
          <w:rFonts w:hint="eastAsia"/>
          <w:color w:val="404040" w:themeColor="text1" w:themeTint="BF"/>
          <w:szCs w:val="23"/>
        </w:rPr>
      </w:pPr>
      <w:r>
        <w:rPr>
          <w:color w:val="404040" w:themeColor="text1" w:themeTint="BF"/>
          <w:szCs w:val="23"/>
        </w:rPr>
        <w:t>Os níveis de estriol aumentaram inicialmente e se normalizaram na semana 12, já os níveis de estradiol e estrona permaneceram indetectáveis no decorrer do estudo.</w:t>
      </w:r>
    </w:p>
    <w:p w14:paraId="57B719B1" w14:textId="77777777" w:rsidR="00CD65C2" w:rsidRDefault="00CD65C2">
      <w:pPr>
        <w:pStyle w:val="Corpo"/>
        <w:spacing w:line="276" w:lineRule="auto"/>
        <w:rPr>
          <w:rFonts w:hint="eastAsia"/>
          <w:b/>
          <w:i/>
          <w:color w:val="404040" w:themeColor="text1" w:themeTint="BF"/>
        </w:rPr>
      </w:pPr>
    </w:p>
    <w:p w14:paraId="26617DFC" w14:textId="77777777" w:rsidR="00CD65C2" w:rsidRDefault="00FA41FC">
      <w:pPr>
        <w:pStyle w:val="Ttulo1"/>
        <w:jc w:val="center"/>
        <w:rPr>
          <w:rFonts w:hint="eastAsia"/>
        </w:rPr>
      </w:pPr>
      <w:bookmarkStart w:id="132" w:name="_Toc165537280"/>
      <w:r>
        <w:t>Formulário</w:t>
      </w:r>
      <w:bookmarkEnd w:id="132"/>
    </w:p>
    <w:p w14:paraId="052AFF7F" w14:textId="77777777" w:rsidR="00CD65C2" w:rsidRDefault="00CD65C2">
      <w:pPr>
        <w:pStyle w:val="Corpo"/>
        <w:rPr>
          <w:rFonts w:hint="eastAsia"/>
          <w:b/>
          <w:i/>
          <w:color w:val="404040" w:themeColor="text1" w:themeTint="BF"/>
        </w:rPr>
      </w:pPr>
    </w:p>
    <w:p w14:paraId="5D986188" w14:textId="77777777" w:rsidR="00CD65C2" w:rsidRDefault="00CD65C2">
      <w:pPr>
        <w:pStyle w:val="Corpo"/>
        <w:rPr>
          <w:rFonts w:hint="eastAsia"/>
          <w:b/>
          <w:i/>
          <w:color w:val="404040" w:themeColor="text1" w:themeTint="BF"/>
        </w:rPr>
      </w:pPr>
    </w:p>
    <w:p w14:paraId="39E299AA" w14:textId="77777777" w:rsidR="00CD65C2" w:rsidRDefault="00FA41FC">
      <w:pPr>
        <w:pStyle w:val="Corpo"/>
        <w:spacing w:after="0"/>
        <w:rPr>
          <w:rFonts w:hint="eastAsia"/>
          <w:b/>
          <w:i/>
          <w:color w:val="404040" w:themeColor="text1" w:themeTint="BF"/>
          <w:sz w:val="24"/>
        </w:rPr>
      </w:pPr>
      <w:r>
        <w:rPr>
          <w:b/>
          <w:i/>
          <w:color w:val="404040" w:themeColor="text1" w:themeTint="BF"/>
          <w:sz w:val="24"/>
        </w:rPr>
        <w:t>Estriol em Baixas Doses Reverte a Secura Vaginal, a Dispareunia e o Prurido</w:t>
      </w:r>
    </w:p>
    <w:p w14:paraId="452DE0E1" w14:textId="77777777" w:rsidR="00CD65C2" w:rsidRDefault="00FA41FC">
      <w:pPr>
        <w:pStyle w:val="Corpo"/>
        <w:rPr>
          <w:rFonts w:hint="eastAsia"/>
          <w:color w:val="404040" w:themeColor="text1" w:themeTint="BF"/>
          <w:sz w:val="20"/>
          <w:szCs w:val="20"/>
        </w:rPr>
      </w:pPr>
      <w:r>
        <w:rPr>
          <w:noProof/>
          <w:color w:val="404040" w:themeColor="text1" w:themeTint="BF"/>
          <w:lang w:eastAsia="pt-BR"/>
        </w:rPr>
        <mc:AlternateContent>
          <mc:Choice Requires="wps">
            <w:drawing>
              <wp:anchor distT="45720" distB="45720" distL="114300" distR="114300" simplePos="0" relativeHeight="251899904" behindDoc="1" locked="0" layoutInCell="1" allowOverlap="1">
                <wp:simplePos x="0" y="0"/>
                <wp:positionH relativeFrom="column">
                  <wp:posOffset>3306445</wp:posOffset>
                </wp:positionH>
                <wp:positionV relativeFrom="paragraph">
                  <wp:posOffset>160020</wp:posOffset>
                </wp:positionV>
                <wp:extent cx="2360930" cy="1164590"/>
                <wp:effectExtent l="0" t="0" r="1270" b="0"/>
                <wp:wrapNone/>
                <wp:docPr id="73965779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64771"/>
                        </a:xfrm>
                        <a:prstGeom prst="rect">
                          <a:avLst/>
                        </a:prstGeom>
                        <a:solidFill>
                          <a:schemeClr val="bg1">
                            <a:lumMod val="85000"/>
                          </a:schemeClr>
                        </a:solidFill>
                        <a:ln w="9525">
                          <a:noFill/>
                          <a:miter lim="800000"/>
                        </a:ln>
                      </wps:spPr>
                      <wps:txbx>
                        <w:txbxContent>
                          <w:p w14:paraId="1C3109B5" w14:textId="77777777" w:rsidR="00FA41FC" w:rsidRDefault="00FA41FC">
                            <w:pPr>
                              <w:jc w:val="both"/>
                              <w:rPr>
                                <w:rFonts w:ascii="Swis721 Th BT" w:hAnsi="Swis721 Th BT"/>
                                <w:sz w:val="23"/>
                                <w:szCs w:val="23"/>
                              </w:rPr>
                            </w:pPr>
                            <w:r>
                              <w:rPr>
                                <w:rFonts w:ascii="Swis721 Th BT" w:hAnsi="Swis721 Th BT"/>
                                <w:sz w:val="23"/>
                                <w:szCs w:val="23"/>
                              </w:rPr>
                              <w:t>De acordo com o estudo o hormônio foi usado com aplicador intravaginal calibrado na dose de 1 g de gel por aplicação (contendo 50 mcg de estriol).</w:t>
                            </w:r>
                          </w:p>
                          <w:p w14:paraId="204E1B9B" w14:textId="77777777" w:rsidR="00FA41FC" w:rsidRDefault="00FA41FC"/>
                        </w:txbxContent>
                      </wps:txbx>
                      <wps:bodyPr rot="0" vert="horz" wrap="square" lIns="91440" tIns="45720" rIns="91440" bIns="45720" anchor="t" anchorCtr="0">
                        <a:noAutofit/>
                      </wps:bodyPr>
                    </wps:wsp>
                  </a:graphicData>
                </a:graphic>
                <wp14:sizeRelH relativeFrom="margin">
                  <wp14:pctWidth>40000</wp14:pctWidth>
                </wp14:sizeRelH>
                <wp14:sizeRelV relativeFrom="page">
                  <wp14:pctHeight>0</wp14:pctHeight>
                </wp14:sizeRelV>
              </wp:anchor>
            </w:drawing>
          </mc:Choice>
          <mc:Fallback>
            <w:pict>
              <v:shape id="_x0000_s1200" type="#_x0000_t202" style="position:absolute;left:0;text-align:left;margin-left:260.35pt;margin-top:12.6pt;width:185.9pt;height:91.7pt;z-index:-25141657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" fillcolor="#d8d8d8 [2732]" stroked="f">
                <v:textbox>
                  <w:txbxContent>
                    <w:p w14:paraId="1C3109B5" w14:textId="77777777" w:rsidR="00FA41FC" w:rsidRDefault="00FA41FC">
                      <w:pPr>
                        <w:jc w:val="both"/>
                        <w:rPr>
                          <w:rFonts w:ascii="Swis721 Th BT" w:hAnsi="Swis721 Th BT"/>
                          <w:sz w:val="23"/>
                          <w:szCs w:val="23"/>
                        </w:rPr>
                      </w:pPr>
                      <w:r>
                        <w:rPr>
                          <w:rFonts w:ascii="Swis721 Th BT" w:hAnsi="Swis721 Th BT"/>
                          <w:sz w:val="23"/>
                          <w:szCs w:val="23"/>
                        </w:rPr>
                        <w:t>De acordo com o estudo o hormônio foi usado com aplicador intravaginal calibrado na dose de 1 g de gel por aplicação (contendo 50 mcg de estriol).</w:t>
                      </w:r>
                    </w:p>
                    <w:p w14:paraId="204E1B9B" w14:textId="77777777" w:rsidR="00FA41FC" w:rsidRDefault="00FA41FC"/>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14"/>
      </w:tblGrid>
      <w:tr w:rsidR="00CD65C2" w14:paraId="786EBF46"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6F85BB48" w14:textId="77777777" w:rsidR="00CD65C2" w:rsidRDefault="00FA41FC">
            <w:pPr>
              <w:pStyle w:val="Corpo"/>
              <w:jc w:val="center"/>
              <w:rPr>
                <w:rFonts w:hint="eastAsia"/>
                <w:b/>
                <w:color w:val="FFFFFF" w:themeColor="background1"/>
              </w:rPr>
            </w:pPr>
            <w:r>
              <w:rPr>
                <w:b/>
                <w:color w:val="FFFFFF" w:themeColor="background1"/>
                <w:sz w:val="22"/>
              </w:rPr>
              <w:t>Gel de Estriol</w:t>
            </w:r>
          </w:p>
        </w:tc>
      </w:tr>
      <w:tr w:rsidR="00CD65C2" w14:paraId="43016F49"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BACE607" w14:textId="77777777" w:rsidR="00CD65C2" w:rsidRDefault="00FA41FC">
            <w:pPr>
              <w:pStyle w:val="Corpo"/>
              <w:jc w:val="center"/>
              <w:rPr>
                <w:rFonts w:hint="eastAsia"/>
                <w:color w:val="404040" w:themeColor="text1" w:themeTint="BF"/>
              </w:rPr>
            </w:pPr>
            <w:r>
              <w:rPr>
                <w:color w:val="404040" w:themeColor="text1" w:themeTint="BF"/>
              </w:rPr>
              <w:t>Estriol.................................................0,005%</w:t>
            </w:r>
          </w:p>
        </w:tc>
      </w:tr>
      <w:tr w:rsidR="00CD65C2" w14:paraId="794F2740"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9172E12" w14:textId="2C9B848D" w:rsidR="00CD65C2" w:rsidRDefault="00FA41FC">
            <w:pPr>
              <w:pStyle w:val="Corpo"/>
              <w:jc w:val="center"/>
              <w:rPr>
                <w:rFonts w:hint="eastAsia"/>
                <w:color w:val="404040" w:themeColor="text1" w:themeTint="BF"/>
              </w:rPr>
            </w:pPr>
            <w:r>
              <w:rPr>
                <w:color w:val="404040" w:themeColor="text1" w:themeTint="BF"/>
              </w:rPr>
              <w:t>Gel intravaginal....................................q.s.p.</w:t>
            </w:r>
          </w:p>
        </w:tc>
      </w:tr>
    </w:tbl>
    <w:p w14:paraId="6CA1C3B9" w14:textId="4FA8FEFD" w:rsidR="00CD65C2" w:rsidRDefault="00FA41FC">
      <w:pPr>
        <w:pStyle w:val="Corpo"/>
        <w:tabs>
          <w:tab w:val="left" w:pos="4395"/>
        </w:tabs>
        <w:ind w:right="4676"/>
        <w:jc w:val="center"/>
        <w:rPr>
          <w:rFonts w:hint="eastAsia"/>
          <w:color w:val="404040" w:themeColor="text1" w:themeTint="BF"/>
          <w:sz w:val="22"/>
          <w:szCs w:val="22"/>
        </w:rPr>
      </w:pPr>
      <w:r>
        <w:rPr>
          <w:color w:val="404040" w:themeColor="text1" w:themeTint="BF"/>
          <w:sz w:val="22"/>
          <w:szCs w:val="22"/>
        </w:rPr>
        <w:t>Aplicar 1 vez ao dia durante as primeiras três semanas. Após, aplicar duas vezes por semana, da semana 4 a 12, ou conforme orientação médica.</w:t>
      </w:r>
    </w:p>
    <w:p w14:paraId="14DE8B9E" w14:textId="77777777" w:rsidR="00CD65C2" w:rsidRDefault="00CD65C2">
      <w:pPr>
        <w:pStyle w:val="Corpo"/>
        <w:ind w:right="4706"/>
        <w:jc w:val="center"/>
        <w:rPr>
          <w:rFonts w:hint="eastAsia"/>
          <w:color w:val="404040" w:themeColor="text1" w:themeTint="BF"/>
          <w:sz w:val="12"/>
          <w:szCs w:val="12"/>
        </w:rPr>
      </w:pPr>
    </w:p>
    <w:p w14:paraId="389EE62B" w14:textId="77777777" w:rsidR="00CD65C2" w:rsidRDefault="00CD65C2">
      <w:pPr>
        <w:pStyle w:val="SemEspaamento"/>
      </w:pPr>
    </w:p>
    <w:p w14:paraId="42F0DB2F" w14:textId="77777777" w:rsidR="00CD65C2" w:rsidRDefault="00CD65C2">
      <w:pPr>
        <w:pStyle w:val="SemEspaamento"/>
      </w:pPr>
    </w:p>
    <w:p w14:paraId="2D157291" w14:textId="77777777" w:rsidR="00CD65C2" w:rsidRDefault="00CD65C2">
      <w:pPr>
        <w:pStyle w:val="SemEspaamento"/>
      </w:pPr>
    </w:p>
    <w:p w14:paraId="2AD8EC02" w14:textId="77777777" w:rsidR="00CD65C2" w:rsidRDefault="00CD65C2">
      <w:pPr>
        <w:pStyle w:val="SemEspaamento"/>
      </w:pPr>
    </w:p>
    <w:p w14:paraId="5EE2DF91" w14:textId="77777777" w:rsidR="00CD65C2" w:rsidRDefault="00CD65C2">
      <w:pPr>
        <w:pStyle w:val="SemEspaamento"/>
      </w:pPr>
    </w:p>
    <w:p w14:paraId="40A7AB85" w14:textId="77777777" w:rsidR="00CD65C2" w:rsidRDefault="00CD65C2">
      <w:pPr>
        <w:pStyle w:val="SemEspaamento"/>
      </w:pPr>
    </w:p>
    <w:p w14:paraId="7B6BF217" w14:textId="77777777" w:rsidR="00CD65C2" w:rsidRDefault="00CD65C2">
      <w:pPr>
        <w:pStyle w:val="SemEspaamento"/>
      </w:pPr>
    </w:p>
    <w:p w14:paraId="77336852" w14:textId="77777777" w:rsidR="00CD65C2" w:rsidRDefault="00CD65C2">
      <w:pPr>
        <w:pStyle w:val="SemEspaamento"/>
      </w:pPr>
    </w:p>
    <w:p w14:paraId="0A35F752" w14:textId="77777777" w:rsidR="00CD65C2" w:rsidRDefault="00CD65C2">
      <w:pPr>
        <w:pStyle w:val="SemEspaamento"/>
      </w:pPr>
    </w:p>
    <w:p w14:paraId="535DBD0F" w14:textId="77777777" w:rsidR="00CD65C2" w:rsidRDefault="00CD65C2">
      <w:pPr>
        <w:pStyle w:val="SemEspaamento"/>
      </w:pPr>
    </w:p>
    <w:p w14:paraId="4E2AD219" w14:textId="77777777" w:rsidR="00CD65C2" w:rsidRDefault="00CD65C2">
      <w:pPr>
        <w:pStyle w:val="SemEspaamento"/>
      </w:pPr>
    </w:p>
    <w:p w14:paraId="5BCAE744" w14:textId="77777777" w:rsidR="00CD65C2" w:rsidRDefault="00CD65C2">
      <w:pPr>
        <w:pStyle w:val="SemEspaamento"/>
      </w:pPr>
    </w:p>
    <w:p w14:paraId="121701E9" w14:textId="77777777" w:rsidR="00CD65C2" w:rsidRDefault="00CD65C2">
      <w:pPr>
        <w:pStyle w:val="SemEspaamento"/>
      </w:pPr>
    </w:p>
    <w:p w14:paraId="17B0F1D5" w14:textId="77777777" w:rsidR="00CD65C2" w:rsidRDefault="00CD65C2">
      <w:pPr>
        <w:pStyle w:val="SemEspaamento"/>
      </w:pPr>
    </w:p>
    <w:p w14:paraId="7A3A35F7" w14:textId="77777777" w:rsidR="00CD65C2" w:rsidRDefault="00CD65C2">
      <w:pPr>
        <w:pStyle w:val="SemEspaamento"/>
      </w:pPr>
    </w:p>
    <w:p w14:paraId="263550C6" w14:textId="77777777" w:rsidR="00CD65C2" w:rsidRDefault="00CD65C2">
      <w:pPr>
        <w:pStyle w:val="SemEspaamento"/>
      </w:pPr>
    </w:p>
    <w:p w14:paraId="66688223" w14:textId="77777777" w:rsidR="00CD65C2" w:rsidRDefault="00CD65C2">
      <w:pPr>
        <w:pStyle w:val="SemEspaamento"/>
      </w:pPr>
    </w:p>
    <w:p w14:paraId="52555A1F" w14:textId="77777777" w:rsidR="00CD65C2" w:rsidRDefault="00CD65C2">
      <w:pPr>
        <w:pStyle w:val="SemEspaamento"/>
      </w:pPr>
    </w:p>
    <w:p w14:paraId="2F6F3632" w14:textId="77777777" w:rsidR="00CD65C2" w:rsidRDefault="00CD65C2">
      <w:pPr>
        <w:pStyle w:val="SemEspaamento"/>
      </w:pPr>
    </w:p>
    <w:p w14:paraId="587EFB52" w14:textId="77777777" w:rsidR="00CD65C2" w:rsidRDefault="00CD65C2">
      <w:pPr>
        <w:pStyle w:val="SemEspaamento"/>
      </w:pPr>
    </w:p>
    <w:p w14:paraId="1A7C6CDB" w14:textId="77777777" w:rsidR="00CD65C2" w:rsidRDefault="00CD65C2">
      <w:pPr>
        <w:pStyle w:val="SemEspaamento"/>
      </w:pPr>
    </w:p>
    <w:p w14:paraId="3268CEE6" w14:textId="77777777" w:rsidR="00CD65C2" w:rsidRDefault="00CD65C2">
      <w:pPr>
        <w:pStyle w:val="SemEspaamento"/>
      </w:pPr>
    </w:p>
    <w:p w14:paraId="79D61003" w14:textId="77777777" w:rsidR="00CD65C2" w:rsidRDefault="00CD65C2">
      <w:pPr>
        <w:pStyle w:val="SemEspaamento"/>
      </w:pPr>
    </w:p>
    <w:p w14:paraId="243147B7" w14:textId="77777777" w:rsidR="00CD65C2" w:rsidRDefault="00CD65C2">
      <w:pPr>
        <w:pStyle w:val="SemEspaamento"/>
      </w:pPr>
    </w:p>
    <w:p w14:paraId="1198FE71" w14:textId="77777777" w:rsidR="00CD65C2" w:rsidRDefault="00CD65C2">
      <w:pPr>
        <w:pStyle w:val="SemEspaamento"/>
      </w:pPr>
    </w:p>
    <w:p w14:paraId="3565E90D" w14:textId="77777777" w:rsidR="00CD65C2" w:rsidRDefault="00CD65C2">
      <w:pPr>
        <w:pStyle w:val="SemEspaamento"/>
      </w:pPr>
    </w:p>
    <w:p w14:paraId="21AA73D0" w14:textId="77777777" w:rsidR="00CD65C2" w:rsidRDefault="00CD65C2">
      <w:pPr>
        <w:pStyle w:val="SemEspaamento"/>
      </w:pPr>
    </w:p>
    <w:p w14:paraId="2329AF1B" w14:textId="77777777" w:rsidR="00CD65C2" w:rsidRDefault="00CD65C2">
      <w:pPr>
        <w:pStyle w:val="SemEspaamento"/>
      </w:pPr>
    </w:p>
    <w:p w14:paraId="112F6FA9" w14:textId="77777777" w:rsidR="00CD65C2" w:rsidRDefault="00CD65C2">
      <w:pPr>
        <w:pStyle w:val="SemEspaamento"/>
      </w:pPr>
    </w:p>
    <w:p w14:paraId="63DB597E" w14:textId="77777777" w:rsidR="00CD65C2" w:rsidRDefault="00FA41FC">
      <w:pPr>
        <w:pStyle w:val="Ttulo1"/>
        <w:jc w:val="center"/>
        <w:rPr>
          <w:rFonts w:hint="eastAsia"/>
        </w:rPr>
      </w:pPr>
      <w:bookmarkStart w:id="133" w:name="_Toc165537281"/>
      <w:r>
        <w:rPr>
          <w:bCs/>
          <w:iCs/>
        </w:rPr>
        <w:t>Prasterona</w:t>
      </w:r>
      <w:bookmarkEnd w:id="133"/>
    </w:p>
    <w:p w14:paraId="71053254" w14:textId="77777777" w:rsidR="00CD65C2" w:rsidRPr="00D1428E" w:rsidRDefault="00FA41FC">
      <w:pPr>
        <w:pStyle w:val="Corpo"/>
        <w:spacing w:after="120"/>
        <w:jc w:val="center"/>
        <w:rPr>
          <w:rFonts w:hint="eastAsia"/>
          <w:color w:val="0070C0"/>
          <w:sz w:val="24"/>
        </w:rPr>
      </w:pPr>
      <w:r w:rsidRPr="00D1428E">
        <w:rPr>
          <w:b/>
          <w:color w:val="0070C0"/>
          <w:sz w:val="40"/>
        </w:rPr>
        <w:t>Melhora o Funcionamento das Glândulas Vestibulares</w:t>
      </w:r>
    </w:p>
    <w:p w14:paraId="6F68AE82" w14:textId="77777777" w:rsidR="00CD65C2" w:rsidRDefault="00CD65C2">
      <w:pPr>
        <w:pStyle w:val="Corpo"/>
        <w:rPr>
          <w:rFonts w:hint="eastAsia"/>
          <w:color w:val="404040" w:themeColor="text1" w:themeTint="BF"/>
          <w:sz w:val="24"/>
        </w:rPr>
      </w:pPr>
    </w:p>
    <w:p w14:paraId="1DFBA3F2" w14:textId="77777777" w:rsidR="00CD65C2" w:rsidRDefault="00FA41FC">
      <w:pPr>
        <w:pStyle w:val="Corpo"/>
        <w:rPr>
          <w:rFonts w:hint="eastAsia"/>
          <w:color w:val="404040" w:themeColor="text1" w:themeTint="BF"/>
          <w:sz w:val="24"/>
        </w:rPr>
      </w:pPr>
      <w:r>
        <w:rPr>
          <w:color w:val="404040" w:themeColor="text1" w:themeTint="BF"/>
          <w:sz w:val="24"/>
        </w:rPr>
        <w:t xml:space="preserve">Um estudo publicado no periódico internacional </w:t>
      </w:r>
      <w:r>
        <w:rPr>
          <w:i/>
          <w:iCs/>
          <w:color w:val="404040" w:themeColor="text1" w:themeTint="BF"/>
          <w:sz w:val="24"/>
        </w:rPr>
        <w:t>Sexual Medicine</w:t>
      </w:r>
      <w:r>
        <w:rPr>
          <w:b/>
          <w:bCs/>
          <w:color w:val="404040" w:themeColor="text1" w:themeTint="BF"/>
          <w:sz w:val="24"/>
        </w:rPr>
        <w:t xml:space="preserve"> </w:t>
      </w:r>
      <w:r>
        <w:rPr>
          <w:color w:val="404040" w:themeColor="text1" w:themeTint="BF"/>
          <w:sz w:val="24"/>
        </w:rPr>
        <w:t>avaliou as alterações nas glândulas vestibulares durante o uso diário de prasterona intravaginal em mulheres na menopausa com dispareunia moderada a grave (</w:t>
      </w:r>
      <w:r>
        <w:rPr>
          <w:color w:val="404040" w:themeColor="text1" w:themeTint="BF"/>
        </w:rPr>
        <w:t>Goldstein</w:t>
      </w:r>
      <w:r>
        <w:rPr>
          <w:i/>
          <w:color w:val="404040" w:themeColor="text1" w:themeTint="BF"/>
        </w:rPr>
        <w:t xml:space="preserve"> et al.,</w:t>
      </w:r>
      <w:r>
        <w:rPr>
          <w:color w:val="404040" w:themeColor="text1" w:themeTint="BF"/>
        </w:rPr>
        <w:t>2023).</w:t>
      </w:r>
    </w:p>
    <w:p w14:paraId="59CD31FC"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901952" behindDoc="0" locked="0" layoutInCell="1" allowOverlap="1">
                <wp:simplePos x="0" y="0"/>
                <wp:positionH relativeFrom="margin">
                  <wp:posOffset>-1905</wp:posOffset>
                </wp:positionH>
                <wp:positionV relativeFrom="paragraph">
                  <wp:posOffset>71755</wp:posOffset>
                </wp:positionV>
                <wp:extent cx="5735955" cy="729615"/>
                <wp:effectExtent l="0" t="0" r="17780" b="13970"/>
                <wp:wrapNone/>
                <wp:docPr id="739657800" name="Caixa de texto 739657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781" cy="729343"/>
                        </a:xfrm>
                        <a:prstGeom prst="rect">
                          <a:avLst/>
                        </a:prstGeom>
                        <a:solidFill>
                          <a:schemeClr val="bg1">
                            <a:lumMod val="100000"/>
                            <a:lumOff val="0"/>
                          </a:schemeClr>
                        </a:solidFill>
                        <a:ln w="9525">
                          <a:solidFill>
                            <a:srgbClr val="0070C0"/>
                          </a:solidFill>
                          <a:miter lim="800000"/>
                        </a:ln>
                      </wps:spPr>
                      <wps:txbx>
                        <w:txbxContent>
                          <w:p w14:paraId="6E284D49" w14:textId="370B62B2" w:rsidR="00FA41FC" w:rsidRDefault="00FA41FC">
                            <w:pPr>
                              <w:jc w:val="center"/>
                              <w:rPr>
                                <w:rFonts w:ascii="Swis721 Th BT" w:hAnsi="Swis721 Th BT"/>
                                <w:sz w:val="23"/>
                                <w:szCs w:val="23"/>
                              </w:rPr>
                            </w:pPr>
                            <w:r>
                              <w:rPr>
                                <w:rFonts w:ascii="Swis721 Th BT" w:hAnsi="Swis721 Th BT"/>
                                <w:sz w:val="23"/>
                                <w:szCs w:val="23"/>
                              </w:rPr>
                              <w:t xml:space="preserve">Para isso, 11 mulheres na menopausa (média de idade de 56 anos) foram selecionadas para participarem deste estudo piloto, prospectivo e aberto. Elas receberam a seguinte posologia por 20 semanas: </w:t>
                            </w:r>
                          </w:p>
                          <w:p w14:paraId="1B29CC0E"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800" o:spid="_x0000_s1201" type="#_x0000_t202" style="position:absolute;left:0;text-align:left;margin-left:-.15pt;margin-top:5.65pt;width:451.65pt;height:57.45pt;z-index:2519019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" fillcolor="white [3212]" strokecolor="#0070c0">
                <v:textbox>
                  <w:txbxContent>
                    <w:p w14:paraId="6E284D49" w14:textId="370B62B2" w:rsidR="00FA41FC" w:rsidRDefault="00FA41FC">
                      <w:pPr>
                        <w:jc w:val="center"/>
                        <w:rPr>
                          <w:rFonts w:ascii="Swis721 Th BT" w:hAnsi="Swis721 Th BT"/>
                          <w:sz w:val="23"/>
                          <w:szCs w:val="23"/>
                        </w:rPr>
                      </w:pPr>
                      <w:r>
                        <w:rPr>
                          <w:rFonts w:ascii="Swis721 Th BT" w:hAnsi="Swis721 Th BT"/>
                          <w:sz w:val="23"/>
                          <w:szCs w:val="23"/>
                        </w:rPr>
                        <w:t xml:space="preserve">Para isso, 11 mulheres na menopausa (média de idade de 56 anos) foram selecionadas para participarem deste estudo piloto, prospectivo e aberto. Elas receberam a seguinte posologia por 20 semanas: </w:t>
                      </w:r>
                    </w:p>
                    <w:p w14:paraId="1B29CC0E"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2D85E32B" w14:textId="77777777" w:rsidR="00CD65C2" w:rsidRDefault="00CD65C2">
      <w:pPr>
        <w:pStyle w:val="Corpo"/>
        <w:rPr>
          <w:rFonts w:hint="eastAsia"/>
          <w:color w:val="404040" w:themeColor="text1" w:themeTint="BF"/>
          <w:sz w:val="24"/>
        </w:rPr>
      </w:pPr>
    </w:p>
    <w:p w14:paraId="0468B74D" w14:textId="77777777" w:rsidR="00CD65C2" w:rsidRDefault="00CD65C2">
      <w:pPr>
        <w:pStyle w:val="Corpo"/>
        <w:rPr>
          <w:rFonts w:hint="eastAsia"/>
          <w:color w:val="404040" w:themeColor="text1" w:themeTint="BF"/>
          <w:sz w:val="24"/>
        </w:rPr>
      </w:pPr>
    </w:p>
    <w:p w14:paraId="404CADCF"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900928" behindDoc="0" locked="0" layoutInCell="1" allowOverlap="1">
                <wp:simplePos x="0" y="0"/>
                <wp:positionH relativeFrom="column">
                  <wp:posOffset>1913255</wp:posOffset>
                </wp:positionH>
                <wp:positionV relativeFrom="paragraph">
                  <wp:posOffset>69850</wp:posOffset>
                </wp:positionV>
                <wp:extent cx="2057400" cy="740410"/>
                <wp:effectExtent l="0" t="0" r="19050" b="22225"/>
                <wp:wrapNone/>
                <wp:docPr id="739657804" name="Caixa de texto 7396578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740228"/>
                        </a:xfrm>
                        <a:prstGeom prst="rect">
                          <a:avLst/>
                        </a:prstGeom>
                        <a:solidFill>
                          <a:srgbClr val="0070C0"/>
                        </a:solidFill>
                        <a:ln w="9525">
                          <a:solidFill>
                            <a:srgbClr val="0070C0"/>
                          </a:solidFill>
                          <a:miter lim="800000"/>
                        </a:ln>
                      </wps:spPr>
                      <wps:txbx>
                        <w:txbxContent>
                          <w:p w14:paraId="1E3B310E"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iCs/>
                                <w:color w:val="FFFFFF" w:themeColor="background1"/>
                                <w:sz w:val="23"/>
                                <w:szCs w:val="23"/>
                              </w:rPr>
                              <w:t>Prasterona intravaginal 6,5 mg</w:t>
                            </w:r>
                          </w:p>
                          <w:p w14:paraId="5FD5B32F"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bCs/>
                                <w:iCs/>
                                <w:color w:val="FFFFFF" w:themeColor="background1"/>
                                <w:sz w:val="23"/>
                                <w:szCs w:val="23"/>
                              </w:rPr>
                              <w:t>Aplicação diária</w:t>
                            </w:r>
                          </w:p>
                        </w:txbxContent>
                      </wps:txbx>
                      <wps:bodyPr rot="0" vert="horz" wrap="square" lIns="91440" tIns="45720" rIns="91440" bIns="45720" anchor="t" anchorCtr="0" upright="1">
                        <a:noAutofit/>
                      </wps:bodyPr>
                    </wps:wsp>
                  </a:graphicData>
                </a:graphic>
              </wp:anchor>
            </w:drawing>
          </mc:Choice>
          <mc:Fallback>
            <w:pict>
              <v:shape id="Caixa de texto 739657804" o:spid="_x0000_s1202" type="#_x0000_t202" style="position:absolute;left:0;text-align:left;margin-left:150.65pt;margin-top:5.5pt;width:162pt;height:58.3pt;z-index:251900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" fillcolor="#0070c0" strokecolor="#0070c0">
                <v:textbox>
                  <w:txbxContent>
                    <w:p w14:paraId="1E3B310E" w14:textId="77777777" w:rsidR="00FA41FC" w:rsidRDefault="00FA41FC">
                      <w:pPr>
                        <w:spacing w:after="0" w:line="240" w:lineRule="auto"/>
                        <w:jc w:val="center"/>
                        <w:rPr>
                          <w:rFonts w:ascii="Swis721 Th BT" w:hAnsi="Swis721 Th BT"/>
                          <w:bCs/>
                          <w:i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iCs/>
                          <w:color w:val="FFFFFF" w:themeColor="background1"/>
                          <w:sz w:val="23"/>
                          <w:szCs w:val="23"/>
                        </w:rPr>
                        <w:t>Prasterona intravaginal 6,5 mg</w:t>
                      </w:r>
                    </w:p>
                    <w:p w14:paraId="5FD5B32F"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bCs/>
                          <w:iCs/>
                          <w:color w:val="FFFFFF" w:themeColor="background1"/>
                          <w:sz w:val="23"/>
                          <w:szCs w:val="23"/>
                        </w:rPr>
                        <w:t>Aplicação diária</w:t>
                      </w:r>
                    </w:p>
                  </w:txbxContent>
                </v:textbox>
              </v:shape>
            </w:pict>
          </mc:Fallback>
        </mc:AlternateContent>
      </w:r>
    </w:p>
    <w:p w14:paraId="24480EC2" w14:textId="77777777" w:rsidR="00CD65C2" w:rsidRDefault="00CD65C2">
      <w:pPr>
        <w:pStyle w:val="Corpo"/>
        <w:rPr>
          <w:rFonts w:hint="eastAsia"/>
          <w:color w:val="404040" w:themeColor="text1" w:themeTint="BF"/>
        </w:rPr>
      </w:pPr>
    </w:p>
    <w:p w14:paraId="7B6AE58A" w14:textId="77777777" w:rsidR="00CD65C2" w:rsidRDefault="00CD65C2">
      <w:pPr>
        <w:pStyle w:val="Corpo"/>
        <w:rPr>
          <w:rFonts w:hint="eastAsia"/>
          <w:color w:val="404040" w:themeColor="text1" w:themeTint="BF"/>
        </w:rPr>
      </w:pPr>
    </w:p>
    <w:p w14:paraId="4EF4E0C2" w14:textId="77777777" w:rsidR="00CD65C2" w:rsidRDefault="00CD65C2">
      <w:pPr>
        <w:pStyle w:val="Corpo"/>
        <w:rPr>
          <w:rFonts w:hint="eastAsia"/>
          <w:color w:val="404040" w:themeColor="text1" w:themeTint="BF"/>
        </w:rPr>
      </w:pPr>
    </w:p>
    <w:p w14:paraId="235F559C" w14:textId="77777777" w:rsidR="00CD65C2" w:rsidRDefault="00CD65C2">
      <w:pPr>
        <w:pStyle w:val="Corpo"/>
        <w:rPr>
          <w:rFonts w:hint="eastAsia"/>
          <w:color w:val="404040" w:themeColor="text1" w:themeTint="BF"/>
        </w:rPr>
      </w:pPr>
    </w:p>
    <w:p w14:paraId="1B640110" w14:textId="77777777" w:rsidR="00CD65C2" w:rsidRDefault="00FA41FC" w:rsidP="00D1428E">
      <w:pPr>
        <w:pStyle w:val="Corpo"/>
        <w:numPr>
          <w:ilvl w:val="0"/>
          <w:numId w:val="51"/>
        </w:numPr>
        <w:rPr>
          <w:rFonts w:hint="eastAsia"/>
          <w:color w:val="404040" w:themeColor="text1" w:themeTint="BF"/>
          <w:sz w:val="20"/>
          <w:szCs w:val="20"/>
        </w:rPr>
      </w:pPr>
      <w:r>
        <w:rPr>
          <w:rFonts w:hint="eastAsia"/>
          <w:color w:val="404040" w:themeColor="text1" w:themeTint="BF"/>
          <w:sz w:val="20"/>
          <w:szCs w:val="20"/>
        </w:rPr>
        <w:t xml:space="preserve">Durante a vulvoscopia, a dor na região vestibular foi avaliada pelo teste de cotonete e a saúde vaginal foi avaliada independentemente com uma Escala Analógica Visual (VAS). Além disso, fotografias vulvoscópicas foram obtidas e interpretadas por meio de uma escala </w:t>
      </w:r>
      <w:r>
        <w:rPr>
          <w:rFonts w:hint="eastAsia"/>
          <w:i/>
          <w:iCs/>
          <w:color w:val="404040" w:themeColor="text1" w:themeTint="BF"/>
          <w:sz w:val="20"/>
          <w:szCs w:val="20"/>
        </w:rPr>
        <w:t>Vulvoscopic Genital Tissue Appearance</w:t>
      </w:r>
      <w:r>
        <w:rPr>
          <w:rFonts w:hint="eastAsia"/>
          <w:color w:val="404040" w:themeColor="text1" w:themeTint="BF"/>
          <w:sz w:val="20"/>
          <w:szCs w:val="20"/>
        </w:rPr>
        <w:t xml:space="preserve"> (VGTA) para avaliar as condições do tecido genital.</w:t>
      </w:r>
    </w:p>
    <w:p w14:paraId="66898FE9" w14:textId="77777777" w:rsidR="00CD65C2" w:rsidRDefault="00CD65C2">
      <w:pPr>
        <w:pStyle w:val="Corpo"/>
        <w:rPr>
          <w:rFonts w:hint="eastAsia"/>
          <w:color w:val="404040" w:themeColor="text1" w:themeTint="BF"/>
        </w:rPr>
      </w:pPr>
    </w:p>
    <w:p w14:paraId="4662DA53"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595E8595" w14:textId="77777777" w:rsidR="00CD65C2" w:rsidRDefault="00FA41FC" w:rsidP="00D1428E">
      <w:pPr>
        <w:pStyle w:val="PargrafodaLista"/>
        <w:numPr>
          <w:ilvl w:val="0"/>
          <w:numId w:val="52"/>
        </w:numPr>
        <w:spacing w:after="0"/>
        <w:jc w:val="both"/>
        <w:rPr>
          <w:rFonts w:ascii="Swis721 Th BT" w:eastAsia="MS Mincho" w:hAnsi="Swis721 Th BT" w:hint="eastAsia"/>
          <w:bCs/>
          <w:color w:val="404040" w:themeColor="text1" w:themeTint="BF"/>
          <w:sz w:val="24"/>
          <w:szCs w:val="24"/>
        </w:rPr>
      </w:pPr>
      <w:r>
        <w:rPr>
          <w:rFonts w:ascii="Swis721 Th BT" w:eastAsia="MS Mincho" w:hAnsi="Swis721 Th BT"/>
          <w:bCs/>
          <w:color w:val="404040" w:themeColor="text1" w:themeTint="BF"/>
          <w:sz w:val="24"/>
          <w:szCs w:val="24"/>
        </w:rPr>
        <w:t>As pontuações agregadas do teste do cotonete melhoraram progressivamente, atingindo significância estatística na semana 16, que foi mantida até a semana 20 (-7,27, p = 0,019);</w:t>
      </w:r>
    </w:p>
    <w:p w14:paraId="1A378065" w14:textId="77777777" w:rsidR="00CD65C2" w:rsidRDefault="00FA41FC" w:rsidP="00D1428E">
      <w:pPr>
        <w:pStyle w:val="PargrafodaLista"/>
        <w:numPr>
          <w:ilvl w:val="0"/>
          <w:numId w:val="52"/>
        </w:numPr>
        <w:spacing w:after="0"/>
        <w:jc w:val="both"/>
        <w:rPr>
          <w:rFonts w:ascii="Swis721 Th BT" w:eastAsia="MS Mincho" w:hAnsi="Swis721 Th BT" w:hint="eastAsia"/>
          <w:bCs/>
          <w:color w:val="404040" w:themeColor="text1" w:themeTint="BF"/>
          <w:sz w:val="24"/>
          <w:szCs w:val="24"/>
        </w:rPr>
      </w:pPr>
      <w:r>
        <w:rPr>
          <w:rFonts w:ascii="Swis721 Th BT" w:eastAsia="MS Mincho" w:hAnsi="Swis721 Th BT"/>
          <w:bCs/>
          <w:color w:val="404040" w:themeColor="text1" w:themeTint="BF"/>
          <w:sz w:val="24"/>
          <w:szCs w:val="24"/>
        </w:rPr>
        <w:t>Os escores do VAS melhoraram significativamente desde o início da semana 4 e foram mantidos até a semana 20 para o vestíbulo (-3,00, p = 0,004) e vagina (-4,00, p = 0,002);</w:t>
      </w:r>
    </w:p>
    <w:p w14:paraId="5E455F4F" w14:textId="214B20D4" w:rsidR="00CD65C2" w:rsidRDefault="00FA41FC" w:rsidP="00D1428E">
      <w:pPr>
        <w:pStyle w:val="PargrafodaLista"/>
        <w:numPr>
          <w:ilvl w:val="0"/>
          <w:numId w:val="52"/>
        </w:numPr>
        <w:spacing w:after="0"/>
        <w:jc w:val="both"/>
        <w:rPr>
          <w:rFonts w:ascii="Swis721 Th BT" w:eastAsia="MS Mincho" w:hAnsi="Swis721 Th BT" w:hint="eastAsia"/>
          <w:bCs/>
          <w:color w:val="404040" w:themeColor="text1" w:themeTint="BF"/>
          <w:sz w:val="24"/>
          <w:szCs w:val="24"/>
        </w:rPr>
      </w:pPr>
      <w:r>
        <w:rPr>
          <w:rFonts w:ascii="Swis721 Th BT" w:eastAsia="MS Mincho" w:hAnsi="Swis721 Th BT"/>
          <w:bCs/>
          <w:color w:val="404040" w:themeColor="text1" w:themeTint="BF"/>
          <w:sz w:val="24"/>
          <w:szCs w:val="24"/>
        </w:rPr>
        <w:t>Um total de 1.607 fotografias vulvoscópicas foram examinadas; todas apresentaram redução do eritema e palidez das glândulas vestibulares ao final do estudo;</w:t>
      </w:r>
    </w:p>
    <w:p w14:paraId="26663184" w14:textId="77777777" w:rsidR="00CD65C2" w:rsidRDefault="00FA41FC" w:rsidP="00D1428E">
      <w:pPr>
        <w:pStyle w:val="PargrafodaLista"/>
        <w:numPr>
          <w:ilvl w:val="0"/>
          <w:numId w:val="52"/>
        </w:numPr>
        <w:spacing w:after="0"/>
        <w:jc w:val="both"/>
        <w:rPr>
          <w:rFonts w:ascii="Swis721 Th BT" w:eastAsia="MS Mincho" w:hAnsi="Swis721 Th BT" w:hint="eastAsia"/>
          <w:bCs/>
          <w:color w:val="404040" w:themeColor="text1" w:themeTint="BF"/>
          <w:sz w:val="24"/>
          <w:szCs w:val="24"/>
        </w:rPr>
      </w:pPr>
      <w:r>
        <w:rPr>
          <w:rFonts w:ascii="Swis721 Th BT" w:eastAsia="MS Mincho" w:hAnsi="Swis721 Th BT"/>
          <w:bCs/>
          <w:color w:val="404040" w:themeColor="text1" w:themeTint="BF"/>
          <w:sz w:val="24"/>
          <w:szCs w:val="24"/>
        </w:rPr>
        <w:t>A alteração média desde a linha de base até a semana 20 para o escore VGTA foi de -7,9 (p = 0,0016);</w:t>
      </w:r>
    </w:p>
    <w:p w14:paraId="39866A4C" w14:textId="5A373497" w:rsidR="00CD65C2" w:rsidRDefault="00FA41FC" w:rsidP="00D1428E">
      <w:pPr>
        <w:pStyle w:val="PargrafodaLista"/>
        <w:numPr>
          <w:ilvl w:val="0"/>
          <w:numId w:val="52"/>
        </w:numPr>
        <w:spacing w:after="0"/>
        <w:jc w:val="both"/>
        <w:rPr>
          <w:rFonts w:ascii="Swis721 Th BT" w:eastAsia="MS Mincho" w:hAnsi="Swis721 Th BT" w:hint="eastAsia"/>
          <w:bCs/>
          <w:color w:val="404040" w:themeColor="text1" w:themeTint="BF"/>
          <w:sz w:val="24"/>
          <w:szCs w:val="24"/>
        </w:rPr>
      </w:pPr>
      <w:r>
        <w:rPr>
          <w:rFonts w:ascii="Swis721 Th BT" w:eastAsia="MS Mincho" w:hAnsi="Swis721 Th BT"/>
          <w:bCs/>
          <w:color w:val="404040" w:themeColor="text1" w:themeTint="BF"/>
          <w:sz w:val="24"/>
          <w:szCs w:val="24"/>
        </w:rPr>
        <w:t>A relação sexual associada à dor foi reduzida de 81,3% no início do estudo para 8,3% durante o último mês;</w:t>
      </w:r>
    </w:p>
    <w:p w14:paraId="74A8BB2D" w14:textId="77777777" w:rsidR="00CD65C2" w:rsidRDefault="00FA41FC" w:rsidP="00D1428E">
      <w:pPr>
        <w:pStyle w:val="PargrafodaLista"/>
        <w:numPr>
          <w:ilvl w:val="0"/>
          <w:numId w:val="52"/>
        </w:numPr>
        <w:spacing w:after="0"/>
        <w:jc w:val="both"/>
        <w:rPr>
          <w:rFonts w:ascii="Swis721 Th BT" w:eastAsia="MS Mincho" w:hAnsi="Swis721 Th BT" w:hint="eastAsia"/>
          <w:bCs/>
          <w:color w:val="404040" w:themeColor="text1" w:themeTint="BF"/>
          <w:sz w:val="24"/>
          <w:szCs w:val="24"/>
        </w:rPr>
      </w:pPr>
      <w:r>
        <w:rPr>
          <w:rFonts w:ascii="Swis721 Th BT" w:eastAsia="MS Mincho" w:hAnsi="Swis721 Th BT"/>
          <w:bCs/>
          <w:color w:val="404040" w:themeColor="text1" w:themeTint="BF"/>
          <w:sz w:val="24"/>
          <w:szCs w:val="24"/>
        </w:rPr>
        <w:t>Nenhum evento adverso grave relacionado à prasterona foi relatado.</w:t>
      </w:r>
    </w:p>
    <w:p w14:paraId="082197D3" w14:textId="77777777" w:rsidR="00CD65C2" w:rsidRDefault="00CD65C2">
      <w:pPr>
        <w:pStyle w:val="PargrafodaLista"/>
        <w:spacing w:after="0"/>
        <w:ind w:left="360"/>
        <w:jc w:val="both"/>
        <w:rPr>
          <w:rFonts w:ascii="Swis721 Th BT" w:eastAsia="MS Mincho" w:hAnsi="Swis721 Th BT" w:hint="eastAsia"/>
          <w:bCs/>
          <w:color w:val="404040" w:themeColor="text1" w:themeTint="BF"/>
          <w:sz w:val="24"/>
          <w:szCs w:val="24"/>
        </w:rPr>
      </w:pPr>
    </w:p>
    <w:p w14:paraId="0BCA317A"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66D8D528"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27765672" w14:textId="77777777" w:rsidR="00CD65C2" w:rsidRDefault="00FA41FC">
      <w:pPr>
        <w:pStyle w:val="Corpo"/>
        <w:jc w:val="center"/>
        <w:rPr>
          <w:rFonts w:hint="eastAsia"/>
          <w:b/>
          <w:color w:val="339966"/>
          <w14:textFill>
            <w14:solidFill>
              <w14:srgbClr w14:val="339966">
                <w14:lumMod w14:val="75000"/>
                <w14:lumOff w14:val="25000"/>
              </w14:srgbClr>
            </w14:solidFill>
          </w14:textFill>
        </w:rPr>
      </w:pPr>
      <w:r>
        <w:rPr>
          <w:b/>
          <w:i/>
          <w:color w:val="404040" w:themeColor="text1" w:themeTint="BF"/>
          <w:szCs w:val="23"/>
        </w:rPr>
        <w:t>Os resultados sugerem que a prasterona intravaginal exerce atividade biológica no vestíbulo endodérmico, à medida que a medicação passa da vagina para o vestíbulo, resultando em melhoria da dor associada à atividade sexual.</w:t>
      </w:r>
    </w:p>
    <w:p w14:paraId="01DF1102" w14:textId="77777777" w:rsidR="00CD65C2" w:rsidRDefault="00FA41FC">
      <w:pPr>
        <w:pStyle w:val="Ttulo1"/>
        <w:jc w:val="center"/>
        <w:rPr>
          <w:rFonts w:hint="eastAsia"/>
        </w:rPr>
      </w:pPr>
      <w:bookmarkStart w:id="134" w:name="_Toc165537282"/>
      <w:r>
        <w:t>Formulário</w:t>
      </w:r>
      <w:bookmarkEnd w:id="134"/>
    </w:p>
    <w:p w14:paraId="659C390A" w14:textId="77777777" w:rsidR="00CD65C2" w:rsidRDefault="00CD65C2">
      <w:pPr>
        <w:pStyle w:val="Corpo"/>
        <w:rPr>
          <w:rFonts w:hint="eastAsia"/>
          <w:b/>
          <w:i/>
          <w:color w:val="404040" w:themeColor="text1" w:themeTint="BF"/>
        </w:rPr>
      </w:pPr>
    </w:p>
    <w:p w14:paraId="35452122" w14:textId="77777777" w:rsidR="00CD65C2" w:rsidRDefault="00CD65C2">
      <w:pPr>
        <w:pStyle w:val="Corpo"/>
        <w:rPr>
          <w:rFonts w:hint="eastAsia"/>
          <w:b/>
          <w:i/>
          <w:color w:val="404040" w:themeColor="text1" w:themeTint="BF"/>
        </w:rPr>
      </w:pPr>
    </w:p>
    <w:p w14:paraId="3814E06E" w14:textId="77777777" w:rsidR="00CD65C2" w:rsidRDefault="00FA41FC">
      <w:pPr>
        <w:pStyle w:val="Corpo"/>
        <w:ind w:right="992"/>
        <w:rPr>
          <w:rFonts w:hint="eastAsia"/>
          <w:color w:val="404040" w:themeColor="text1" w:themeTint="BF"/>
          <w:sz w:val="10"/>
          <w:szCs w:val="10"/>
        </w:rPr>
      </w:pPr>
      <w:r>
        <w:rPr>
          <w:b/>
          <w:bCs/>
          <w:i/>
          <w:iCs/>
          <w:color w:val="000000"/>
          <w14:textFill>
            <w14:solidFill>
              <w14:srgbClr w14:val="000000">
                <w14:lumMod w14:val="75000"/>
                <w14:lumOff w14:val="25000"/>
              </w14:srgbClr>
            </w14:solidFill>
          </w14:textFill>
        </w:rPr>
        <w:t xml:space="preserve">Prasterona Intravaginal Auxilia na Diminuição da Dor Durante a Relação Sexual em Mulheres com Dispareunia </w:t>
      </w:r>
    </w:p>
    <w:p w14:paraId="13F2B5F4" w14:textId="77777777" w:rsidR="00CD65C2" w:rsidRDefault="00CD65C2">
      <w:pPr>
        <w:pStyle w:val="Corpo"/>
        <w:ind w:right="4819"/>
        <w:rPr>
          <w:rFonts w:hint="eastAsia"/>
          <w:color w:val="404040" w:themeColor="text1" w:themeTint="BF"/>
          <w:sz w:val="10"/>
          <w:szCs w:val="10"/>
        </w:rPr>
      </w:pPr>
    </w:p>
    <w:p w14:paraId="613B0AE2" w14:textId="77777777" w:rsidR="00CD65C2" w:rsidRDefault="00CD65C2">
      <w:pPr>
        <w:pStyle w:val="Corpo"/>
        <w:ind w:right="4819"/>
        <w:rPr>
          <w:rFonts w:hint="eastAsia"/>
          <w:color w:val="404040" w:themeColor="text1" w:themeTint="BF"/>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52829102"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311D779D" w14:textId="77777777" w:rsidR="00CD65C2" w:rsidRDefault="00FA41FC">
            <w:pPr>
              <w:pStyle w:val="Corpo"/>
              <w:jc w:val="center"/>
              <w:rPr>
                <w:rFonts w:hint="eastAsia"/>
                <w:b/>
                <w:color w:val="FFFFFF" w:themeColor="background1"/>
              </w:rPr>
            </w:pPr>
            <w:r>
              <w:rPr>
                <w:b/>
                <w:color w:val="FFFFFF" w:themeColor="background1"/>
              </w:rPr>
              <w:t>Óvulos de Prasterona</w:t>
            </w:r>
          </w:p>
        </w:tc>
      </w:tr>
      <w:tr w:rsidR="00CD65C2" w14:paraId="41B3559A" w14:textId="77777777">
        <w:trPr>
          <w:trHeight w:val="692"/>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601E4CC" w14:textId="77777777" w:rsidR="00CD65C2" w:rsidRDefault="00FA41FC">
            <w:pPr>
              <w:pStyle w:val="Corpo"/>
              <w:jc w:val="center"/>
              <w:rPr>
                <w:rFonts w:hint="eastAsia"/>
                <w:color w:val="404040" w:themeColor="text1" w:themeTint="BF"/>
              </w:rPr>
            </w:pPr>
            <w:r>
              <w:rPr>
                <w:color w:val="404040" w:themeColor="text1" w:themeTint="BF"/>
              </w:rPr>
              <w:t>Prasterona.......................................6,5 mg</w:t>
            </w:r>
          </w:p>
        </w:tc>
      </w:tr>
      <w:tr w:rsidR="00CD65C2" w14:paraId="3492B412"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7E7D994" w14:textId="77777777" w:rsidR="00CD65C2" w:rsidRDefault="00FA41FC">
            <w:pPr>
              <w:pStyle w:val="Corpo"/>
              <w:jc w:val="center"/>
              <w:rPr>
                <w:rFonts w:hint="eastAsia"/>
                <w:color w:val="404040" w:themeColor="text1" w:themeTint="BF"/>
              </w:rPr>
            </w:pPr>
            <w:r>
              <w:rPr>
                <w:color w:val="404040" w:themeColor="text1" w:themeTint="BF"/>
              </w:rPr>
              <w:t>Excipiente q.s.p. ............................1 Óvulo</w:t>
            </w:r>
          </w:p>
        </w:tc>
      </w:tr>
    </w:tbl>
    <w:p w14:paraId="7B12DDF1" w14:textId="77777777" w:rsidR="00CD65C2" w:rsidRDefault="00FA41FC">
      <w:pPr>
        <w:pStyle w:val="Corpo"/>
        <w:ind w:right="4819"/>
        <w:jc w:val="center"/>
        <w:rPr>
          <w:rFonts w:hint="eastAsia"/>
          <w:color w:val="404040" w:themeColor="text1" w:themeTint="BF"/>
          <w:sz w:val="22"/>
          <w:szCs w:val="22"/>
        </w:rPr>
      </w:pPr>
      <w:r>
        <w:rPr>
          <w:color w:val="404040" w:themeColor="text1" w:themeTint="BF"/>
          <w:sz w:val="22"/>
          <w:szCs w:val="22"/>
        </w:rPr>
        <w:t xml:space="preserve">Aplicação intravaginal diária ou conforme a orientação médica. </w:t>
      </w:r>
    </w:p>
    <w:p w14:paraId="1DD96ABA" w14:textId="77777777" w:rsidR="00CD65C2" w:rsidRDefault="00FA41FC">
      <w:pPr>
        <w:pStyle w:val="Corpo"/>
        <w:rPr>
          <w:rFonts w:hint="eastAsia"/>
          <w:b/>
          <w:bCs/>
          <w:color w:val="404040" w:themeColor="text1" w:themeTint="BF"/>
        </w:rPr>
      </w:pPr>
      <w:r>
        <w:rPr>
          <w:color w:val="404040" w:themeColor="text1" w:themeTint="BF"/>
        </w:rPr>
        <w:t xml:space="preserve">                                           </w:t>
      </w:r>
    </w:p>
    <w:p w14:paraId="38E024EE" w14:textId="77777777" w:rsidR="00CD65C2" w:rsidRDefault="00CD65C2">
      <w:pPr>
        <w:pStyle w:val="SemEspaamento"/>
      </w:pPr>
    </w:p>
    <w:p w14:paraId="09F5A39E" w14:textId="77777777" w:rsidR="00CD65C2" w:rsidRDefault="00CD65C2">
      <w:pPr>
        <w:pStyle w:val="SemEspaamento"/>
      </w:pPr>
    </w:p>
    <w:p w14:paraId="2F92A01E" w14:textId="77777777" w:rsidR="00CD65C2" w:rsidRDefault="00CD65C2">
      <w:pPr>
        <w:pStyle w:val="SemEspaamento"/>
      </w:pPr>
    </w:p>
    <w:p w14:paraId="27156FD3" w14:textId="77777777" w:rsidR="00CD65C2" w:rsidRDefault="00CD65C2">
      <w:pPr>
        <w:pStyle w:val="SemEspaamento"/>
      </w:pPr>
    </w:p>
    <w:p w14:paraId="7C6FABB8" w14:textId="77777777" w:rsidR="00CD65C2" w:rsidRDefault="00CD65C2">
      <w:pPr>
        <w:pStyle w:val="SemEspaamento"/>
      </w:pPr>
    </w:p>
    <w:p w14:paraId="631BA947" w14:textId="77777777" w:rsidR="00CD65C2" w:rsidRDefault="00CD65C2">
      <w:pPr>
        <w:pStyle w:val="SemEspaamento"/>
      </w:pPr>
    </w:p>
    <w:p w14:paraId="3739F750" w14:textId="77777777" w:rsidR="00CD65C2" w:rsidRDefault="00CD65C2">
      <w:pPr>
        <w:pStyle w:val="SemEspaamento"/>
      </w:pPr>
    </w:p>
    <w:p w14:paraId="45D18ED4" w14:textId="77777777" w:rsidR="00CD65C2" w:rsidRDefault="00CD65C2">
      <w:pPr>
        <w:pStyle w:val="SemEspaamento"/>
      </w:pPr>
    </w:p>
    <w:p w14:paraId="136141E5" w14:textId="77777777" w:rsidR="00CD65C2" w:rsidRDefault="00CD65C2">
      <w:pPr>
        <w:pStyle w:val="SemEspaamento"/>
      </w:pPr>
    </w:p>
    <w:p w14:paraId="1529B0BB" w14:textId="77777777" w:rsidR="00CD65C2" w:rsidRDefault="00CD65C2">
      <w:pPr>
        <w:pStyle w:val="SemEspaamento"/>
      </w:pPr>
    </w:p>
    <w:p w14:paraId="7B6DB4CC" w14:textId="77777777" w:rsidR="00CD65C2" w:rsidRDefault="00CD65C2">
      <w:pPr>
        <w:pStyle w:val="SemEspaamento"/>
      </w:pPr>
    </w:p>
    <w:p w14:paraId="3ABDDF29" w14:textId="77777777" w:rsidR="00CD65C2" w:rsidRDefault="00CD65C2">
      <w:pPr>
        <w:pStyle w:val="SemEspaamento"/>
      </w:pPr>
    </w:p>
    <w:p w14:paraId="2126F4D9" w14:textId="77777777" w:rsidR="00CD65C2" w:rsidRDefault="00CD65C2">
      <w:pPr>
        <w:pStyle w:val="SemEspaamento"/>
      </w:pPr>
    </w:p>
    <w:p w14:paraId="6E8BF136" w14:textId="77777777" w:rsidR="00CD65C2" w:rsidRDefault="00CD65C2">
      <w:pPr>
        <w:pStyle w:val="SemEspaamento"/>
      </w:pPr>
    </w:p>
    <w:p w14:paraId="09B1904B" w14:textId="77777777" w:rsidR="00CD65C2" w:rsidRDefault="00CD65C2">
      <w:pPr>
        <w:pStyle w:val="SemEspaamento"/>
      </w:pPr>
    </w:p>
    <w:p w14:paraId="7BF94178" w14:textId="77777777" w:rsidR="00CD65C2" w:rsidRDefault="00CD65C2">
      <w:pPr>
        <w:pStyle w:val="SemEspaamento"/>
      </w:pPr>
    </w:p>
    <w:p w14:paraId="24518996" w14:textId="77777777" w:rsidR="00CD65C2" w:rsidRDefault="00CD65C2">
      <w:pPr>
        <w:pStyle w:val="SemEspaamento"/>
      </w:pPr>
    </w:p>
    <w:p w14:paraId="67181608" w14:textId="77777777" w:rsidR="00CD65C2" w:rsidRDefault="00CD65C2">
      <w:pPr>
        <w:pStyle w:val="SemEspaamento"/>
      </w:pPr>
    </w:p>
    <w:p w14:paraId="2212293E" w14:textId="77777777" w:rsidR="00CD65C2" w:rsidRDefault="00CD65C2">
      <w:pPr>
        <w:pStyle w:val="SemEspaamento"/>
      </w:pPr>
    </w:p>
    <w:p w14:paraId="2DC4FE6D" w14:textId="77777777" w:rsidR="00CD65C2" w:rsidRDefault="00CD65C2">
      <w:pPr>
        <w:pStyle w:val="SemEspaamento"/>
      </w:pPr>
    </w:p>
    <w:p w14:paraId="79615956" w14:textId="77777777" w:rsidR="00CD65C2" w:rsidRDefault="00CD65C2">
      <w:pPr>
        <w:pStyle w:val="SemEspaamento"/>
      </w:pPr>
    </w:p>
    <w:p w14:paraId="26AD2BDC" w14:textId="77777777" w:rsidR="00CD65C2" w:rsidRDefault="00CD65C2">
      <w:pPr>
        <w:pStyle w:val="SemEspaamento"/>
      </w:pPr>
    </w:p>
    <w:p w14:paraId="5C7854E3" w14:textId="77777777" w:rsidR="00CD65C2" w:rsidRDefault="00CD65C2">
      <w:pPr>
        <w:pStyle w:val="SemEspaamento"/>
      </w:pPr>
    </w:p>
    <w:p w14:paraId="0F5D6AA0" w14:textId="77777777" w:rsidR="00CD65C2" w:rsidRDefault="00CD65C2">
      <w:pPr>
        <w:pStyle w:val="SemEspaamento"/>
      </w:pPr>
    </w:p>
    <w:p w14:paraId="0DD02DA8" w14:textId="77777777" w:rsidR="00CD65C2" w:rsidRDefault="00CD65C2">
      <w:pPr>
        <w:pStyle w:val="SemEspaamento"/>
      </w:pPr>
    </w:p>
    <w:p w14:paraId="06743BFC" w14:textId="77777777" w:rsidR="00CD65C2" w:rsidRDefault="00CD65C2">
      <w:pPr>
        <w:pStyle w:val="SemEspaamento"/>
      </w:pPr>
    </w:p>
    <w:p w14:paraId="342DDDA2" w14:textId="77777777" w:rsidR="00CD65C2" w:rsidRDefault="00CD65C2">
      <w:pPr>
        <w:pStyle w:val="SemEspaamento"/>
      </w:pPr>
    </w:p>
    <w:p w14:paraId="5E9C5456" w14:textId="77777777" w:rsidR="00CD65C2" w:rsidRDefault="00CD65C2">
      <w:pPr>
        <w:pStyle w:val="SemEspaamento"/>
      </w:pPr>
    </w:p>
    <w:p w14:paraId="2E5C41D5" w14:textId="77777777" w:rsidR="00CD65C2" w:rsidRDefault="00CD65C2">
      <w:pPr>
        <w:pStyle w:val="SemEspaamento"/>
      </w:pPr>
    </w:p>
    <w:p w14:paraId="24565302" w14:textId="77777777" w:rsidR="00CD65C2" w:rsidRDefault="00FA41FC">
      <w:pPr>
        <w:pStyle w:val="Ttulo1"/>
        <w:jc w:val="center"/>
        <w:rPr>
          <w:rFonts w:hint="eastAsia"/>
        </w:rPr>
      </w:pPr>
      <w:bookmarkStart w:id="135" w:name="_Toc165537283"/>
      <w:r>
        <w:rPr>
          <w:bCs/>
          <w:iCs/>
        </w:rPr>
        <w:t>Ocitocina</w:t>
      </w:r>
      <w:bookmarkEnd w:id="135"/>
    </w:p>
    <w:p w14:paraId="1EBB4A45" w14:textId="77777777" w:rsidR="00CD65C2" w:rsidRPr="00D1428E" w:rsidRDefault="00FA41FC">
      <w:pPr>
        <w:pStyle w:val="Corpo"/>
        <w:spacing w:after="120"/>
        <w:jc w:val="center"/>
        <w:rPr>
          <w:rFonts w:hint="eastAsia"/>
          <w:b/>
          <w:color w:val="0070C0"/>
          <w:sz w:val="40"/>
        </w:rPr>
      </w:pPr>
      <w:r w:rsidRPr="00D1428E">
        <w:rPr>
          <w:b/>
          <w:color w:val="0070C0"/>
          <w:sz w:val="40"/>
        </w:rPr>
        <w:t>Melhora os Sintomas de Atrofia Vaginal</w:t>
      </w:r>
    </w:p>
    <w:p w14:paraId="121D0B0B" w14:textId="77777777" w:rsidR="00CD65C2" w:rsidRDefault="00CD65C2">
      <w:pPr>
        <w:pStyle w:val="Corpo"/>
        <w:spacing w:after="120"/>
        <w:rPr>
          <w:rFonts w:hint="eastAsia"/>
          <w:color w:val="404040" w:themeColor="text1" w:themeTint="BF"/>
          <w:sz w:val="24"/>
        </w:rPr>
      </w:pPr>
    </w:p>
    <w:p w14:paraId="7F3D4D87" w14:textId="12E95AF3" w:rsidR="00CD65C2" w:rsidRDefault="00FA41FC">
      <w:pPr>
        <w:pStyle w:val="Corpo"/>
        <w:rPr>
          <w:rFonts w:hint="eastAsia"/>
          <w:color w:val="404040" w:themeColor="text1" w:themeTint="BF"/>
          <w:sz w:val="24"/>
        </w:rPr>
      </w:pPr>
      <w:r>
        <w:rPr>
          <w:color w:val="404040" w:themeColor="text1" w:themeTint="BF"/>
          <w:sz w:val="24"/>
        </w:rPr>
        <w:t xml:space="preserve">O objetivo deste estudo conduzido por Torky </w:t>
      </w:r>
      <w:r>
        <w:rPr>
          <w:i/>
          <w:color w:val="404040" w:themeColor="text1" w:themeTint="BF"/>
          <w:sz w:val="24"/>
        </w:rPr>
        <w:t>et al</w:t>
      </w:r>
      <w:r>
        <w:rPr>
          <w:color w:val="404040" w:themeColor="text1" w:themeTint="BF"/>
          <w:sz w:val="24"/>
        </w:rPr>
        <w:t>. (2018) foi avaliar a eficácia da ocitocina tópica em gel na melhora da atrofia vaginal em mulheres pós-menopausadas.</w:t>
      </w:r>
    </w:p>
    <w:p w14:paraId="6DD43E82"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905024" behindDoc="0" locked="0" layoutInCell="1" allowOverlap="1">
                <wp:simplePos x="0" y="0"/>
                <wp:positionH relativeFrom="margin">
                  <wp:posOffset>-1905</wp:posOffset>
                </wp:positionH>
                <wp:positionV relativeFrom="paragraph">
                  <wp:posOffset>137795</wp:posOffset>
                </wp:positionV>
                <wp:extent cx="5735955" cy="544195"/>
                <wp:effectExtent l="0" t="0" r="17780" b="27305"/>
                <wp:wrapNone/>
                <wp:docPr id="739657805" name="Caixa de texto 7396578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781" cy="544286"/>
                        </a:xfrm>
                        <a:prstGeom prst="rect">
                          <a:avLst/>
                        </a:prstGeom>
                        <a:solidFill>
                          <a:schemeClr val="bg1">
                            <a:lumMod val="100000"/>
                            <a:lumOff val="0"/>
                          </a:schemeClr>
                        </a:solidFill>
                        <a:ln w="9525">
                          <a:solidFill>
                            <a:srgbClr val="0070C0"/>
                          </a:solidFill>
                          <a:miter lim="800000"/>
                        </a:ln>
                      </wps:spPr>
                      <wps:txbx>
                        <w:txbxContent>
                          <w:p w14:paraId="0BEA447C" w14:textId="77777777" w:rsidR="00FA41FC" w:rsidRDefault="00FA41FC">
                            <w:pPr>
                              <w:jc w:val="center"/>
                              <w:rPr>
                                <w:rFonts w:ascii="Swis721 Th BT" w:hAnsi="Swis721 Th BT"/>
                                <w:b/>
                              </w:rPr>
                            </w:pPr>
                            <w:r>
                              <w:rPr>
                                <w:rFonts w:ascii="Swis721 Th BT" w:hAnsi="Swis721 Th BT"/>
                              </w:rPr>
                              <w:t>Um total de 140 mulheres pós-menopausadas com atrofia vaginal e que atendiam os critérios do estudo foram randomizadas em dois grupos para receberem durante 30 dias:</w:t>
                            </w:r>
                          </w:p>
                          <w:p w14:paraId="355211A7"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805" o:spid="_x0000_s1203" type="#_x0000_t202" style="position:absolute;left:0;text-align:left;margin-left:-.15pt;margin-top:10.85pt;width:451.65pt;height:42.85pt;z-index:2519050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" fillcolor="white [3212]" strokecolor="#0070c0">
                <v:textbox>
                  <w:txbxContent>
                    <w:p w14:paraId="0BEA447C" w14:textId="77777777" w:rsidR="00FA41FC" w:rsidRDefault="00FA41FC">
                      <w:pPr>
                        <w:jc w:val="center"/>
                        <w:rPr>
                          <w:rFonts w:ascii="Swis721 Th BT" w:hAnsi="Swis721 Th BT"/>
                          <w:b/>
                        </w:rPr>
                      </w:pPr>
                      <w:r>
                        <w:rPr>
                          <w:rFonts w:ascii="Swis721 Th BT" w:hAnsi="Swis721 Th BT"/>
                        </w:rPr>
                        <w:t>Um total de 140 mulheres pós-menopausadas com atrofia vaginal e que atendiam os critérios do estudo foram randomizadas em dois grupos para receberem durante 30 dias:</w:t>
                      </w:r>
                    </w:p>
                    <w:p w14:paraId="355211A7"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287C0DE2" w14:textId="77777777" w:rsidR="00CD65C2" w:rsidRDefault="00CD65C2">
      <w:pPr>
        <w:pStyle w:val="Corpo"/>
        <w:rPr>
          <w:rFonts w:hint="eastAsia"/>
          <w:color w:val="404040" w:themeColor="text1" w:themeTint="BF"/>
          <w:sz w:val="24"/>
        </w:rPr>
      </w:pPr>
    </w:p>
    <w:p w14:paraId="3A2D6541"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906048" behindDoc="0" locked="0" layoutInCell="1" allowOverlap="1">
                <wp:simplePos x="0" y="0"/>
                <wp:positionH relativeFrom="column">
                  <wp:posOffset>4594860</wp:posOffset>
                </wp:positionH>
                <wp:positionV relativeFrom="paragraph">
                  <wp:posOffset>169545</wp:posOffset>
                </wp:positionV>
                <wp:extent cx="226695" cy="138430"/>
                <wp:effectExtent l="0" t="0" r="1905" b="0"/>
                <wp:wrapNone/>
                <wp:docPr id="739657806" name="Triângulo isósceles 739657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806" o:spid="_x0000_s1026" o:spt="5" type="#_x0000_t5" style="position:absolute;left:0pt;flip:y;margin-left:361.8pt;margin-top:13.35pt;height:10.9pt;width:17.85pt;z-index:251906048;mso-width-relative:page;mso-height-relative:page;" fillcolor="#D9D9D9 [3212]" filled="t" stroked="f" coordsize="21600,21600" o:gfxdata="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ElaQk7ZAAAACQEAAA8AAAAAAAAAAQAgAAAAIgAAAGRycy9kb3ducmV2LnhtbFBLAQIUABQA&#10;AAAIAIdO4kDm1IxRYQIAALMEAAAOAAAAAAAAAAEAIAAAACgBAABkcnMvZTJvRG9jLnhtbFBLBQYA&#10;AAAABgAGAFkBAAD7BQ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907072" behindDoc="0" locked="0" layoutInCell="1" allowOverlap="1">
                <wp:simplePos x="0" y="0"/>
                <wp:positionH relativeFrom="column">
                  <wp:posOffset>805180</wp:posOffset>
                </wp:positionH>
                <wp:positionV relativeFrom="paragraph">
                  <wp:posOffset>169545</wp:posOffset>
                </wp:positionV>
                <wp:extent cx="226695" cy="138430"/>
                <wp:effectExtent l="0" t="0" r="1905" b="0"/>
                <wp:wrapNone/>
                <wp:docPr id="739657807" name="Triângulo isósceles 7396578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807" o:spid="_x0000_s1026" o:spt="5" type="#_x0000_t5" style="position:absolute;left:0pt;flip:y;margin-left:63.4pt;margin-top:13.35pt;height:10.9pt;width:17.85pt;z-index:251907072;mso-width-relative:page;mso-height-relative:page;" fillcolor="#D9D9D9 [3212]" filled="t" stroked="f" coordsize="21600,21600" o:gfxdata="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gI9pL1wAAAAkBAAAPAAAAAAAAAAEAIAAAACIAAABkcnMvZG93bnJldi54bWxQSwECFAAUAAAA&#10;CACHTuJAToV0F2ECAACzBAAADgAAAAAAAAABACAAAAAmAQAAZHJzL2Uyb0RvYy54bWxQSwUGAAAA&#10;AAYABgBZAQAA+QUAAAAA&#10;" adj="10800">
                <v:fill on="t" focussize="0,0"/>
                <v:stroke on="f"/>
                <v:imagedata o:title=""/>
                <o:lock v:ext="edit" aspectratio="f"/>
              </v:shape>
            </w:pict>
          </mc:Fallback>
        </mc:AlternateContent>
      </w:r>
    </w:p>
    <w:p w14:paraId="7A923365" w14:textId="77777777" w:rsidR="00CD65C2" w:rsidRDefault="00CD65C2">
      <w:pPr>
        <w:pStyle w:val="Corpo"/>
        <w:rPr>
          <w:rFonts w:hint="eastAsia"/>
          <w:color w:val="404040" w:themeColor="text1" w:themeTint="BF"/>
        </w:rPr>
      </w:pPr>
    </w:p>
    <w:p w14:paraId="55CAA027"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904000" behindDoc="0" locked="0" layoutInCell="1" allowOverlap="1">
                <wp:simplePos x="0" y="0"/>
                <wp:positionH relativeFrom="column">
                  <wp:posOffset>3752850</wp:posOffset>
                </wp:positionH>
                <wp:positionV relativeFrom="paragraph">
                  <wp:posOffset>87630</wp:posOffset>
                </wp:positionV>
                <wp:extent cx="1969770" cy="990600"/>
                <wp:effectExtent l="0" t="0" r="11430" b="19685"/>
                <wp:wrapNone/>
                <wp:docPr id="739657808" name="Caixa de texto 7396578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861" cy="990509"/>
                        </a:xfrm>
                        <a:prstGeom prst="rect">
                          <a:avLst/>
                        </a:prstGeom>
                        <a:solidFill>
                          <a:srgbClr val="0070C0"/>
                        </a:solidFill>
                        <a:ln w="9525">
                          <a:solidFill>
                            <a:srgbClr val="0070C0"/>
                          </a:solidFill>
                          <a:miter lim="800000"/>
                        </a:ln>
                      </wps:spPr>
                      <wps:txbx>
                        <w:txbxContent>
                          <w:p w14:paraId="5D22249A"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1E317E4" w14:textId="77777777" w:rsidR="00FA41FC" w:rsidRDefault="00FA41FC">
                            <w:pPr>
                              <w:spacing w:after="0" w:line="240" w:lineRule="auto"/>
                              <w:jc w:val="center"/>
                              <w:rPr>
                                <w:rFonts w:ascii="Swis721 Th BT" w:hAnsi="Swis721 Th BT"/>
                                <w:bCs/>
                                <w:color w:val="FFFFFF" w:themeColor="background1"/>
                                <w:sz w:val="23"/>
                                <w:szCs w:val="23"/>
                              </w:rPr>
                            </w:pPr>
                          </w:p>
                          <w:p w14:paraId="0018478B"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14:paraId="3E7D5E70" w14:textId="77777777" w:rsidR="00FA41FC" w:rsidRDefault="00FA41FC">
                            <w:pPr>
                              <w:spacing w:after="0" w:line="240" w:lineRule="auto"/>
                              <w:jc w:val="center"/>
                              <w:rPr>
                                <w:rFonts w:ascii="Swis721 Th BT" w:hAnsi="Swis721 Th BT"/>
                                <w:b/>
                                <w:color w:val="FFFFFF" w:themeColor="background1"/>
                                <w:sz w:val="12"/>
                                <w:szCs w:val="12"/>
                              </w:rPr>
                            </w:pPr>
                          </w:p>
                          <w:p w14:paraId="6A9CCF56" w14:textId="77777777" w:rsidR="00FA41FC" w:rsidRDefault="00FA41FC">
                            <w:pPr>
                              <w:spacing w:after="0" w:line="240" w:lineRule="auto"/>
                              <w:jc w:val="center"/>
                              <w:rPr>
                                <w:rFonts w:ascii="Swis721 Th BT" w:hAnsi="Swis721 Th BT"/>
                                <w:b/>
                                <w:color w:val="FFFFFF" w:themeColor="background1"/>
                                <w:sz w:val="23"/>
                                <w:szCs w:val="23"/>
                              </w:rPr>
                            </w:pPr>
                          </w:p>
                          <w:p w14:paraId="1CCB11A7" w14:textId="77777777" w:rsidR="00FA41FC" w:rsidRDefault="00FA41FC">
                            <w:pPr>
                              <w:spacing w:after="0" w:line="240" w:lineRule="auto"/>
                              <w:jc w:val="center"/>
                              <w:rPr>
                                <w:rFonts w:ascii="Swis721 Th BT" w:hAnsi="Swis721 Th BT"/>
                                <w:b/>
                                <w:color w:val="FFFFFF" w:themeColor="background1"/>
                                <w:sz w:val="12"/>
                                <w:szCs w:val="12"/>
                              </w:rPr>
                            </w:pPr>
                          </w:p>
                          <w:p w14:paraId="3570ED5D" w14:textId="77777777" w:rsidR="00FA41FC" w:rsidRDefault="00FA41FC"/>
                        </w:txbxContent>
                      </wps:txbx>
                      <wps:bodyPr rot="0" vert="horz" wrap="square" lIns="91440" tIns="45720" rIns="91440" bIns="45720" anchor="t" anchorCtr="0" upright="1">
                        <a:noAutofit/>
                      </wps:bodyPr>
                    </wps:wsp>
                  </a:graphicData>
                </a:graphic>
              </wp:anchor>
            </w:drawing>
          </mc:Choice>
          <mc:Fallback>
            <w:pict>
              <v:shape id="Caixa de texto 739657808" o:spid="_x0000_s1204" type="#_x0000_t202" style="position:absolute;left:0;text-align:left;margin-left:295.5pt;margin-top:6.9pt;width:155.1pt;height:78pt;z-index:251904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" fillcolor="#0070c0" strokecolor="#0070c0">
                <v:textbox>
                  <w:txbxContent>
                    <w:p w14:paraId="5D22249A"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1E317E4" w14:textId="77777777" w:rsidR="00FA41FC" w:rsidRDefault="00FA41FC">
                      <w:pPr>
                        <w:spacing w:after="0" w:line="240" w:lineRule="auto"/>
                        <w:jc w:val="center"/>
                        <w:rPr>
                          <w:rFonts w:ascii="Swis721 Th BT" w:hAnsi="Swis721 Th BT"/>
                          <w:bCs/>
                          <w:color w:val="FFFFFF" w:themeColor="background1"/>
                          <w:sz w:val="23"/>
                          <w:szCs w:val="23"/>
                        </w:rPr>
                      </w:pPr>
                    </w:p>
                    <w:p w14:paraId="0018478B"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14:paraId="3E7D5E70" w14:textId="77777777" w:rsidR="00FA41FC" w:rsidRDefault="00FA41FC">
                      <w:pPr>
                        <w:spacing w:after="0" w:line="240" w:lineRule="auto"/>
                        <w:jc w:val="center"/>
                        <w:rPr>
                          <w:rFonts w:ascii="Swis721 Th BT" w:hAnsi="Swis721 Th BT"/>
                          <w:b/>
                          <w:color w:val="FFFFFF" w:themeColor="background1"/>
                          <w:sz w:val="12"/>
                          <w:szCs w:val="12"/>
                        </w:rPr>
                      </w:pPr>
                    </w:p>
                    <w:p w14:paraId="6A9CCF56" w14:textId="77777777" w:rsidR="00FA41FC" w:rsidRDefault="00FA41FC">
                      <w:pPr>
                        <w:spacing w:after="0" w:line="240" w:lineRule="auto"/>
                        <w:jc w:val="center"/>
                        <w:rPr>
                          <w:rFonts w:ascii="Swis721 Th BT" w:hAnsi="Swis721 Th BT"/>
                          <w:b/>
                          <w:color w:val="FFFFFF" w:themeColor="background1"/>
                          <w:sz w:val="23"/>
                          <w:szCs w:val="23"/>
                        </w:rPr>
                      </w:pPr>
                    </w:p>
                    <w:p w14:paraId="1CCB11A7" w14:textId="77777777" w:rsidR="00FA41FC" w:rsidRDefault="00FA41FC">
                      <w:pPr>
                        <w:spacing w:after="0" w:line="240" w:lineRule="auto"/>
                        <w:jc w:val="center"/>
                        <w:rPr>
                          <w:rFonts w:ascii="Swis721 Th BT" w:hAnsi="Swis721 Th BT"/>
                          <w:b/>
                          <w:color w:val="FFFFFF" w:themeColor="background1"/>
                          <w:sz w:val="12"/>
                          <w:szCs w:val="12"/>
                        </w:rPr>
                      </w:pPr>
                    </w:p>
                    <w:p w14:paraId="3570ED5D" w14:textId="77777777" w:rsidR="00FA41FC" w:rsidRDefault="00FA41FC"/>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902976" behindDoc="0" locked="0" layoutInCell="1" allowOverlap="1">
                <wp:simplePos x="0" y="0"/>
                <wp:positionH relativeFrom="column">
                  <wp:posOffset>-1905</wp:posOffset>
                </wp:positionH>
                <wp:positionV relativeFrom="paragraph">
                  <wp:posOffset>76835</wp:posOffset>
                </wp:positionV>
                <wp:extent cx="1915795" cy="1001395"/>
                <wp:effectExtent l="0" t="0" r="27305" b="27305"/>
                <wp:wrapNone/>
                <wp:docPr id="739657809" name="Caixa de texto 7396578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885" cy="1001486"/>
                        </a:xfrm>
                        <a:prstGeom prst="rect">
                          <a:avLst/>
                        </a:prstGeom>
                        <a:solidFill>
                          <a:srgbClr val="0070C0"/>
                        </a:solidFill>
                        <a:ln w="9525">
                          <a:solidFill>
                            <a:srgbClr val="0070C0"/>
                          </a:solidFill>
                          <a:miter lim="800000"/>
                        </a:ln>
                      </wps:spPr>
                      <wps:txbx>
                        <w:txbxContent>
                          <w:p w14:paraId="6733A826" w14:textId="77777777" w:rsidR="00FA41FC" w:rsidRDefault="00FA41FC">
                            <w:pPr>
                              <w:pStyle w:val="Corpo"/>
                              <w:jc w:val="center"/>
                              <w:rPr>
                                <w:rFonts w:hint="eastAsia"/>
                                <w:color w:val="FFFFFF" w:themeColor="background1"/>
                              </w:rPr>
                            </w:pPr>
                            <w:r>
                              <w:rPr>
                                <w:b/>
                                <w:color w:val="FFFFFF" w:themeColor="background1"/>
                                <w:szCs w:val="23"/>
                              </w:rPr>
                              <w:t xml:space="preserve">Grupo 1 </w:t>
                            </w:r>
                            <w:r>
                              <w:rPr>
                                <w:b/>
                                <w:color w:val="FFFFFF" w:themeColor="background1"/>
                                <w:szCs w:val="23"/>
                              </w:rPr>
                              <w:br/>
                            </w:r>
                          </w:p>
                          <w:p w14:paraId="43C6BA88" w14:textId="77777777" w:rsidR="00FA41FC" w:rsidRDefault="00FA41FC">
                            <w:pPr>
                              <w:spacing w:after="0" w:line="240" w:lineRule="auto"/>
                              <w:jc w:val="center"/>
                              <w:rPr>
                                <w:rFonts w:ascii="Swis721 Th BT" w:eastAsia="MS Mincho" w:hAnsi="Swis721 Th BT" w:hint="eastAsia"/>
                                <w:b/>
                                <w:color w:val="FFFFFF" w:themeColor="background1"/>
                                <w:sz w:val="23"/>
                                <w:szCs w:val="24"/>
                              </w:rPr>
                            </w:pPr>
                            <w:r>
                              <w:rPr>
                                <w:rFonts w:ascii="Swis721 Th BT" w:eastAsia="MS Mincho" w:hAnsi="Swis721 Th BT"/>
                                <w:color w:val="FFFFFF" w:themeColor="background1"/>
                                <w:sz w:val="23"/>
                                <w:szCs w:val="24"/>
                              </w:rPr>
                              <w:t>Gel de Ocitocina Intravaginal</w:t>
                            </w:r>
                          </w:p>
                          <w:p w14:paraId="39EECF7E" w14:textId="77777777" w:rsidR="00FA41FC" w:rsidRDefault="00FA41FC">
                            <w:pPr>
                              <w:spacing w:after="0" w:line="240" w:lineRule="auto"/>
                              <w:jc w:val="center"/>
                              <w:rPr>
                                <w:rFonts w:ascii="Swis721 Th BT" w:eastAsia="MS Mincho" w:hAnsi="Swis721 Th BT" w:hint="eastAsia"/>
                                <w:color w:val="FFFFFF" w:themeColor="background1"/>
                                <w:sz w:val="23"/>
                                <w:szCs w:val="24"/>
                              </w:rPr>
                            </w:pPr>
                            <w:r>
                              <w:rPr>
                                <w:rFonts w:ascii="Swis721 Th BT" w:eastAsia="MS Mincho" w:hAnsi="Swis721 Th BT"/>
                                <w:color w:val="FFFFFF" w:themeColor="background1"/>
                                <w:sz w:val="23"/>
                                <w:szCs w:val="24"/>
                              </w:rPr>
                              <w:t>600 UI</w:t>
                            </w:r>
                          </w:p>
                          <w:p w14:paraId="199AF7AE"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739657809" o:spid="_x0000_s1205" type="#_x0000_t202" style="position:absolute;left:0;text-align:left;margin-left:-.15pt;margin-top:6.05pt;width:150.85pt;height:78.85pt;z-index:251902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" fillcolor="#0070c0" strokecolor="#0070c0">
                <v:textbox>
                  <w:txbxContent>
                    <w:p w14:paraId="6733A826" w14:textId="77777777" w:rsidR="00FA41FC" w:rsidRDefault="00FA41FC">
                      <w:pPr>
                        <w:pStyle w:val="Corpo"/>
                        <w:jc w:val="center"/>
                        <w:rPr>
                          <w:rFonts w:hint="eastAsia"/>
                          <w:color w:val="FFFFFF" w:themeColor="background1"/>
                        </w:rPr>
                      </w:pPr>
                      <w:r>
                        <w:rPr>
                          <w:b/>
                          <w:color w:val="FFFFFF" w:themeColor="background1"/>
                          <w:szCs w:val="23"/>
                        </w:rPr>
                        <w:t xml:space="preserve">Grupo 1 </w:t>
                      </w:r>
                      <w:r>
                        <w:rPr>
                          <w:b/>
                          <w:color w:val="FFFFFF" w:themeColor="background1"/>
                          <w:szCs w:val="23"/>
                        </w:rPr>
                        <w:br/>
                      </w:r>
                    </w:p>
                    <w:p w14:paraId="43C6BA88" w14:textId="77777777" w:rsidR="00FA41FC" w:rsidRDefault="00FA41FC">
                      <w:pPr>
                        <w:spacing w:after="0" w:line="240" w:lineRule="auto"/>
                        <w:jc w:val="center"/>
                        <w:rPr>
                          <w:rFonts w:ascii="Swis721 Th BT" w:eastAsia="MS Mincho" w:hAnsi="Swis721 Th BT" w:hint="eastAsia"/>
                          <w:b/>
                          <w:color w:val="FFFFFF" w:themeColor="background1"/>
                          <w:sz w:val="23"/>
                          <w:szCs w:val="24"/>
                        </w:rPr>
                      </w:pPr>
                      <w:r>
                        <w:rPr>
                          <w:rFonts w:ascii="Swis721 Th BT" w:eastAsia="MS Mincho" w:hAnsi="Swis721 Th BT"/>
                          <w:color w:val="FFFFFF" w:themeColor="background1"/>
                          <w:sz w:val="23"/>
                          <w:szCs w:val="24"/>
                        </w:rPr>
                        <w:t>Gel de Ocitocina Intravaginal</w:t>
                      </w:r>
                    </w:p>
                    <w:p w14:paraId="39EECF7E" w14:textId="77777777" w:rsidR="00FA41FC" w:rsidRDefault="00FA41FC">
                      <w:pPr>
                        <w:spacing w:after="0" w:line="240" w:lineRule="auto"/>
                        <w:jc w:val="center"/>
                        <w:rPr>
                          <w:rFonts w:ascii="Swis721 Th BT" w:eastAsia="MS Mincho" w:hAnsi="Swis721 Th BT" w:hint="eastAsia"/>
                          <w:color w:val="FFFFFF" w:themeColor="background1"/>
                          <w:sz w:val="23"/>
                          <w:szCs w:val="24"/>
                        </w:rPr>
                      </w:pPr>
                      <w:r>
                        <w:rPr>
                          <w:rFonts w:ascii="Swis721 Th BT" w:eastAsia="MS Mincho" w:hAnsi="Swis721 Th BT"/>
                          <w:color w:val="FFFFFF" w:themeColor="background1"/>
                          <w:sz w:val="23"/>
                          <w:szCs w:val="24"/>
                        </w:rPr>
                        <w:t>600 UI</w:t>
                      </w:r>
                    </w:p>
                    <w:p w14:paraId="199AF7AE"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p>
    <w:p w14:paraId="691C9F0E" w14:textId="77777777" w:rsidR="00CD65C2" w:rsidRDefault="00CD65C2">
      <w:pPr>
        <w:pStyle w:val="Corpo"/>
        <w:rPr>
          <w:rFonts w:hint="eastAsia"/>
          <w:color w:val="404040" w:themeColor="text1" w:themeTint="BF"/>
        </w:rPr>
      </w:pPr>
    </w:p>
    <w:p w14:paraId="0A0EDBEB" w14:textId="77777777" w:rsidR="00CD65C2" w:rsidRDefault="00CD65C2">
      <w:pPr>
        <w:pStyle w:val="Corpo"/>
        <w:rPr>
          <w:rFonts w:hint="eastAsia"/>
          <w:color w:val="404040" w:themeColor="text1" w:themeTint="BF"/>
        </w:rPr>
      </w:pPr>
    </w:p>
    <w:p w14:paraId="77177533" w14:textId="77777777" w:rsidR="00CD65C2" w:rsidRDefault="00CD65C2">
      <w:pPr>
        <w:pStyle w:val="Corpo"/>
        <w:rPr>
          <w:rFonts w:hint="eastAsia"/>
          <w:color w:val="404040" w:themeColor="text1" w:themeTint="BF"/>
        </w:rPr>
      </w:pPr>
    </w:p>
    <w:p w14:paraId="59F81385" w14:textId="77777777" w:rsidR="00CD65C2" w:rsidRDefault="00CD65C2">
      <w:pPr>
        <w:pStyle w:val="Corpo"/>
        <w:rPr>
          <w:rFonts w:hint="eastAsia"/>
          <w:color w:val="404040" w:themeColor="text1" w:themeTint="BF"/>
        </w:rPr>
      </w:pPr>
    </w:p>
    <w:p w14:paraId="1D11C809" w14:textId="77777777" w:rsidR="00CD65C2" w:rsidRPr="00D1428E" w:rsidRDefault="00CD65C2">
      <w:pPr>
        <w:pStyle w:val="Corpo"/>
        <w:rPr>
          <w:rFonts w:hint="eastAsia"/>
          <w:color w:val="404040" w:themeColor="text1" w:themeTint="BF"/>
          <w:sz w:val="20"/>
          <w:szCs w:val="20"/>
        </w:rPr>
      </w:pPr>
    </w:p>
    <w:p w14:paraId="4E33B844" w14:textId="77777777" w:rsidR="00CD65C2" w:rsidRPr="00D1428E" w:rsidRDefault="00FA41FC" w:rsidP="00D1428E">
      <w:pPr>
        <w:pStyle w:val="Corpo"/>
        <w:numPr>
          <w:ilvl w:val="0"/>
          <w:numId w:val="53"/>
        </w:numPr>
        <w:rPr>
          <w:rFonts w:hint="eastAsia"/>
          <w:color w:val="404040" w:themeColor="text1" w:themeTint="BF"/>
          <w:sz w:val="20"/>
          <w:szCs w:val="20"/>
        </w:rPr>
      </w:pPr>
      <w:r w:rsidRPr="00D1428E">
        <w:rPr>
          <w:rFonts w:hint="eastAsia"/>
          <w:color w:val="404040" w:themeColor="text1" w:themeTint="BF"/>
          <w:sz w:val="20"/>
          <w:szCs w:val="20"/>
        </w:rPr>
        <w:t xml:space="preserve">Os </w:t>
      </w:r>
      <w:r w:rsidRPr="00D1428E">
        <w:rPr>
          <w:color w:val="404040" w:themeColor="text1" w:themeTint="BF"/>
          <w:sz w:val="20"/>
          <w:szCs w:val="20"/>
        </w:rPr>
        <w:t>n</w:t>
      </w:r>
      <w:r w:rsidRPr="00D1428E">
        <w:rPr>
          <w:rFonts w:hint="cs"/>
          <w:color w:val="404040" w:themeColor="text1" w:themeTint="BF"/>
          <w:sz w:val="20"/>
          <w:szCs w:val="20"/>
        </w:rPr>
        <w:t>í</w:t>
      </w:r>
      <w:r w:rsidRPr="00D1428E">
        <w:rPr>
          <w:color w:val="404040" w:themeColor="text1" w:themeTint="BF"/>
          <w:sz w:val="20"/>
          <w:szCs w:val="20"/>
        </w:rPr>
        <w:t>veis</w:t>
      </w:r>
      <w:r w:rsidRPr="00D1428E">
        <w:rPr>
          <w:rFonts w:hint="eastAsia"/>
          <w:color w:val="404040" w:themeColor="text1" w:themeTint="BF"/>
          <w:sz w:val="20"/>
          <w:szCs w:val="20"/>
        </w:rPr>
        <w:t xml:space="preserve"> </w:t>
      </w:r>
      <w:r w:rsidRPr="00D1428E">
        <w:rPr>
          <w:color w:val="404040" w:themeColor="text1" w:themeTint="BF"/>
          <w:sz w:val="20"/>
          <w:szCs w:val="20"/>
        </w:rPr>
        <w:t>s</w:t>
      </w:r>
      <w:r w:rsidRPr="00D1428E">
        <w:rPr>
          <w:rFonts w:hint="cs"/>
          <w:color w:val="404040" w:themeColor="text1" w:themeTint="BF"/>
          <w:sz w:val="20"/>
          <w:szCs w:val="20"/>
        </w:rPr>
        <w:t>é</w:t>
      </w:r>
      <w:r w:rsidRPr="00D1428E">
        <w:rPr>
          <w:color w:val="404040" w:themeColor="text1" w:themeTint="BF"/>
          <w:sz w:val="20"/>
          <w:szCs w:val="20"/>
        </w:rPr>
        <w:t>ricos</w:t>
      </w:r>
      <w:r w:rsidRPr="00D1428E">
        <w:rPr>
          <w:rFonts w:hint="eastAsia"/>
          <w:color w:val="404040" w:themeColor="text1" w:themeTint="BF"/>
          <w:sz w:val="20"/>
          <w:szCs w:val="20"/>
        </w:rPr>
        <w:t xml:space="preserve"> de </w:t>
      </w:r>
      <w:r w:rsidRPr="00D1428E">
        <w:rPr>
          <w:color w:val="404040" w:themeColor="text1" w:themeTint="BF"/>
          <w:sz w:val="20"/>
          <w:szCs w:val="20"/>
        </w:rPr>
        <w:t>estr</w:t>
      </w:r>
      <w:r w:rsidRPr="00D1428E">
        <w:rPr>
          <w:rFonts w:hint="cs"/>
          <w:color w:val="404040" w:themeColor="text1" w:themeTint="BF"/>
          <w:sz w:val="20"/>
          <w:szCs w:val="20"/>
        </w:rPr>
        <w:t>ó</w:t>
      </w:r>
      <w:r w:rsidRPr="00D1428E">
        <w:rPr>
          <w:color w:val="404040" w:themeColor="text1" w:themeTint="BF"/>
          <w:sz w:val="20"/>
          <w:szCs w:val="20"/>
        </w:rPr>
        <w:t>geno,</w:t>
      </w:r>
      <w:r w:rsidRPr="00D1428E">
        <w:rPr>
          <w:rFonts w:hint="eastAsia"/>
          <w:color w:val="404040" w:themeColor="text1" w:themeTint="BF"/>
          <w:sz w:val="20"/>
          <w:szCs w:val="20"/>
        </w:rPr>
        <w:t xml:space="preserve"> </w:t>
      </w:r>
      <w:r w:rsidRPr="00D1428E">
        <w:rPr>
          <w:color w:val="404040" w:themeColor="text1" w:themeTint="BF"/>
          <w:sz w:val="20"/>
          <w:szCs w:val="20"/>
        </w:rPr>
        <w:t>al</w:t>
      </w:r>
      <w:r w:rsidRPr="00D1428E">
        <w:rPr>
          <w:rFonts w:hint="cs"/>
          <w:color w:val="404040" w:themeColor="text1" w:themeTint="BF"/>
          <w:sz w:val="20"/>
          <w:szCs w:val="20"/>
        </w:rPr>
        <w:t>é</w:t>
      </w:r>
      <w:r w:rsidRPr="00D1428E">
        <w:rPr>
          <w:color w:val="404040" w:themeColor="text1" w:themeTint="BF"/>
          <w:sz w:val="20"/>
          <w:szCs w:val="20"/>
        </w:rPr>
        <w:t>m</w:t>
      </w:r>
      <w:r w:rsidRPr="00D1428E">
        <w:rPr>
          <w:rFonts w:hint="eastAsia"/>
          <w:color w:val="404040" w:themeColor="text1" w:themeTint="BF"/>
          <w:sz w:val="20"/>
          <w:szCs w:val="20"/>
        </w:rPr>
        <w:t xml:space="preserve"> dos exames visuais, </w:t>
      </w:r>
      <w:r w:rsidRPr="00D1428E">
        <w:rPr>
          <w:color w:val="404040" w:themeColor="text1" w:themeTint="BF"/>
          <w:sz w:val="20"/>
          <w:szCs w:val="20"/>
        </w:rPr>
        <w:t>colposc</w:t>
      </w:r>
      <w:r w:rsidRPr="00D1428E">
        <w:rPr>
          <w:rFonts w:hint="cs"/>
          <w:color w:val="404040" w:themeColor="text1" w:themeTint="BF"/>
          <w:sz w:val="20"/>
          <w:szCs w:val="20"/>
        </w:rPr>
        <w:t>ó</w:t>
      </w:r>
      <w:r w:rsidRPr="00D1428E">
        <w:rPr>
          <w:color w:val="404040" w:themeColor="text1" w:themeTint="BF"/>
          <w:sz w:val="20"/>
          <w:szCs w:val="20"/>
        </w:rPr>
        <w:t>picos</w:t>
      </w:r>
      <w:r w:rsidRPr="00D1428E">
        <w:rPr>
          <w:rFonts w:hint="eastAsia"/>
          <w:color w:val="404040" w:themeColor="text1" w:themeTint="BF"/>
          <w:sz w:val="20"/>
          <w:szCs w:val="20"/>
        </w:rPr>
        <w:t xml:space="preserve"> e </w:t>
      </w:r>
      <w:r w:rsidRPr="00D1428E">
        <w:rPr>
          <w:color w:val="404040" w:themeColor="text1" w:themeTint="BF"/>
          <w:sz w:val="20"/>
          <w:szCs w:val="20"/>
        </w:rPr>
        <w:t>histol</w:t>
      </w:r>
      <w:r w:rsidRPr="00D1428E">
        <w:rPr>
          <w:rFonts w:hint="cs"/>
          <w:color w:val="404040" w:themeColor="text1" w:themeTint="BF"/>
          <w:sz w:val="20"/>
          <w:szCs w:val="20"/>
        </w:rPr>
        <w:t>ó</w:t>
      </w:r>
      <w:r w:rsidRPr="00D1428E">
        <w:rPr>
          <w:color w:val="404040" w:themeColor="text1" w:themeTint="BF"/>
          <w:sz w:val="20"/>
          <w:szCs w:val="20"/>
        </w:rPr>
        <w:t>gicos</w:t>
      </w:r>
      <w:r w:rsidRPr="00D1428E">
        <w:rPr>
          <w:rFonts w:hint="eastAsia"/>
          <w:color w:val="404040" w:themeColor="text1" w:themeTint="BF"/>
          <w:sz w:val="20"/>
          <w:szCs w:val="20"/>
        </w:rPr>
        <w:t xml:space="preserve"> vaginais foram realizados antes e </w:t>
      </w:r>
      <w:r w:rsidRPr="00D1428E">
        <w:rPr>
          <w:color w:val="404040" w:themeColor="text1" w:themeTint="BF"/>
          <w:sz w:val="20"/>
          <w:szCs w:val="20"/>
        </w:rPr>
        <w:t>ap</w:t>
      </w:r>
      <w:r w:rsidRPr="00D1428E">
        <w:rPr>
          <w:rFonts w:hint="cs"/>
          <w:color w:val="404040" w:themeColor="text1" w:themeTint="BF"/>
          <w:sz w:val="20"/>
          <w:szCs w:val="20"/>
        </w:rPr>
        <w:t>ó</w:t>
      </w:r>
      <w:r w:rsidRPr="00D1428E">
        <w:rPr>
          <w:color w:val="404040" w:themeColor="text1" w:themeTint="BF"/>
          <w:sz w:val="20"/>
          <w:szCs w:val="20"/>
        </w:rPr>
        <w:t>s</w:t>
      </w:r>
      <w:r w:rsidRPr="00D1428E">
        <w:rPr>
          <w:rFonts w:hint="eastAsia"/>
          <w:color w:val="404040" w:themeColor="text1" w:themeTint="BF"/>
          <w:sz w:val="20"/>
          <w:szCs w:val="20"/>
        </w:rPr>
        <w:t xml:space="preserve"> o tratamento.</w:t>
      </w:r>
    </w:p>
    <w:p w14:paraId="3130EEFB" w14:textId="77777777" w:rsidR="00CD65C2" w:rsidRDefault="00CD65C2">
      <w:pPr>
        <w:pStyle w:val="Corpo"/>
        <w:rPr>
          <w:rFonts w:hint="eastAsia"/>
          <w:color w:val="404040" w:themeColor="text1" w:themeTint="BF"/>
        </w:rPr>
      </w:pPr>
    </w:p>
    <w:p w14:paraId="3D4CEAB3"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4AD4B4DC" w14:textId="77777777" w:rsidR="00CD65C2" w:rsidRDefault="00CD65C2">
      <w:pPr>
        <w:pStyle w:val="Corpo"/>
        <w:rPr>
          <w:rFonts w:hint="eastAsia"/>
          <w:color w:val="404040" w:themeColor="text1" w:themeTint="BF"/>
          <w:sz w:val="16"/>
          <w:szCs w:val="16"/>
        </w:rPr>
      </w:pPr>
    </w:p>
    <w:p w14:paraId="5D2B41F9" w14:textId="1106A21A" w:rsidR="00CD65C2" w:rsidRDefault="00FA41FC" w:rsidP="00D1428E">
      <w:pPr>
        <w:pStyle w:val="Corpo"/>
        <w:numPr>
          <w:ilvl w:val="0"/>
          <w:numId w:val="54"/>
        </w:numPr>
        <w:rPr>
          <w:rFonts w:hint="eastAsia"/>
          <w:b/>
          <w:bCs/>
          <w:color w:val="404040" w:themeColor="text1" w:themeTint="BF"/>
          <w:sz w:val="24"/>
        </w:rPr>
      </w:pPr>
      <w:r>
        <w:rPr>
          <w:bCs/>
          <w:color w:val="404040" w:themeColor="text1" w:themeTint="BF"/>
          <w:sz w:val="24"/>
        </w:rPr>
        <w:t>Antes do tratamento, todas as participantes relataram dor vaginal e dispareunia;</w:t>
      </w:r>
    </w:p>
    <w:p w14:paraId="5F8ED66E" w14:textId="77777777" w:rsidR="00CD65C2" w:rsidRDefault="00FA41FC" w:rsidP="00D1428E">
      <w:pPr>
        <w:pStyle w:val="Corpo"/>
        <w:numPr>
          <w:ilvl w:val="0"/>
          <w:numId w:val="54"/>
        </w:numPr>
        <w:rPr>
          <w:rFonts w:hint="eastAsia"/>
          <w:b/>
          <w:bCs/>
          <w:color w:val="404040" w:themeColor="text1" w:themeTint="BF"/>
          <w:sz w:val="24"/>
        </w:rPr>
      </w:pPr>
      <w:r>
        <w:rPr>
          <w:bCs/>
          <w:color w:val="404040" w:themeColor="text1" w:themeTint="BF"/>
          <w:sz w:val="24"/>
        </w:rPr>
        <w:t xml:space="preserve">O grupo placebo não demonstrou diferenças significativas na dispareunia antes e após o tratamento (100% </w:t>
      </w:r>
      <w:r>
        <w:rPr>
          <w:bCs/>
          <w:i/>
          <w:color w:val="404040" w:themeColor="text1" w:themeTint="BF"/>
          <w:sz w:val="24"/>
        </w:rPr>
        <w:t>vs.</w:t>
      </w:r>
      <w:r>
        <w:rPr>
          <w:bCs/>
          <w:color w:val="404040" w:themeColor="text1" w:themeTint="BF"/>
          <w:sz w:val="24"/>
        </w:rPr>
        <w:t xml:space="preserve"> 90%);</w:t>
      </w:r>
    </w:p>
    <w:p w14:paraId="05C52629" w14:textId="77777777" w:rsidR="00CD65C2" w:rsidRDefault="00FA41FC" w:rsidP="00D1428E">
      <w:pPr>
        <w:pStyle w:val="Corpo"/>
        <w:numPr>
          <w:ilvl w:val="0"/>
          <w:numId w:val="54"/>
        </w:numPr>
        <w:rPr>
          <w:rFonts w:hint="eastAsia"/>
          <w:b/>
          <w:bCs/>
          <w:color w:val="404040" w:themeColor="text1" w:themeTint="BF"/>
          <w:sz w:val="24"/>
        </w:rPr>
      </w:pPr>
      <w:r>
        <w:rPr>
          <w:bCs/>
          <w:color w:val="404040" w:themeColor="text1" w:themeTint="BF"/>
          <w:sz w:val="24"/>
        </w:rPr>
        <w:t xml:space="preserve">Houve diferença estatisticamente significativa antes e após o tratamento com ocitocina na dispareunia (100% </w:t>
      </w:r>
      <w:r>
        <w:rPr>
          <w:bCs/>
          <w:i/>
          <w:color w:val="404040" w:themeColor="text1" w:themeTint="BF"/>
          <w:sz w:val="24"/>
        </w:rPr>
        <w:t>vs.</w:t>
      </w:r>
      <w:r>
        <w:rPr>
          <w:bCs/>
          <w:color w:val="404040" w:themeColor="text1" w:themeTint="BF"/>
          <w:sz w:val="24"/>
        </w:rPr>
        <w:t xml:space="preserve"> 36%);</w:t>
      </w:r>
    </w:p>
    <w:p w14:paraId="7755B175" w14:textId="77777777" w:rsidR="00CD65C2" w:rsidRDefault="00FA41FC" w:rsidP="00D1428E">
      <w:pPr>
        <w:pStyle w:val="Corpo"/>
        <w:numPr>
          <w:ilvl w:val="0"/>
          <w:numId w:val="54"/>
        </w:numPr>
        <w:rPr>
          <w:rFonts w:hint="eastAsia"/>
          <w:b/>
          <w:bCs/>
          <w:color w:val="404040" w:themeColor="text1" w:themeTint="BF"/>
          <w:sz w:val="24"/>
        </w:rPr>
      </w:pPr>
      <w:r>
        <w:rPr>
          <w:bCs/>
          <w:color w:val="404040" w:themeColor="text1" w:themeTint="BF"/>
          <w:sz w:val="24"/>
        </w:rPr>
        <w:t xml:space="preserve">Quanto a dor, não foram observadas alterações significativas antes e após o placebo (100% </w:t>
      </w:r>
      <w:r>
        <w:rPr>
          <w:bCs/>
          <w:i/>
          <w:color w:val="404040" w:themeColor="text1" w:themeTint="BF"/>
          <w:sz w:val="24"/>
        </w:rPr>
        <w:t>vs.</w:t>
      </w:r>
      <w:r>
        <w:rPr>
          <w:bCs/>
          <w:color w:val="404040" w:themeColor="text1" w:themeTint="BF"/>
          <w:sz w:val="24"/>
        </w:rPr>
        <w:t xml:space="preserve"> 90%), enquanto o grupo ocitocina demonstrou resultados estatisticamente significativos antes e após o tratamento (100% </w:t>
      </w:r>
      <w:r>
        <w:rPr>
          <w:bCs/>
          <w:i/>
          <w:color w:val="404040" w:themeColor="text1" w:themeTint="BF"/>
          <w:sz w:val="24"/>
        </w:rPr>
        <w:t>vs</w:t>
      </w:r>
      <w:r>
        <w:rPr>
          <w:bCs/>
          <w:color w:val="404040" w:themeColor="text1" w:themeTint="BF"/>
          <w:sz w:val="24"/>
        </w:rPr>
        <w:t>. 33%);</w:t>
      </w:r>
    </w:p>
    <w:p w14:paraId="2D85C90B" w14:textId="77777777" w:rsidR="00CD65C2" w:rsidRDefault="00FA41FC" w:rsidP="00D1428E">
      <w:pPr>
        <w:pStyle w:val="Corpo"/>
        <w:numPr>
          <w:ilvl w:val="0"/>
          <w:numId w:val="54"/>
        </w:numPr>
        <w:rPr>
          <w:rFonts w:hint="eastAsia"/>
          <w:b/>
          <w:bCs/>
          <w:color w:val="404040" w:themeColor="text1" w:themeTint="BF"/>
          <w:sz w:val="24"/>
        </w:rPr>
      </w:pPr>
      <w:r>
        <w:rPr>
          <w:bCs/>
          <w:color w:val="404040" w:themeColor="text1" w:themeTint="BF"/>
          <w:sz w:val="24"/>
        </w:rPr>
        <w:t>Não foram observadas diferenças estatisticamente significativas nos níveis séricos de estradiol antes e após os dois tratamentos;</w:t>
      </w:r>
    </w:p>
    <w:p w14:paraId="007E8870" w14:textId="77777777" w:rsidR="00CD65C2" w:rsidRDefault="00FA41FC" w:rsidP="00D1428E">
      <w:pPr>
        <w:pStyle w:val="Corpo"/>
        <w:numPr>
          <w:ilvl w:val="0"/>
          <w:numId w:val="54"/>
        </w:numPr>
        <w:rPr>
          <w:rFonts w:hint="eastAsia"/>
          <w:b/>
          <w:color w:val="339966"/>
          <w14:textFill>
            <w14:solidFill>
              <w14:srgbClr w14:val="339966">
                <w14:lumMod w14:val="75000"/>
                <w14:lumOff w14:val="25000"/>
              </w14:srgbClr>
            </w14:solidFill>
          </w14:textFill>
        </w:rPr>
      </w:pPr>
      <w:r>
        <w:rPr>
          <w:bCs/>
          <w:color w:val="404040" w:themeColor="text1" w:themeTint="BF"/>
          <w:sz w:val="24"/>
        </w:rPr>
        <w:t>Nenhum paciente dos dois grupos relatou efeitos adversos ao gel.</w:t>
      </w:r>
    </w:p>
    <w:p w14:paraId="1144D136" w14:textId="77777777" w:rsidR="00CD65C2" w:rsidRDefault="00CD65C2">
      <w:pPr>
        <w:pStyle w:val="Corpo"/>
        <w:ind w:left="360"/>
        <w:rPr>
          <w:rFonts w:hint="eastAsia"/>
          <w:bCs/>
          <w:color w:val="404040" w:themeColor="text1" w:themeTint="BF"/>
          <w:sz w:val="24"/>
        </w:rPr>
      </w:pPr>
    </w:p>
    <w:p w14:paraId="181AB1A7" w14:textId="77777777" w:rsidR="00CD65C2" w:rsidRDefault="00FA41FC">
      <w:pPr>
        <w:pStyle w:val="Corpo"/>
        <w:ind w:left="360"/>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 xml:space="preserve"> </w:t>
      </w:r>
    </w:p>
    <w:p w14:paraId="531E1903"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44B27945"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0DE320E3" w14:textId="77777777" w:rsidR="00CD65C2" w:rsidRDefault="00FA41FC">
      <w:pPr>
        <w:pStyle w:val="Corpo"/>
        <w:spacing w:line="276" w:lineRule="auto"/>
        <w:jc w:val="center"/>
        <w:rPr>
          <w:rFonts w:hint="eastAsia"/>
          <w:b/>
          <w:i/>
          <w:color w:val="404040" w:themeColor="text1" w:themeTint="BF"/>
        </w:rPr>
      </w:pPr>
      <w:r>
        <w:rPr>
          <w:b/>
          <w:i/>
          <w:color w:val="404040" w:themeColor="text1" w:themeTint="BF"/>
        </w:rPr>
        <w:t>Baseado nos resultados, o gel de ocitocina pode ser usado para alívio dos sintomas e restauração do epitélio vaginal em mulheres pós-menopausadas com atrofia vaginal, sem causar efeitos adversos e alterações significativas nos níveis hormonais sistêmicos.</w:t>
      </w:r>
    </w:p>
    <w:p w14:paraId="5D716F9E" w14:textId="77777777" w:rsidR="00CD65C2" w:rsidRDefault="00FA41FC">
      <w:pPr>
        <w:pStyle w:val="Ttulo1"/>
        <w:jc w:val="center"/>
        <w:rPr>
          <w:rFonts w:hint="eastAsia"/>
        </w:rPr>
      </w:pPr>
      <w:bookmarkStart w:id="136" w:name="_Toc165537284"/>
      <w:r>
        <w:t>Formulário</w:t>
      </w:r>
      <w:bookmarkEnd w:id="136"/>
    </w:p>
    <w:p w14:paraId="63D3E15B" w14:textId="77777777" w:rsidR="00CD65C2" w:rsidRDefault="00CD65C2">
      <w:pPr>
        <w:pStyle w:val="Corpo"/>
        <w:rPr>
          <w:rFonts w:hint="eastAsia"/>
          <w:b/>
          <w:i/>
          <w:color w:val="404040" w:themeColor="text1" w:themeTint="BF"/>
        </w:rPr>
      </w:pPr>
    </w:p>
    <w:p w14:paraId="52793B8C" w14:textId="77777777" w:rsidR="00CD65C2" w:rsidRDefault="00CD65C2">
      <w:pPr>
        <w:pStyle w:val="Corpo"/>
        <w:rPr>
          <w:rFonts w:hint="eastAsia"/>
          <w:b/>
          <w:i/>
          <w:color w:val="404040" w:themeColor="text1" w:themeTint="BF"/>
        </w:rPr>
      </w:pPr>
    </w:p>
    <w:p w14:paraId="0FEE3B62" w14:textId="77777777" w:rsidR="00CD65C2" w:rsidRDefault="00FA41FC">
      <w:pPr>
        <w:pStyle w:val="Corpo"/>
        <w:rPr>
          <w:rFonts w:hint="eastAsia"/>
          <w:b/>
          <w:i/>
          <w:color w:val="404040" w:themeColor="text1" w:themeTint="BF"/>
          <w:sz w:val="24"/>
        </w:rPr>
      </w:pPr>
      <w:r>
        <w:rPr>
          <w:b/>
          <w:i/>
          <w:color w:val="404040" w:themeColor="text1" w:themeTint="BF"/>
          <w:sz w:val="24"/>
        </w:rPr>
        <w:t>Gel Intravaginal de Ocitocina</w:t>
      </w:r>
    </w:p>
    <w:p w14:paraId="4168EA0E" w14:textId="77777777" w:rsidR="00CD65C2" w:rsidRDefault="00CD65C2">
      <w:pPr>
        <w:pStyle w:val="Corpo"/>
        <w:rPr>
          <w:rFonts w:hint="eastAsia"/>
          <w:color w:val="404040" w:themeColor="text1" w:themeTint="BF"/>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0D2A9F98"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70E7F18D" w14:textId="77777777" w:rsidR="00CD65C2" w:rsidRDefault="00FA41FC">
            <w:pPr>
              <w:pStyle w:val="Corpo"/>
              <w:jc w:val="center"/>
              <w:rPr>
                <w:rFonts w:hint="eastAsia"/>
                <w:b/>
                <w:color w:val="FFFFFF" w:themeColor="background1"/>
              </w:rPr>
            </w:pPr>
            <w:r>
              <w:rPr>
                <w:b/>
                <w:color w:val="FFFFFF" w:themeColor="background1"/>
                <w:sz w:val="22"/>
              </w:rPr>
              <w:t>Ocitocina na Atrofia Vaginal</w:t>
            </w:r>
          </w:p>
        </w:tc>
      </w:tr>
      <w:tr w:rsidR="00CD65C2" w14:paraId="28FDF2FA"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73936F4" w14:textId="77777777" w:rsidR="00CD65C2" w:rsidRDefault="00FA41FC">
            <w:pPr>
              <w:spacing w:after="0"/>
              <w:jc w:val="center"/>
              <w:rPr>
                <w:rFonts w:ascii="Swis721 Th BT" w:hAnsi="Swis721 Th BT"/>
              </w:rPr>
            </w:pPr>
            <w:r>
              <w:rPr>
                <w:rFonts w:ascii="Swis721 Th BT" w:hAnsi="Swis721 Th BT"/>
              </w:rPr>
              <w:t>Ocitocina....................................600 UI/Dose</w:t>
            </w:r>
          </w:p>
        </w:tc>
      </w:tr>
      <w:tr w:rsidR="00CD65C2" w14:paraId="2B604DD4"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15F2D79" w14:textId="46857AF0" w:rsidR="00CD65C2" w:rsidRDefault="00FA41FC">
            <w:pPr>
              <w:spacing w:after="0"/>
              <w:jc w:val="center"/>
              <w:rPr>
                <w:rFonts w:ascii="Swis721 Th BT" w:hAnsi="Swis721 Th BT"/>
              </w:rPr>
            </w:pPr>
            <w:r>
              <w:rPr>
                <w:rFonts w:ascii="Swis721 Th BT" w:hAnsi="Swis721 Th BT"/>
              </w:rPr>
              <w:t>Gel Intravaginal q.s.p. ...................30 Doses</w:t>
            </w:r>
          </w:p>
        </w:tc>
      </w:tr>
    </w:tbl>
    <w:p w14:paraId="289693CF" w14:textId="77777777" w:rsidR="00CD65C2" w:rsidRDefault="00FA41FC">
      <w:pPr>
        <w:pStyle w:val="Corpo"/>
        <w:ind w:right="4960"/>
        <w:jc w:val="center"/>
        <w:rPr>
          <w:rFonts w:hint="eastAsia"/>
          <w:color w:val="404040" w:themeColor="text1" w:themeTint="BF"/>
          <w:sz w:val="22"/>
          <w:szCs w:val="22"/>
        </w:rPr>
      </w:pPr>
      <w:r>
        <w:rPr>
          <w:color w:val="404040" w:themeColor="text1" w:themeTint="BF"/>
          <w:sz w:val="22"/>
          <w:szCs w:val="22"/>
        </w:rPr>
        <w:t>Aplicar 1 dose (com aplicador intravaginal) ao deitar ou conforme orientação médica.</w:t>
      </w:r>
    </w:p>
    <w:p w14:paraId="33B14537" w14:textId="77777777" w:rsidR="00CD65C2" w:rsidRDefault="00CD65C2">
      <w:pPr>
        <w:pStyle w:val="SemEspaamento"/>
      </w:pPr>
    </w:p>
    <w:p w14:paraId="32B920BA" w14:textId="77777777" w:rsidR="00CD65C2" w:rsidRDefault="00CD65C2">
      <w:pPr>
        <w:pStyle w:val="SemEspaamento"/>
      </w:pPr>
    </w:p>
    <w:p w14:paraId="03295FEF" w14:textId="77777777" w:rsidR="00CD65C2" w:rsidRDefault="00CD65C2">
      <w:pPr>
        <w:pStyle w:val="SemEspaamento"/>
      </w:pPr>
    </w:p>
    <w:p w14:paraId="6551F790" w14:textId="77777777" w:rsidR="00CD65C2" w:rsidRDefault="00CD65C2">
      <w:pPr>
        <w:pStyle w:val="SemEspaamento"/>
      </w:pPr>
    </w:p>
    <w:p w14:paraId="149341CF" w14:textId="77777777" w:rsidR="00CD65C2" w:rsidRDefault="00CD65C2">
      <w:pPr>
        <w:pStyle w:val="SemEspaamento"/>
      </w:pPr>
    </w:p>
    <w:p w14:paraId="70505B4B" w14:textId="77777777" w:rsidR="00CD65C2" w:rsidRDefault="00CD65C2">
      <w:pPr>
        <w:pStyle w:val="SemEspaamento"/>
      </w:pPr>
    </w:p>
    <w:p w14:paraId="55CB35D2" w14:textId="77777777" w:rsidR="00CD65C2" w:rsidRDefault="00CD65C2">
      <w:pPr>
        <w:pStyle w:val="SemEspaamento"/>
      </w:pPr>
    </w:p>
    <w:p w14:paraId="6FDC9094" w14:textId="77777777" w:rsidR="00CD65C2" w:rsidRDefault="00CD65C2">
      <w:pPr>
        <w:pStyle w:val="SemEspaamento"/>
      </w:pPr>
    </w:p>
    <w:p w14:paraId="7BA36F0E" w14:textId="77777777" w:rsidR="00CD65C2" w:rsidRDefault="00CD65C2">
      <w:pPr>
        <w:pStyle w:val="SemEspaamento"/>
      </w:pPr>
    </w:p>
    <w:p w14:paraId="47E85E80" w14:textId="77777777" w:rsidR="00CD65C2" w:rsidRDefault="00CD65C2">
      <w:pPr>
        <w:pStyle w:val="SemEspaamento"/>
      </w:pPr>
    </w:p>
    <w:p w14:paraId="387E3C6D" w14:textId="77777777" w:rsidR="00CD65C2" w:rsidRDefault="00CD65C2">
      <w:pPr>
        <w:pStyle w:val="SemEspaamento"/>
      </w:pPr>
    </w:p>
    <w:p w14:paraId="5DE0F8F6" w14:textId="77777777" w:rsidR="00CD65C2" w:rsidRDefault="00CD65C2">
      <w:pPr>
        <w:pStyle w:val="SemEspaamento"/>
      </w:pPr>
    </w:p>
    <w:p w14:paraId="1ABBEDA1" w14:textId="77777777" w:rsidR="00CD65C2" w:rsidRDefault="00CD65C2">
      <w:pPr>
        <w:pStyle w:val="SemEspaamento"/>
      </w:pPr>
    </w:p>
    <w:p w14:paraId="3698016C" w14:textId="77777777" w:rsidR="00CD65C2" w:rsidRDefault="00CD65C2">
      <w:pPr>
        <w:pStyle w:val="SemEspaamento"/>
      </w:pPr>
    </w:p>
    <w:p w14:paraId="007B4E1A" w14:textId="77777777" w:rsidR="00CD65C2" w:rsidRDefault="00CD65C2">
      <w:pPr>
        <w:pStyle w:val="SemEspaamento"/>
      </w:pPr>
    </w:p>
    <w:p w14:paraId="156FE1F6" w14:textId="77777777" w:rsidR="00CD65C2" w:rsidRDefault="00CD65C2">
      <w:pPr>
        <w:pStyle w:val="SemEspaamento"/>
      </w:pPr>
    </w:p>
    <w:p w14:paraId="003C5BC9" w14:textId="77777777" w:rsidR="00CD65C2" w:rsidRDefault="00CD65C2">
      <w:pPr>
        <w:pStyle w:val="SemEspaamento"/>
      </w:pPr>
    </w:p>
    <w:p w14:paraId="2699DC97" w14:textId="77777777" w:rsidR="00CD65C2" w:rsidRDefault="00CD65C2">
      <w:pPr>
        <w:pStyle w:val="SemEspaamento"/>
      </w:pPr>
    </w:p>
    <w:p w14:paraId="77B04F47" w14:textId="77777777" w:rsidR="00CD65C2" w:rsidRDefault="00CD65C2">
      <w:pPr>
        <w:pStyle w:val="SemEspaamento"/>
      </w:pPr>
    </w:p>
    <w:p w14:paraId="41DE5323" w14:textId="77777777" w:rsidR="00CD65C2" w:rsidRDefault="00CD65C2">
      <w:pPr>
        <w:pStyle w:val="SemEspaamento"/>
      </w:pPr>
    </w:p>
    <w:p w14:paraId="09283D03" w14:textId="77777777" w:rsidR="00CD65C2" w:rsidRDefault="00CD65C2">
      <w:pPr>
        <w:pStyle w:val="SemEspaamento"/>
      </w:pPr>
    </w:p>
    <w:p w14:paraId="67B940A7" w14:textId="77777777" w:rsidR="00CD65C2" w:rsidRDefault="00CD65C2">
      <w:pPr>
        <w:pStyle w:val="SemEspaamento"/>
      </w:pPr>
    </w:p>
    <w:p w14:paraId="48F23915" w14:textId="77777777" w:rsidR="00CD65C2" w:rsidRDefault="00CD65C2">
      <w:pPr>
        <w:pStyle w:val="SemEspaamento"/>
      </w:pPr>
    </w:p>
    <w:p w14:paraId="0F84C27C" w14:textId="77777777" w:rsidR="00CD65C2" w:rsidRDefault="00CD65C2">
      <w:pPr>
        <w:pStyle w:val="SemEspaamento"/>
      </w:pPr>
    </w:p>
    <w:p w14:paraId="7325B914" w14:textId="77777777" w:rsidR="00CD65C2" w:rsidRDefault="00CD65C2">
      <w:pPr>
        <w:pStyle w:val="SemEspaamento"/>
      </w:pPr>
    </w:p>
    <w:p w14:paraId="093A30A6" w14:textId="77777777" w:rsidR="00CD65C2" w:rsidRDefault="00CD65C2">
      <w:pPr>
        <w:pStyle w:val="SemEspaamento"/>
      </w:pPr>
    </w:p>
    <w:p w14:paraId="186917DD" w14:textId="77777777" w:rsidR="00CD65C2" w:rsidRDefault="00CD65C2">
      <w:pPr>
        <w:pStyle w:val="SemEspaamento"/>
      </w:pPr>
    </w:p>
    <w:p w14:paraId="12C53EAC" w14:textId="77777777" w:rsidR="00CD65C2" w:rsidRDefault="00CD65C2">
      <w:pPr>
        <w:pStyle w:val="SemEspaamento"/>
      </w:pPr>
    </w:p>
    <w:p w14:paraId="3402079B" w14:textId="77777777" w:rsidR="00CD65C2" w:rsidRDefault="00CD65C2">
      <w:pPr>
        <w:pStyle w:val="SemEspaamento"/>
      </w:pPr>
    </w:p>
    <w:p w14:paraId="4CEA84D9" w14:textId="77777777" w:rsidR="00CD65C2" w:rsidRDefault="00CD65C2">
      <w:pPr>
        <w:pStyle w:val="SemEspaamento"/>
      </w:pPr>
    </w:p>
    <w:p w14:paraId="5BF753DE" w14:textId="77777777" w:rsidR="00CD65C2" w:rsidRDefault="00CD65C2">
      <w:pPr>
        <w:pStyle w:val="SemEspaamento"/>
      </w:pPr>
    </w:p>
    <w:p w14:paraId="3A596016" w14:textId="77777777" w:rsidR="00CD65C2" w:rsidRDefault="00CD65C2">
      <w:pPr>
        <w:pStyle w:val="SemEspaamento"/>
      </w:pPr>
    </w:p>
    <w:p w14:paraId="11C8102D" w14:textId="77777777" w:rsidR="00CD65C2" w:rsidRDefault="00CD65C2">
      <w:pPr>
        <w:pStyle w:val="SemEspaamento"/>
      </w:pPr>
    </w:p>
    <w:p w14:paraId="43213C34" w14:textId="77777777" w:rsidR="00CD65C2" w:rsidRDefault="00FA41FC">
      <w:pPr>
        <w:pStyle w:val="Ttulo1"/>
        <w:jc w:val="center"/>
        <w:rPr>
          <w:rFonts w:hint="eastAsia"/>
        </w:rPr>
      </w:pPr>
      <w:bookmarkStart w:id="137" w:name="_Toc165537285"/>
      <w:r>
        <w:rPr>
          <w:bCs/>
          <w:iCs/>
        </w:rPr>
        <w:t>Testosterona</w:t>
      </w:r>
      <w:bookmarkEnd w:id="137"/>
    </w:p>
    <w:p w14:paraId="6D0F7705" w14:textId="77777777" w:rsidR="00CD65C2" w:rsidRPr="00D1428E" w:rsidRDefault="00FA41FC">
      <w:pPr>
        <w:pStyle w:val="Corpo"/>
        <w:spacing w:after="120"/>
        <w:jc w:val="center"/>
        <w:rPr>
          <w:rFonts w:hint="eastAsia"/>
          <w:color w:val="0070C0"/>
          <w:sz w:val="24"/>
        </w:rPr>
      </w:pPr>
      <w:r w:rsidRPr="00D1428E">
        <w:rPr>
          <w:b/>
          <w:color w:val="0070C0"/>
          <w:sz w:val="40"/>
        </w:rPr>
        <w:t>Eficaz na Disfunção Sexual em Mulheres</w:t>
      </w:r>
    </w:p>
    <w:p w14:paraId="0555FCBF" w14:textId="77777777" w:rsidR="00CD65C2" w:rsidRDefault="00CD65C2">
      <w:pPr>
        <w:pStyle w:val="Corpo"/>
        <w:rPr>
          <w:rFonts w:hint="eastAsia"/>
          <w:color w:val="404040" w:themeColor="text1" w:themeTint="BF"/>
          <w:sz w:val="24"/>
        </w:rPr>
      </w:pPr>
    </w:p>
    <w:p w14:paraId="4ECDDDAA" w14:textId="77777777" w:rsidR="00CD65C2" w:rsidRDefault="00FA41FC">
      <w:pPr>
        <w:pStyle w:val="Corpo"/>
        <w:spacing w:after="120"/>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937792" behindDoc="0" locked="0" layoutInCell="1" allowOverlap="1">
                <wp:simplePos x="0" y="0"/>
                <wp:positionH relativeFrom="margin">
                  <wp:posOffset>5715</wp:posOffset>
                </wp:positionH>
                <wp:positionV relativeFrom="paragraph">
                  <wp:posOffset>612775</wp:posOffset>
                </wp:positionV>
                <wp:extent cx="5724525" cy="504825"/>
                <wp:effectExtent l="0" t="0" r="28575" b="28575"/>
                <wp:wrapNone/>
                <wp:docPr id="739657835" name="Caixa de texto 739657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04825"/>
                        </a:xfrm>
                        <a:prstGeom prst="rect">
                          <a:avLst/>
                        </a:prstGeom>
                        <a:solidFill>
                          <a:schemeClr val="bg1">
                            <a:lumMod val="100000"/>
                            <a:lumOff val="0"/>
                          </a:schemeClr>
                        </a:solidFill>
                        <a:ln w="9525">
                          <a:solidFill>
                            <a:srgbClr val="0070C0"/>
                          </a:solidFill>
                          <a:miter lim="800000"/>
                        </a:ln>
                      </wps:spPr>
                      <wps:txbx>
                        <w:txbxContent>
                          <w:p w14:paraId="0DB13AAD" w14:textId="77777777" w:rsidR="00FA41FC" w:rsidRDefault="00FA41FC">
                            <w:pPr>
                              <w:jc w:val="center"/>
                              <w:rPr>
                                <w:rFonts w:ascii="Swis721 Th BT" w:hAnsi="Swis721 Th BT"/>
                                <w:sz w:val="23"/>
                                <w:szCs w:val="23"/>
                              </w:rPr>
                            </w:pPr>
                            <w:r>
                              <w:rPr>
                                <w:rFonts w:ascii="Swis721 Th BT" w:hAnsi="Swis721 Th BT"/>
                                <w:sz w:val="23"/>
                                <w:szCs w:val="23"/>
                              </w:rPr>
                              <w:t xml:space="preserve">Para isso, 81 mulheres com essa disfunção foram divididas em quatro grupos para receberem por seis meses a seguinte posologia: </w:t>
                            </w:r>
                          </w:p>
                        </w:txbxContent>
                      </wps:txbx>
                      <wps:bodyPr rot="0" vert="horz" wrap="square" lIns="91440" tIns="45720" rIns="91440" bIns="45720" anchor="t" anchorCtr="0" upright="1">
                        <a:noAutofit/>
                      </wps:bodyPr>
                    </wps:wsp>
                  </a:graphicData>
                </a:graphic>
              </wp:anchor>
            </w:drawing>
          </mc:Choice>
          <mc:Fallback>
            <w:pict>
              <v:shape id="Caixa de texto 739657835" o:spid="_x0000_s1206" type="#_x0000_t202" style="position:absolute;left:0;text-align:left;margin-left:.45pt;margin-top:48.25pt;width:450.75pt;height:39.75pt;z-index:251937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" fillcolor="white [3212]" strokecolor="#0070c0">
                <v:textbox>
                  <w:txbxContent>
                    <w:p w14:paraId="0DB13AAD" w14:textId="77777777" w:rsidR="00FA41FC" w:rsidRDefault="00FA41FC">
                      <w:pPr>
                        <w:jc w:val="center"/>
                        <w:rPr>
                          <w:rFonts w:ascii="Swis721 Th BT" w:hAnsi="Swis721 Th BT"/>
                          <w:sz w:val="23"/>
                          <w:szCs w:val="23"/>
                        </w:rPr>
                      </w:pPr>
                      <w:r>
                        <w:rPr>
                          <w:rFonts w:ascii="Swis721 Th BT" w:hAnsi="Swis721 Th BT"/>
                          <w:sz w:val="23"/>
                          <w:szCs w:val="23"/>
                        </w:rPr>
                        <w:t xml:space="preserve">Para isso, 81 mulheres com essa disfunção foram divididas em quatro grupos para receberem por seis meses a seguinte posologia: </w:t>
                      </w:r>
                    </w:p>
                  </w:txbxContent>
                </v:textbox>
                <w10:wrap anchorx="margin"/>
              </v:shape>
            </w:pict>
          </mc:Fallback>
        </mc:AlternateContent>
      </w:r>
      <w:r>
        <w:rPr>
          <w:color w:val="404040" w:themeColor="text1" w:themeTint="BF"/>
          <w:sz w:val="24"/>
        </w:rPr>
        <w:t xml:space="preserve">Este estudo </w:t>
      </w:r>
      <w:r>
        <w:rPr>
          <w:color w:val="404040" w:themeColor="text1" w:themeTint="BF"/>
          <w:szCs w:val="23"/>
        </w:rPr>
        <w:t>clínico, randomizado e longitudinal</w:t>
      </w:r>
      <w:r>
        <w:rPr>
          <w:color w:val="404040" w:themeColor="text1" w:themeTint="BF"/>
          <w:sz w:val="24"/>
        </w:rPr>
        <w:t xml:space="preserve"> teve como objetivo avaliar os efeitos da administração transdérmica da testosterona nos parâmetros de ultrassom do clitóris em mulheres com disfunção sexual </w:t>
      </w:r>
      <w:r>
        <w:rPr>
          <w:color w:val="404040" w:themeColor="text1" w:themeTint="BF"/>
          <w:sz w:val="24"/>
        </w:rPr>
        <w:fldChar w:fldCharType="begin">
          <w:fldData xml:space="preserve">PEVuZE5vdGU+PENpdGU+PEF1dGhvcj5DaXByaWFuaTwvQXV0aG9yPjxZZWFyPjIwMjE8L1llYXI+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</w:fldData>
        </w:fldChar>
      </w:r>
      <w:r>
        <w:rPr>
          <w:color w:val="404040" w:themeColor="text1" w:themeTint="BF"/>
          <w:sz w:val="24"/>
        </w:rPr>
        <w:instrText xml:space="preserve"> ADDIN EN.CITE </w:instrText>
      </w:r>
      <w:r>
        <w:rPr>
          <w:color w:val="404040" w:themeColor="text1" w:themeTint="BF"/>
          <w:sz w:val="24"/>
        </w:rPr>
        <w:fldChar w:fldCharType="begin">
          <w:fldData xml:space="preserve">PEVuZE5vdGU+PENpdGU+PEF1dGhvcj5DaXByaWFuaTwvQXV0aG9yPjxZZWFyPjIwMjE8L1llYXI+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</w:fldData>
        </w:fldChar>
      </w:r>
      <w:r>
        <w:rPr>
          <w:color w:val="404040" w:themeColor="text1" w:themeTint="BF"/>
          <w:sz w:val="24"/>
        </w:rPr>
        <w:instrText xml:space="preserve"> ADDIN EN.CITE.DATA </w:instrText>
      </w:r>
      <w:r>
        <w:rPr>
          <w:color w:val="404040" w:themeColor="text1" w:themeTint="BF"/>
          <w:sz w:val="24"/>
        </w:rPr>
      </w:r>
      <w:r>
        <w:rPr>
          <w:color w:val="404040" w:themeColor="text1" w:themeTint="BF"/>
          <w:sz w:val="24"/>
        </w:rPr>
        <w:fldChar w:fldCharType="end"/>
      </w:r>
      <w:r>
        <w:rPr>
          <w:color w:val="404040" w:themeColor="text1" w:themeTint="BF"/>
          <w:sz w:val="24"/>
        </w:rPr>
      </w:r>
      <w:r>
        <w:rPr>
          <w:color w:val="404040" w:themeColor="text1" w:themeTint="BF"/>
          <w:sz w:val="24"/>
        </w:rPr>
        <w:fldChar w:fldCharType="separate"/>
      </w:r>
      <w:r>
        <w:rPr>
          <w:color w:val="404040" w:themeColor="text1" w:themeTint="BF"/>
          <w:sz w:val="24"/>
        </w:rPr>
        <w:t>(CIPRIANI; MASEROLI; DI STASI; SCAVELLO</w:t>
      </w:r>
      <w:r>
        <w:rPr>
          <w:i/>
          <w:color w:val="404040" w:themeColor="text1" w:themeTint="BF"/>
          <w:sz w:val="24"/>
        </w:rPr>
        <w:t xml:space="preserve"> et al.</w:t>
      </w:r>
      <w:r>
        <w:rPr>
          <w:color w:val="404040" w:themeColor="text1" w:themeTint="BF"/>
          <w:sz w:val="24"/>
        </w:rPr>
        <w:t>, 2021)</w:t>
      </w:r>
      <w:r>
        <w:rPr>
          <w:color w:val="404040" w:themeColor="text1" w:themeTint="BF"/>
          <w:sz w:val="24"/>
        </w:rPr>
        <w:fldChar w:fldCharType="end"/>
      </w:r>
      <w:r>
        <w:rPr>
          <w:color w:val="404040" w:themeColor="text1" w:themeTint="BF"/>
          <w:sz w:val="24"/>
        </w:rPr>
        <w:t>.</w:t>
      </w:r>
    </w:p>
    <w:p w14:paraId="6324B638" w14:textId="77777777" w:rsidR="00CD65C2" w:rsidRDefault="00FA41FC">
      <w:pPr>
        <w:pStyle w:val="Corpo"/>
        <w:rPr>
          <w:rFonts w:hint="eastAsia"/>
          <w:color w:val="404040" w:themeColor="text1" w:themeTint="BF"/>
          <w:sz w:val="24"/>
        </w:rPr>
      </w:pPr>
      <w:r>
        <w:rPr>
          <w:color w:val="404040" w:themeColor="text1" w:themeTint="BF"/>
          <w:sz w:val="24"/>
        </w:rPr>
        <w:br/>
      </w:r>
    </w:p>
    <w:p w14:paraId="126F651A" w14:textId="77777777" w:rsidR="00CD65C2" w:rsidRDefault="00CD65C2">
      <w:pPr>
        <w:pStyle w:val="Corpo"/>
        <w:rPr>
          <w:rFonts w:hint="eastAsia"/>
          <w:color w:val="404040" w:themeColor="text1" w:themeTint="BF"/>
        </w:rPr>
      </w:pPr>
    </w:p>
    <w:p w14:paraId="5686595B"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g">
            <w:drawing>
              <wp:anchor distT="0" distB="0" distL="114300" distR="114300" simplePos="0" relativeHeight="251938816" behindDoc="0" locked="0" layoutInCell="1" allowOverlap="1">
                <wp:simplePos x="0" y="0"/>
                <wp:positionH relativeFrom="column">
                  <wp:posOffset>4330065</wp:posOffset>
                </wp:positionH>
                <wp:positionV relativeFrom="paragraph">
                  <wp:posOffset>6350</wp:posOffset>
                </wp:positionV>
                <wp:extent cx="1403985" cy="1661160"/>
                <wp:effectExtent l="0" t="0" r="24765" b="15240"/>
                <wp:wrapNone/>
                <wp:docPr id="739657836" name="Agrupar 20"/>
                <wp:cNvGraphicFramePr/>
                <a:graphic xmlns:a="http://schemas.openxmlformats.org/drawingml/2006/main">
                  <a:graphicData uri="http://schemas.microsoft.com/office/word/2010/wordprocessingGroup">
                    <wpg:wgp>
                      <wpg:cNvGrpSpPr/>
                      <wpg:grpSpPr>
                        <a:xfrm>
                          <a:off x="0" y="0"/>
                          <a:ext cx="1403985" cy="1661160"/>
                          <a:chOff x="0" y="0"/>
                          <a:chExt cx="1403985" cy="1661174"/>
                        </a:xfrm>
                      </wpg:grpSpPr>
                      <wps:wsp>
                        <wps:cNvPr id="739657837" name="Caixa de texto 739657837"/>
                        <wps:cNvSpPr txBox="1">
                          <a:spLocks noChangeArrowheads="1"/>
                        </wps:cNvSpPr>
                        <wps:spPr bwMode="auto">
                          <a:xfrm>
                            <a:off x="0" y="257174"/>
                            <a:ext cx="1403985" cy="1404000"/>
                          </a:xfrm>
                          <a:prstGeom prst="rect">
                            <a:avLst/>
                          </a:prstGeom>
                          <a:solidFill>
                            <a:srgbClr val="0070C0"/>
                          </a:solidFill>
                          <a:ln w="9525">
                            <a:solidFill>
                              <a:srgbClr val="0070C0"/>
                            </a:solidFill>
                            <a:miter lim="800000"/>
                          </a:ln>
                        </wps:spPr>
                        <wps:txbx>
                          <w:txbxContent>
                            <w:p w14:paraId="1579970F"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4</w:t>
                              </w:r>
                              <w:r>
                                <w:rPr>
                                  <w:rFonts w:ascii="Swis721 Th BT" w:hAnsi="Swis721 Th BT"/>
                                  <w:b/>
                                  <w:color w:val="FFFFFF" w:themeColor="background1"/>
                                  <w:sz w:val="23"/>
                                  <w:szCs w:val="23"/>
                                </w:rPr>
                                <w:br/>
                              </w:r>
                              <w:r>
                                <w:rPr>
                                  <w:rFonts w:ascii="Swis721 Th BT" w:hAnsi="Swis721 Th BT"/>
                                  <w:color w:val="FFFFFF" w:themeColor="background1"/>
                                  <w:sz w:val="23"/>
                                  <w:szCs w:val="23"/>
                                </w:rPr>
                                <w:t>Sem tratamento hormonal</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wps:wsp>
                        <wps:cNvPr id="739657838" name="Triângulo isósceles 739657838"/>
                        <wps:cNvSpPr>
                          <a:spLocks noChangeArrowheads="1"/>
                        </wps:cNvSpPr>
                        <wps:spPr bwMode="auto">
                          <a:xfrm flipV="1">
                            <a:off x="59055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wpg:wgp>
                  </a:graphicData>
                </a:graphic>
              </wp:anchor>
            </w:drawing>
          </mc:Choice>
          <mc:Fallback>
            <w:pict>
              <v:group id="Agrupar 20" o:spid="_x0000_s1207" style="position:absolute;left:0;text-align:left;margin-left:340.95pt;margin-top:.5pt;width:110.55pt;height:130.8pt;z-index:251938816" coordsize="14039,16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">
                <v:shape id="Caixa de texto 739657837" o:spid="_x0000_s1208" type="#_x0000_t202" style="position:absolute;top:2571;width:14039;height:14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5fiMkA&#10;AADiAAAADwAAAGRycy9kb3ducmV2LnhtbESPQUsDMRSE74L/ITzBm83WYrNdmxYRKoont3p/bF43&#10;Szcv2yS2a3+9EYQeh5n5hlmuR9eLI4XYedYwnRQgiBtvOm41fG43dyWImJAN9p5Jww9FWK+ur5ZY&#10;GX/iDzrWqRUZwrFCDTaloZIyNpYcxokfiLO388FhyjK00gQ8Zbjr5X1RzKXDjvOCxYGeLTX7+ttp&#10;oMN5o96G3Uv9tWjs4T2cU6m2Wt/ejE+PIBKN6RL+b78aDWq2mD+ocqbg71K+A3L1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r5fiMkAAADiAAAADwAAAAAAAAAAAAAAAACYAgAA&#10;ZHJzL2Rvd25yZXYueG1sUEsFBgAAAAAEAAQA9QAAAI4DAAAAAA==&#10;" fillcolor="#0070c0" strokecolor="#0070c0">
                  <v:textbox>
                    <w:txbxContent>
                      <w:p w14:paraId="1579970F"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4</w:t>
                        </w:r>
                        <w:r>
                          <w:rPr>
                            <w:rFonts w:ascii="Swis721 Th BT" w:hAnsi="Swis721 Th BT"/>
                            <w:b/>
                            <w:color w:val="FFFFFF" w:themeColor="background1"/>
                            <w:sz w:val="23"/>
                            <w:szCs w:val="23"/>
                          </w:rPr>
                          <w:br/>
                        </w:r>
                        <w:r>
                          <w:rPr>
                            <w:rFonts w:ascii="Swis721 Th BT" w:hAnsi="Swis721 Th BT"/>
                            <w:color w:val="FFFFFF" w:themeColor="background1"/>
                            <w:sz w:val="23"/>
                            <w:szCs w:val="23"/>
                          </w:rPr>
                          <w:t>Sem tratamento hormonal</w:t>
                        </w:r>
                        <w:r>
                          <w:rPr>
                            <w:rFonts w:ascii="Swis721 Th BT" w:hAnsi="Swis721 Th BT"/>
                            <w:color w:val="FFFFFF" w:themeColor="background1"/>
                            <w:szCs w:val="23"/>
                          </w:rPr>
                          <w:t xml:space="preserve"> </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739657838" o:spid="_x0000_s1209" type="#_x0000_t5" style="position:absolute;left:5905;width:2267;height:1384;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I7LMYA&#10;AADiAAAADwAAAGRycy9kb3ducmV2LnhtbERPyW7CMBC9V+o/WFOpl6o4LSpLwCBaqRI9hob7EA9x&#10;RDxObTeEv8cHJI5Pb1+uB9uKnnxoHCt4G2UgiCunG64VlL/frzMQISJrbB2TggsFWK8eH5aYa3fm&#10;gvpdrEUK4ZCjAhNjl0sZKkMWw8h1xIk7Om8xJuhrqT2eU7ht5XuWTaTFhlODwY6+DFWn3b9VcKw3&#10;Rfn5UpRkDuGn30f/5+ig1PPTsFmAiDTEu/jm3moF0/F88jGdjdPmdCnd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8I7LMYAAADiAAAADwAAAAAAAAAAAAAAAACYAgAAZHJz&#10;L2Rvd25yZXYueG1sUEsFBgAAAAAEAAQA9QAAAIsDAAAAAA==&#10;" fillcolor="#d8d8d8 [2732]" stroked="f"/>
              </v:group>
            </w:pict>
          </mc:Fallback>
        </mc:AlternateContent>
      </w:r>
      <w:r>
        <w:rPr>
          <w:noProof/>
          <w:color w:val="404040" w:themeColor="text1" w:themeTint="BF"/>
          <w:lang w:eastAsia="pt-BR"/>
        </w:rPr>
        <mc:AlternateContent>
          <mc:Choice Requires="wpg">
            <w:drawing>
              <wp:anchor distT="0" distB="0" distL="114300" distR="114300" simplePos="0" relativeHeight="251941888" behindDoc="0" locked="0" layoutInCell="1" allowOverlap="1">
                <wp:simplePos x="0" y="0"/>
                <wp:positionH relativeFrom="column">
                  <wp:posOffset>2882265</wp:posOffset>
                </wp:positionH>
                <wp:positionV relativeFrom="paragraph">
                  <wp:posOffset>6350</wp:posOffset>
                </wp:positionV>
                <wp:extent cx="1403985" cy="1661160"/>
                <wp:effectExtent l="0" t="0" r="24765" b="15240"/>
                <wp:wrapNone/>
                <wp:docPr id="739657839" name="Agrupar 27"/>
                <wp:cNvGraphicFramePr/>
                <a:graphic xmlns:a="http://schemas.openxmlformats.org/drawingml/2006/main">
                  <a:graphicData uri="http://schemas.microsoft.com/office/word/2010/wordprocessingGroup">
                    <wpg:wgp>
                      <wpg:cNvGrpSpPr/>
                      <wpg:grpSpPr>
                        <a:xfrm>
                          <a:off x="0" y="0"/>
                          <a:ext cx="1403985" cy="1661160"/>
                          <a:chOff x="0" y="0"/>
                          <a:chExt cx="1403985" cy="1661174"/>
                        </a:xfrm>
                      </wpg:grpSpPr>
                      <wps:wsp>
                        <wps:cNvPr id="739657840" name="Caixa de texto 739657840"/>
                        <wps:cNvSpPr txBox="1">
                          <a:spLocks noChangeArrowheads="1"/>
                        </wps:cNvSpPr>
                        <wps:spPr bwMode="auto">
                          <a:xfrm>
                            <a:off x="0" y="257174"/>
                            <a:ext cx="1403985" cy="1404000"/>
                          </a:xfrm>
                          <a:prstGeom prst="rect">
                            <a:avLst/>
                          </a:prstGeom>
                          <a:solidFill>
                            <a:srgbClr val="0070C0"/>
                          </a:solidFill>
                          <a:ln w="9525">
                            <a:solidFill>
                              <a:srgbClr val="0070C0"/>
                            </a:solidFill>
                            <a:miter lim="800000"/>
                          </a:ln>
                        </wps:spPr>
                        <wps:txbx>
                          <w:txbxContent>
                            <w:p w14:paraId="409AF063"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3</w:t>
                              </w:r>
                              <w:r>
                                <w:rPr>
                                  <w:rFonts w:ascii="Swis721 Th BT" w:hAnsi="Swis721 Th BT"/>
                                  <w:b/>
                                  <w:color w:val="FFFFFF" w:themeColor="background1"/>
                                  <w:sz w:val="23"/>
                                  <w:szCs w:val="23"/>
                                </w:rPr>
                                <w:br/>
                              </w:r>
                              <w:r>
                                <w:rPr>
                                  <w:rFonts w:ascii="Swis721 Th BT" w:hAnsi="Swis721 Th BT"/>
                                  <w:color w:val="FFFFFF" w:themeColor="background1"/>
                                  <w:sz w:val="23"/>
                                  <w:szCs w:val="23"/>
                                </w:rPr>
                                <w:t>Terapia Combinada (testosterona + estrógenos)</w:t>
                              </w:r>
                            </w:p>
                          </w:txbxContent>
                        </wps:txbx>
                        <wps:bodyPr rot="0" vert="horz" wrap="square" lIns="91440" tIns="45720" rIns="91440" bIns="45720" anchor="ctr" anchorCtr="0" upright="1">
                          <a:noAutofit/>
                        </wps:bodyPr>
                      </wps:wsp>
                      <wps:wsp>
                        <wps:cNvPr id="739657841" name="Triângulo isósceles 739657841"/>
                        <wps:cNvSpPr>
                          <a:spLocks noChangeArrowheads="1"/>
                        </wps:cNvSpPr>
                        <wps:spPr bwMode="auto">
                          <a:xfrm flipV="1">
                            <a:off x="59055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wpg:wgp>
                  </a:graphicData>
                </a:graphic>
              </wp:anchor>
            </w:drawing>
          </mc:Choice>
          <mc:Fallback>
            <w:pict>
              <v:group id="Agrupar 27" o:spid="_x0000_s1210" style="position:absolute;left:0;text-align:left;margin-left:226.95pt;margin-top:.5pt;width:110.55pt;height:130.8pt;z-index:251941888" coordsize="14039,16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">
                <v:shape id="Caixa de texto 739657840" o:spid="_x0000_s1211" type="#_x0000_t202" style="position:absolute;top:2571;width:14039;height:14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G0gckA&#10;AADiAAAADwAAAGRycy9kb3ducmV2LnhtbESPXU/CMBSG7038D80x8U46BNkYFGJIIBqvHHJ/sh7W&#10;hfV0tBUmv95emHj55v3Ks1wPthMX8qF1rGA8ykAQ10633Cj42m+fChAhImvsHJOCHwqwXt3fLbHU&#10;7sqfdKliI9IIhxIVmBj7UspQG7IYRq4nTt7ReYsxSd9I7fGaxm0nn7NsJi22nB4M9rQxVJ+qb6uA&#10;zrdt/t4fd9VhXpvzh7/FIt8r9fgwvC5ARBrif/iv/aYV5JP57CUvpgkiISUckK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VG0gckAAADiAAAADwAAAAAAAAAAAAAAAACYAgAA&#10;ZHJzL2Rvd25yZXYueG1sUEsFBgAAAAAEAAQA9QAAAI4DAAAAAA==&#10;" fillcolor="#0070c0" strokecolor="#0070c0">
                  <v:textbox>
                    <w:txbxContent>
                      <w:p w14:paraId="409AF063"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3</w:t>
                        </w:r>
                        <w:r>
                          <w:rPr>
                            <w:rFonts w:ascii="Swis721 Th BT" w:hAnsi="Swis721 Th BT"/>
                            <w:b/>
                            <w:color w:val="FFFFFF" w:themeColor="background1"/>
                            <w:sz w:val="23"/>
                            <w:szCs w:val="23"/>
                          </w:rPr>
                          <w:br/>
                        </w:r>
                        <w:r>
                          <w:rPr>
                            <w:rFonts w:ascii="Swis721 Th BT" w:hAnsi="Swis721 Th BT"/>
                            <w:color w:val="FFFFFF" w:themeColor="background1"/>
                            <w:sz w:val="23"/>
                            <w:szCs w:val="23"/>
                          </w:rPr>
                          <w:t>Terapia Combinada (testosterona + estrógenos)</w:t>
                        </w:r>
                      </w:p>
                    </w:txbxContent>
                  </v:textbox>
                </v:shape>
                <v:shape id="Triângulo isósceles 739657841" o:spid="_x0000_s1212" type="#_x0000_t5" style="position:absolute;left:5905;width:2267;height:1384;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7hzMoA&#10;AADiAAAADwAAAGRycy9kb3ducmV2LnhtbESPS2vDMBCE74X+B7GFXkoip488nCghLRSaoxPnvrE2&#10;lom1ciXVcf99VSj0OMzMN8xqM9hW9ORD41jBZJyBIK6cbrhWUB7eR3MQISJrbB2Tgm8KsFnf3qww&#10;1+7KBfX7WIsE4ZCjAhNjl0sZKkMWw9h1xMk7O28xJulrqT1eE9y28jHLptJiw2nBYEdvhqrL/ssq&#10;ONfbonx9KEoyp7Drj9F/OjopdX83bJcgIg3xP/zX/tAKZk+L6cts/jyB30vpDsj1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7+4czKAAAA4gAAAA8AAAAAAAAAAAAAAAAAmAIA&#10;AGRycy9kb3ducmV2LnhtbFBLBQYAAAAABAAEAPUAAACPAwAAAAA=&#10;" fillcolor="#d8d8d8 [2732]" stroked="f"/>
              </v:group>
            </w:pict>
          </mc:Fallback>
        </mc:AlternateContent>
      </w:r>
      <w:r>
        <w:rPr>
          <w:noProof/>
          <w:color w:val="404040" w:themeColor="text1" w:themeTint="BF"/>
          <w:lang w:eastAsia="pt-BR"/>
        </w:rPr>
        <mc:AlternateContent>
          <mc:Choice Requires="wpg">
            <w:drawing>
              <wp:anchor distT="0" distB="0" distL="114300" distR="114300" simplePos="0" relativeHeight="251940864" behindDoc="0" locked="0" layoutInCell="1" allowOverlap="1">
                <wp:simplePos x="0" y="0"/>
                <wp:positionH relativeFrom="column">
                  <wp:posOffset>1443990</wp:posOffset>
                </wp:positionH>
                <wp:positionV relativeFrom="paragraph">
                  <wp:posOffset>6350</wp:posOffset>
                </wp:positionV>
                <wp:extent cx="1403985" cy="1661160"/>
                <wp:effectExtent l="0" t="0" r="24765" b="15240"/>
                <wp:wrapNone/>
                <wp:docPr id="739657842" name="Agrupar 24"/>
                <wp:cNvGraphicFramePr/>
                <a:graphic xmlns:a="http://schemas.openxmlformats.org/drawingml/2006/main">
                  <a:graphicData uri="http://schemas.microsoft.com/office/word/2010/wordprocessingGroup">
                    <wpg:wgp>
                      <wpg:cNvGrpSpPr/>
                      <wpg:grpSpPr>
                        <a:xfrm>
                          <a:off x="0" y="0"/>
                          <a:ext cx="1403985" cy="1661160"/>
                          <a:chOff x="0" y="0"/>
                          <a:chExt cx="1403985" cy="1661174"/>
                        </a:xfrm>
                      </wpg:grpSpPr>
                      <wps:wsp>
                        <wps:cNvPr id="739657843" name="Caixa de texto 739657843"/>
                        <wps:cNvSpPr txBox="1">
                          <a:spLocks noChangeArrowheads="1"/>
                        </wps:cNvSpPr>
                        <wps:spPr bwMode="auto">
                          <a:xfrm>
                            <a:off x="0" y="257174"/>
                            <a:ext cx="1403985" cy="1404000"/>
                          </a:xfrm>
                          <a:prstGeom prst="rect">
                            <a:avLst/>
                          </a:prstGeom>
                          <a:solidFill>
                            <a:srgbClr val="0070C0"/>
                          </a:solidFill>
                          <a:ln w="9525">
                            <a:solidFill>
                              <a:srgbClr val="0070C0"/>
                            </a:solidFill>
                            <a:miter lim="800000"/>
                          </a:ln>
                        </wps:spPr>
                        <wps:txbx>
                          <w:txbxContent>
                            <w:p w14:paraId="1B3E9118"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Estrógenos</w:t>
                              </w:r>
                            </w:p>
                            <w:p w14:paraId="4A511465"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Aplicação diária por 2 semanas e depois aplicação 2 vezes por semana</w:t>
                              </w:r>
                            </w:p>
                          </w:txbxContent>
                        </wps:txbx>
                        <wps:bodyPr rot="0" vert="horz" wrap="square" lIns="91440" tIns="45720" rIns="91440" bIns="45720" anchor="ctr" anchorCtr="0" upright="1">
                          <a:noAutofit/>
                        </wps:bodyPr>
                      </wps:wsp>
                      <wps:wsp>
                        <wps:cNvPr id="739657844" name="Triângulo isósceles 739657844"/>
                        <wps:cNvSpPr>
                          <a:spLocks noChangeArrowheads="1"/>
                        </wps:cNvSpPr>
                        <wps:spPr bwMode="auto">
                          <a:xfrm flipV="1">
                            <a:off x="59055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wpg:wgp>
                  </a:graphicData>
                </a:graphic>
              </wp:anchor>
            </w:drawing>
          </mc:Choice>
          <mc:Fallback>
            <w:pict>
              <v:group id="Agrupar 24" o:spid="_x0000_s1213" style="position:absolute;left:0;text-align:left;margin-left:113.7pt;margin-top:.5pt;width:110.55pt;height:130.8pt;z-index:251940864" coordsize="14039,16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">
                <v:shape id="Caixa de texto 739657843" o:spid="_x0000_s1214" type="#_x0000_t202" style="position:absolute;top:2571;width:14039;height:14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q9soA&#10;AADiAAAADwAAAGRycy9kb3ducmV2LnhtbESPQU8CMRSE7yb8h+aReJOuoOyyUAgxwWg8ucj9ZfvY&#10;bty+Lm2FlV9vTUw8Tmbmm8xqM9hOnMmH1rGC+0kGgrh2uuVGwcd+d1eACBFZY+eYFHxTgM16dLPC&#10;UrsLv9O5io1IEA4lKjAx9qWUoTZkMUxcT5y8o/MWY5K+kdrjJcFtJ6dZNpcWW04LBnt6MlR/Vl9W&#10;AZ2uu/y1Pz5Xh0VtTm/+Got8r9TteNguQUQa4n/4r/2iFeSzxfwxLx5m8Hsp3QG5/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2DKvbKAAAA4gAAAA8AAAAAAAAAAAAAAAAAmAIA&#10;AGRycy9kb3ducmV2LnhtbFBLBQYAAAAABAAEAPUAAACPAwAAAAA=&#10;" fillcolor="#0070c0" strokecolor="#0070c0">
                  <v:textbox>
                    <w:txbxContent>
                      <w:p w14:paraId="1B3E9118"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Estrógenos</w:t>
                        </w:r>
                      </w:p>
                      <w:p w14:paraId="4A511465"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Aplicação diária por 2 semanas e depois aplicação 2 vezes por semana</w:t>
                        </w:r>
                      </w:p>
                    </w:txbxContent>
                  </v:textbox>
                </v:shape>
                <v:shape id="Triângulo isósceles 739657844" o:spid="_x0000_s1215" type="#_x0000_t5" style="position:absolute;left:5905;width:2267;height:1384;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lCVMkA&#10;AADiAAAADwAAAGRycy9kb3ducmV2LnhtbESPzU7DMBCE70i8g7VIXFDrAKU/ad2qICHRY9r0vo23&#10;cdR4HWyThrfHSEgcRzPzjWa1GWwrevKhcazgcZyBIK6cbrhWUB7eR3MQISJrbB2Tgm8KsFnf3qww&#10;1+7KBfX7WIsE4ZCjAhNjl0sZKkMWw9h1xMk7O28xJulrqT1eE9y28inLptJiw2nBYEdvhqrL/ssq&#10;ONfbonx9KEoyp7Drj9F/OjopdX83bJcgIg3xP/zX/tAKZs+L6ctsPpnA76V0B+T6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olCVMkAAADiAAAADwAAAAAAAAAAAAAAAACYAgAA&#10;ZHJzL2Rvd25yZXYueG1sUEsFBgAAAAAEAAQA9QAAAI4DAAAAAA==&#10;" fillcolor="#d8d8d8 [2732]" stroked="f"/>
              </v:group>
            </w:pict>
          </mc:Fallback>
        </mc:AlternateContent>
      </w:r>
      <w:r>
        <w:rPr>
          <w:noProof/>
          <w:color w:val="404040" w:themeColor="text1" w:themeTint="BF"/>
          <w:lang w:eastAsia="pt-BR"/>
        </w:rPr>
        <mc:AlternateContent>
          <mc:Choice Requires="wpg">
            <w:drawing>
              <wp:anchor distT="0" distB="0" distL="114300" distR="114300" simplePos="0" relativeHeight="251939840" behindDoc="0" locked="0" layoutInCell="1" allowOverlap="1">
                <wp:simplePos x="0" y="0"/>
                <wp:positionH relativeFrom="column">
                  <wp:posOffset>-3810</wp:posOffset>
                </wp:positionH>
                <wp:positionV relativeFrom="paragraph">
                  <wp:posOffset>6350</wp:posOffset>
                </wp:positionV>
                <wp:extent cx="1403985" cy="1661160"/>
                <wp:effectExtent l="0" t="0" r="24765" b="15875"/>
                <wp:wrapNone/>
                <wp:docPr id="739657845" name="Agrupar 21"/>
                <wp:cNvGraphicFramePr/>
                <a:graphic xmlns:a="http://schemas.openxmlformats.org/drawingml/2006/main">
                  <a:graphicData uri="http://schemas.microsoft.com/office/word/2010/wordprocessingGroup">
                    <wpg:wgp>
                      <wpg:cNvGrpSpPr/>
                      <wpg:grpSpPr>
                        <a:xfrm>
                          <a:off x="0" y="0"/>
                          <a:ext cx="1403985" cy="1661137"/>
                          <a:chOff x="0" y="0"/>
                          <a:chExt cx="1403985" cy="1661376"/>
                        </a:xfrm>
                      </wpg:grpSpPr>
                      <wps:wsp>
                        <wps:cNvPr id="739657846" name="Caixa de texto 739657846"/>
                        <wps:cNvSpPr txBox="1">
                          <a:spLocks noChangeArrowheads="1"/>
                        </wps:cNvSpPr>
                        <wps:spPr bwMode="auto">
                          <a:xfrm>
                            <a:off x="0" y="257174"/>
                            <a:ext cx="1403985" cy="1404202"/>
                          </a:xfrm>
                          <a:prstGeom prst="rect">
                            <a:avLst/>
                          </a:prstGeom>
                          <a:solidFill>
                            <a:srgbClr val="0070C0"/>
                          </a:solidFill>
                          <a:ln w="9525">
                            <a:solidFill>
                              <a:srgbClr val="0070C0"/>
                            </a:solidFill>
                            <a:miter lim="800000"/>
                          </a:ln>
                        </wps:spPr>
                        <wps:txbx>
                          <w:txbxContent>
                            <w:p w14:paraId="75DCE32E"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Testosterona 2% 300 mcg</w:t>
                              </w:r>
                            </w:p>
                            <w:p w14:paraId="36044177"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Aplicação diária na parte interna das coxas ou na região abdominal</w:t>
                              </w:r>
                            </w:p>
                            <w:p w14:paraId="5C503F7B"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wps:wsp>
                        <wps:cNvPr id="739657847" name="Triângulo isósceles 739657847"/>
                        <wps:cNvSpPr>
                          <a:spLocks noChangeArrowheads="1"/>
                        </wps:cNvSpPr>
                        <wps:spPr bwMode="auto">
                          <a:xfrm flipV="1">
                            <a:off x="59055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wpg:wgp>
                  </a:graphicData>
                </a:graphic>
              </wp:anchor>
            </w:drawing>
          </mc:Choice>
          <mc:Fallback>
            <w:pict>
              <v:group id="Agrupar 21" o:spid="_x0000_s1216" style="position:absolute;left:0;text-align:left;margin-left:-.3pt;margin-top:.5pt;width:110.55pt;height:130.8pt;z-index:251939840" coordsize="14039,16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">
                <v:shape id="Caixa de texto 739657846" o:spid="_x0000_s1217" type="#_x0000_t202" style="position:absolute;top:2571;width:14039;height:140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SJbsoA&#10;AADiAAAADwAAAGRycy9kb3ducmV2LnhtbESPQUvDQBSE70L/w/IEb3Zj1SSN3RYRKkpPTfX+yL5m&#10;g9m36e7axv56VxB6HGbmG2axGm0vjuRD51jB3TQDQdw43XGr4GO3vi1BhIissXdMCn4owGo5uVpg&#10;pd2Jt3SsYysShEOFCkyMQyVlaAxZDFM3ECdv77zFmKRvpfZ4SnDby1mW5dJix2nB4EAvhpqv+tsq&#10;oMN5XbwP+9f6c96Yw8afY1nslLq5Hp+fQEQa4yX8337TCor7ef5YlA85/F1Kd0Aufw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30iW7KAAAA4gAAAA8AAAAAAAAAAAAAAAAAmAIA&#10;AGRycy9kb3ducmV2LnhtbFBLBQYAAAAABAAEAPUAAACPAwAAAAA=&#10;" fillcolor="#0070c0" strokecolor="#0070c0">
                  <v:textbox>
                    <w:txbxContent>
                      <w:p w14:paraId="75DCE32E"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Testosterona 2% 300 mcg</w:t>
                        </w:r>
                      </w:p>
                      <w:p w14:paraId="36044177"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Aplicação diária na parte interna das coxas ou na região abdominal</w:t>
                        </w:r>
                      </w:p>
                      <w:p w14:paraId="5C503F7B" w14:textId="77777777" w:rsidR="00FA41FC" w:rsidRDefault="00FA41FC">
                        <w:pPr>
                          <w:spacing w:after="0" w:line="240" w:lineRule="auto"/>
                          <w:jc w:val="center"/>
                          <w:rPr>
                            <w:rFonts w:ascii="Swis721 Th BT" w:hAnsi="Swis721 Th BT"/>
                            <w:color w:val="FFFFFF" w:themeColor="background1"/>
                            <w:szCs w:val="23"/>
                          </w:rPr>
                        </w:pPr>
                      </w:p>
                    </w:txbxContent>
                  </v:textbox>
                </v:shape>
                <v:shape id="Triângulo isósceles 739657847" o:spid="_x0000_s1218" type="#_x0000_t5" style="position:absolute;left:5905;width:2267;height:1384;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vcI8kA&#10;AADiAAAADwAAAGRycy9kb3ducmV2LnhtbESPzU7DMBCE70h9B2srcUHUKT9Nm9atChISHFPCfRtv&#10;46jxOtgmDW+PkZA4jmbmG81mN9pODORD61jBfJaBIK6dbrlRUL2/3C5BhIissXNMCr4pwG47udpg&#10;od2FSxoOsREJwqFABSbGvpAy1IYshpnriZN3ct5iTNI3Unu8JLjt5F2WLaTFltOCwZ6eDdXnw5dV&#10;cGr2ZfV0U1ZkjuFt+Ij+09FRqevpuF+DiDTG//Bf+1UryO9Xi8d8+ZDD76V0B+T2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lvcI8kAAADiAAAADwAAAAAAAAAAAAAAAACYAgAA&#10;ZHJzL2Rvd25yZXYueG1sUEsFBgAAAAAEAAQA9QAAAI4DAAAAAA==&#10;" fillcolor="#d8d8d8 [2732]" stroked="f"/>
              </v:group>
            </w:pict>
          </mc:Fallback>
        </mc:AlternateContent>
      </w:r>
    </w:p>
    <w:p w14:paraId="0DA035F1" w14:textId="77777777" w:rsidR="00CD65C2" w:rsidRDefault="00CD65C2">
      <w:pPr>
        <w:pStyle w:val="Corpo"/>
        <w:rPr>
          <w:rFonts w:hint="eastAsia"/>
          <w:color w:val="404040" w:themeColor="text1" w:themeTint="BF"/>
        </w:rPr>
      </w:pPr>
    </w:p>
    <w:p w14:paraId="56421360" w14:textId="77777777" w:rsidR="00CD65C2" w:rsidRDefault="00CD65C2">
      <w:pPr>
        <w:pStyle w:val="Corpo"/>
        <w:rPr>
          <w:rFonts w:hint="eastAsia"/>
          <w:color w:val="404040" w:themeColor="text1" w:themeTint="BF"/>
        </w:rPr>
      </w:pPr>
    </w:p>
    <w:p w14:paraId="3FEE25E3" w14:textId="77777777" w:rsidR="00CD65C2" w:rsidRDefault="00CD65C2">
      <w:pPr>
        <w:pStyle w:val="Corpo"/>
        <w:rPr>
          <w:rFonts w:hint="eastAsia"/>
          <w:color w:val="404040" w:themeColor="text1" w:themeTint="BF"/>
        </w:rPr>
      </w:pPr>
    </w:p>
    <w:p w14:paraId="2E305167" w14:textId="77777777" w:rsidR="00CD65C2" w:rsidRDefault="00CD65C2">
      <w:pPr>
        <w:pStyle w:val="Corpo"/>
        <w:rPr>
          <w:rFonts w:hint="eastAsia"/>
          <w:color w:val="404040" w:themeColor="text1" w:themeTint="BF"/>
        </w:rPr>
      </w:pPr>
    </w:p>
    <w:p w14:paraId="0EAFB164" w14:textId="77777777" w:rsidR="00CD65C2" w:rsidRDefault="00CD65C2">
      <w:pPr>
        <w:pStyle w:val="Corpo"/>
        <w:rPr>
          <w:rFonts w:hint="eastAsia"/>
          <w:color w:val="404040" w:themeColor="text1" w:themeTint="BF"/>
        </w:rPr>
      </w:pPr>
    </w:p>
    <w:p w14:paraId="0534FC0F" w14:textId="77777777" w:rsidR="00CD65C2" w:rsidRDefault="00CD65C2">
      <w:pPr>
        <w:pStyle w:val="Corpo"/>
        <w:rPr>
          <w:rFonts w:hint="eastAsia"/>
          <w:color w:val="404040" w:themeColor="text1" w:themeTint="BF"/>
        </w:rPr>
      </w:pPr>
    </w:p>
    <w:p w14:paraId="5CB67DCD" w14:textId="77777777" w:rsidR="00CD65C2" w:rsidRDefault="00CD65C2">
      <w:pPr>
        <w:pStyle w:val="Corpo"/>
        <w:rPr>
          <w:rFonts w:hint="eastAsia"/>
          <w:color w:val="404040" w:themeColor="text1" w:themeTint="BF"/>
        </w:rPr>
      </w:pPr>
    </w:p>
    <w:p w14:paraId="6004FDB5" w14:textId="77777777" w:rsidR="00CD65C2" w:rsidRDefault="00CD65C2">
      <w:pPr>
        <w:pStyle w:val="Corpo"/>
        <w:spacing w:before="120"/>
        <w:rPr>
          <w:rFonts w:hint="eastAsia"/>
          <w:color w:val="404040" w:themeColor="text1" w:themeTint="BF"/>
          <w:sz w:val="20"/>
        </w:rPr>
      </w:pPr>
    </w:p>
    <w:p w14:paraId="3A85F999" w14:textId="77777777" w:rsidR="00CD65C2" w:rsidRDefault="00FA41FC">
      <w:pPr>
        <w:pStyle w:val="Corpo"/>
        <w:numPr>
          <w:ilvl w:val="1"/>
          <w:numId w:val="4"/>
        </w:numPr>
        <w:spacing w:before="120" w:after="0"/>
        <w:rPr>
          <w:rFonts w:hint="eastAsia"/>
          <w:color w:val="404040" w:themeColor="text1" w:themeTint="BF"/>
          <w:sz w:val="20"/>
          <w:szCs w:val="23"/>
        </w:rPr>
      </w:pPr>
      <w:r>
        <w:rPr>
          <w:color w:val="404040" w:themeColor="text1" w:themeTint="BF"/>
          <w:sz w:val="20"/>
          <w:szCs w:val="23"/>
        </w:rPr>
        <w:t xml:space="preserve">As pacientes foram submetidas a exames físicos, laboratoriais e ulltrassom da região genital em ambas as visitas e preencheram diferentes questionários validados, incluindo o Índice de Função Sexual Feminina (FSFI). </w:t>
      </w:r>
    </w:p>
    <w:p w14:paraId="40C52B30" w14:textId="77777777" w:rsidR="00CD65C2" w:rsidRDefault="00CD65C2">
      <w:pPr>
        <w:pStyle w:val="Corpo"/>
        <w:rPr>
          <w:rFonts w:hint="eastAsia"/>
          <w:b/>
          <w:color w:val="339966"/>
          <w:sz w:val="25"/>
          <w:szCs w:val="25"/>
          <w14:textFill>
            <w14:solidFill>
              <w14:srgbClr w14:val="339966">
                <w14:lumMod w14:val="75000"/>
                <w14:lumOff w14:val="25000"/>
              </w14:srgbClr>
            </w14:solidFill>
          </w14:textFill>
        </w:rPr>
      </w:pPr>
    </w:p>
    <w:p w14:paraId="6716AAA6"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6B9D96D1" w14:textId="77777777" w:rsidR="00CD65C2" w:rsidRDefault="00CD65C2">
      <w:pPr>
        <w:pStyle w:val="Corpo"/>
        <w:rPr>
          <w:rFonts w:hint="eastAsia"/>
          <w:color w:val="404040" w:themeColor="text1" w:themeTint="BF"/>
          <w:sz w:val="16"/>
          <w:szCs w:val="16"/>
        </w:rPr>
      </w:pPr>
    </w:p>
    <w:p w14:paraId="17AFBB13" w14:textId="77777777" w:rsidR="00CD65C2" w:rsidRDefault="00FA41FC">
      <w:pPr>
        <w:pStyle w:val="Corpo"/>
        <w:numPr>
          <w:ilvl w:val="0"/>
          <w:numId w:val="5"/>
        </w:numPr>
        <w:spacing w:after="0"/>
        <w:rPr>
          <w:rFonts w:hint="eastAsia"/>
          <w:color w:val="404040" w:themeColor="text1" w:themeTint="BF"/>
          <w:szCs w:val="23"/>
        </w:rPr>
      </w:pPr>
      <w:r>
        <w:rPr>
          <w:color w:val="404040" w:themeColor="text1" w:themeTint="BF"/>
          <w:szCs w:val="23"/>
        </w:rPr>
        <w:t>A terapia com testosterona transdérmica aumentou de maneira significativa a velocidade do pico arterial sistólico quando comparada com o grupo sem tratamento (p &lt; 0,0001) e o que recebeu estrógenos (p &lt; 0,0001). Também houve melhora significativa no grupo que recebeu a terapia combinada;</w:t>
      </w:r>
    </w:p>
    <w:p w14:paraId="4BA89826" w14:textId="77777777" w:rsidR="00CD65C2" w:rsidRDefault="00FA41FC">
      <w:pPr>
        <w:pStyle w:val="Corpo"/>
        <w:numPr>
          <w:ilvl w:val="0"/>
          <w:numId w:val="5"/>
        </w:numPr>
        <w:spacing w:after="0"/>
        <w:rPr>
          <w:rFonts w:hint="eastAsia"/>
          <w:color w:val="404040" w:themeColor="text1" w:themeTint="BF"/>
          <w:szCs w:val="23"/>
        </w:rPr>
      </w:pPr>
      <w:r>
        <w:rPr>
          <w:color w:val="404040" w:themeColor="text1" w:themeTint="BF"/>
          <w:szCs w:val="23"/>
        </w:rPr>
        <w:t>Além disso, o tratamento com a testosterona foi associado com uma melhora dos escores do FSFI (dor, excitação, lubrificação, orgasmo e pontuações totais) após seis meses e comparado a linha de base;</w:t>
      </w:r>
    </w:p>
    <w:p w14:paraId="1DE1D840" w14:textId="77777777" w:rsidR="00CD65C2" w:rsidRDefault="00FA41FC">
      <w:pPr>
        <w:pStyle w:val="Corpo"/>
        <w:numPr>
          <w:ilvl w:val="0"/>
          <w:numId w:val="5"/>
        </w:numPr>
        <w:spacing w:after="0"/>
        <w:rPr>
          <w:rFonts w:hint="eastAsia"/>
          <w:color w:val="404040" w:themeColor="text1" w:themeTint="BF"/>
          <w:szCs w:val="23"/>
        </w:rPr>
      </w:pPr>
      <w:r>
        <w:rPr>
          <w:color w:val="404040" w:themeColor="text1" w:themeTint="BF"/>
          <w:szCs w:val="23"/>
        </w:rPr>
        <w:t>Não foram encontradas diferenças estatisticamente significativas nas variações dos níveis de colesterol total, colesterol HDL, triglicerídeos, glicemia em jejum, insulina e hemoglobina glicada entre os quatro grupos. Também não foram reportados eventos adversos durante o período do estudo.</w:t>
      </w:r>
    </w:p>
    <w:p w14:paraId="7C31DF0C" w14:textId="77777777" w:rsidR="00CD65C2" w:rsidRDefault="00CD65C2">
      <w:pPr>
        <w:pStyle w:val="Corpo"/>
        <w:spacing w:after="120"/>
        <w:ind w:left="786"/>
        <w:rPr>
          <w:rFonts w:hint="eastAsia"/>
          <w:color w:val="404040" w:themeColor="text1" w:themeTint="BF"/>
          <w:sz w:val="24"/>
        </w:rPr>
      </w:pPr>
    </w:p>
    <w:p w14:paraId="2046BA5C"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54681D95" w14:textId="77777777" w:rsidR="00CD65C2" w:rsidRDefault="00CD65C2">
      <w:pPr>
        <w:pStyle w:val="Corpo"/>
        <w:rPr>
          <w:rFonts w:hint="eastAsia"/>
          <w:b/>
          <w:color w:val="339966"/>
          <w:sz w:val="16"/>
          <w:szCs w:val="16"/>
          <w14:textFill>
            <w14:solidFill>
              <w14:srgbClr w14:val="339966">
                <w14:lumMod w14:val="75000"/>
                <w14:lumOff w14:val="25000"/>
              </w14:srgbClr>
            </w14:solidFill>
          </w14:textFill>
        </w:rPr>
      </w:pPr>
    </w:p>
    <w:p w14:paraId="3943C5E1" w14:textId="77777777" w:rsidR="00CD65C2" w:rsidRDefault="00FA41FC">
      <w:pPr>
        <w:pStyle w:val="Corpo"/>
        <w:jc w:val="center"/>
        <w:rPr>
          <w:rFonts w:hint="eastAsia"/>
          <w:b/>
          <w:i/>
          <w:color w:val="404040" w:themeColor="text1" w:themeTint="BF"/>
        </w:rPr>
      </w:pPr>
      <w:r>
        <w:rPr>
          <w:b/>
          <w:i/>
          <w:color w:val="404040" w:themeColor="text1" w:themeTint="BF"/>
        </w:rPr>
        <w:t>Em mulheres com disfunção sexual, a administração de testosterona, isolada ou combinada com estrogênios, foi associada a um efeito positivo no fluxo sanguíneo clitoriano e uma melhora clínica na função sexual, mostrando um bom perfil de segurança.</w:t>
      </w:r>
    </w:p>
    <w:p w14:paraId="780B2007" w14:textId="77777777" w:rsidR="00CD65C2" w:rsidRDefault="00FA41FC">
      <w:pPr>
        <w:pStyle w:val="Ttulo1"/>
        <w:jc w:val="center"/>
        <w:rPr>
          <w:rFonts w:hint="eastAsia"/>
        </w:rPr>
      </w:pPr>
      <w:bookmarkStart w:id="138" w:name="_Toc165537286"/>
      <w:r>
        <w:t>Formulário</w:t>
      </w:r>
      <w:bookmarkEnd w:id="138"/>
    </w:p>
    <w:p w14:paraId="5DD89DD5" w14:textId="77777777" w:rsidR="00CD65C2" w:rsidRDefault="00CD65C2">
      <w:pPr>
        <w:pStyle w:val="Corpo"/>
        <w:rPr>
          <w:rFonts w:hint="eastAsia"/>
          <w:b/>
          <w:i/>
          <w:color w:val="404040" w:themeColor="text1" w:themeTint="BF"/>
        </w:rPr>
      </w:pPr>
    </w:p>
    <w:p w14:paraId="5A2BE6CB" w14:textId="77777777" w:rsidR="00CD65C2" w:rsidRDefault="00CD65C2">
      <w:pPr>
        <w:pStyle w:val="Corpo"/>
        <w:rPr>
          <w:rFonts w:hint="eastAsia"/>
          <w:b/>
          <w:i/>
          <w:color w:val="404040" w:themeColor="text1" w:themeTint="BF"/>
        </w:rPr>
      </w:pPr>
    </w:p>
    <w:p w14:paraId="6141E198" w14:textId="77777777" w:rsidR="00CD65C2" w:rsidRDefault="00FA41FC">
      <w:pPr>
        <w:pStyle w:val="Corpo"/>
        <w:rPr>
          <w:rFonts w:hint="eastAsia"/>
          <w:b/>
          <w:i/>
          <w:color w:val="404040" w:themeColor="text1" w:themeTint="BF"/>
          <w:sz w:val="24"/>
        </w:rPr>
      </w:pPr>
      <w:r>
        <w:rPr>
          <w:b/>
          <w:i/>
          <w:color w:val="404040" w:themeColor="text1" w:themeTint="BF"/>
          <w:sz w:val="24"/>
        </w:rPr>
        <w:t>Melhora os Quadros de Disfunção Sexual em Mulheres</w:t>
      </w:r>
    </w:p>
    <w:p w14:paraId="37787AFB"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7F242372"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2412C534" w14:textId="77777777" w:rsidR="00CD65C2" w:rsidRDefault="00FA41FC">
            <w:pPr>
              <w:pStyle w:val="Corpo"/>
              <w:jc w:val="center"/>
              <w:rPr>
                <w:rFonts w:hint="eastAsia"/>
                <w:b/>
                <w:color w:val="FFFFFF" w:themeColor="background1"/>
              </w:rPr>
            </w:pPr>
            <w:r>
              <w:rPr>
                <w:b/>
                <w:color w:val="FFFFFF" w:themeColor="background1"/>
                <w:sz w:val="22"/>
              </w:rPr>
              <w:t>Testosterona Transdérmica</w:t>
            </w:r>
          </w:p>
        </w:tc>
      </w:tr>
      <w:tr w:rsidR="00CD65C2" w14:paraId="0755DE88"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870B82A" w14:textId="77777777" w:rsidR="00CD65C2" w:rsidRDefault="00FA41FC">
            <w:pPr>
              <w:pStyle w:val="Corpo"/>
              <w:jc w:val="center"/>
              <w:rPr>
                <w:rFonts w:hint="eastAsia"/>
                <w:color w:val="404040" w:themeColor="text1" w:themeTint="BF"/>
              </w:rPr>
            </w:pPr>
            <w:r>
              <w:rPr>
                <w:color w:val="404040" w:themeColor="text1" w:themeTint="BF"/>
                <w:sz w:val="24"/>
              </w:rPr>
              <w:t>Testosterona Base................300 mcg/ml</w:t>
            </w:r>
          </w:p>
        </w:tc>
      </w:tr>
      <w:tr w:rsidR="00CD65C2" w14:paraId="26A1F71D"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446AE86" w14:textId="09CA2B92" w:rsidR="00CD65C2" w:rsidRDefault="00FA41FC">
            <w:pPr>
              <w:pStyle w:val="Corpo"/>
              <w:jc w:val="center"/>
              <w:rPr>
                <w:rFonts w:hint="eastAsia"/>
                <w:color w:val="404040" w:themeColor="text1" w:themeTint="BF"/>
              </w:rPr>
            </w:pPr>
            <w:r>
              <w:rPr>
                <w:color w:val="404040" w:themeColor="text1" w:themeTint="BF"/>
                <w:sz w:val="24"/>
              </w:rPr>
              <w:t>Gel Transdérmico q.s.p. ................30 ml</w:t>
            </w:r>
          </w:p>
        </w:tc>
      </w:tr>
      <w:tr w:rsidR="00CD65C2" w14:paraId="2DA5C08F"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E91E25C" w14:textId="77777777" w:rsidR="00CD65C2" w:rsidRDefault="00FA41FC">
            <w:pPr>
              <w:pStyle w:val="Corpo"/>
              <w:jc w:val="center"/>
              <w:rPr>
                <w:rFonts w:hint="eastAsia"/>
                <w:color w:val="404040" w:themeColor="text1" w:themeTint="BF"/>
              </w:rPr>
            </w:pPr>
            <w:r>
              <w:rPr>
                <w:color w:val="404040" w:themeColor="text1" w:themeTint="BF"/>
                <w:sz w:val="24"/>
              </w:rPr>
              <w:t>Embalagem de Vazão Controlada...1 UN</w:t>
            </w:r>
          </w:p>
        </w:tc>
      </w:tr>
    </w:tbl>
    <w:p w14:paraId="4AD8FF52" w14:textId="1D3E19DB" w:rsidR="00CD65C2" w:rsidRDefault="00FA41FC">
      <w:pPr>
        <w:pStyle w:val="Corpo"/>
        <w:ind w:right="4762"/>
        <w:jc w:val="left"/>
        <w:rPr>
          <w:rFonts w:hint="eastAsia"/>
          <w:color w:val="404040" w:themeColor="text1" w:themeTint="BF"/>
          <w:sz w:val="22"/>
          <w:szCs w:val="22"/>
        </w:rPr>
      </w:pPr>
      <w:r>
        <w:rPr>
          <w:color w:val="404040" w:themeColor="text1" w:themeTint="BF"/>
          <w:sz w:val="22"/>
          <w:szCs w:val="22"/>
        </w:rPr>
        <w:t xml:space="preserve">Aplicar 1 </w:t>
      </w:r>
      <w:r w:rsidRPr="00D1428E">
        <w:rPr>
          <w:rFonts w:hint="eastAsia"/>
          <w:i/>
          <w:iCs/>
          <w:color w:val="404040" w:themeColor="text1" w:themeTint="BF"/>
          <w:sz w:val="22"/>
          <w:szCs w:val="22"/>
        </w:rPr>
        <w:t xml:space="preserve">pump </w:t>
      </w:r>
      <w:r>
        <w:rPr>
          <w:color w:val="404040" w:themeColor="text1" w:themeTint="BF"/>
          <w:sz w:val="22"/>
          <w:szCs w:val="22"/>
        </w:rPr>
        <w:t>(equivalente a 1 ml ou 300 mcg de testosterona)  uma vez ao dia na face interna das cochas, abdômen ou ombro (preferencialmente em áreas sem pelos), ou conforme orientação médica.</w:t>
      </w:r>
    </w:p>
    <w:p w14:paraId="01C7D0AC" w14:textId="77777777" w:rsidR="00CD65C2" w:rsidRDefault="00CD65C2">
      <w:pPr>
        <w:pStyle w:val="SemEspaamento"/>
      </w:pPr>
    </w:p>
    <w:p w14:paraId="699D0ED4" w14:textId="77777777" w:rsidR="00CD65C2" w:rsidRDefault="00CD65C2">
      <w:pPr>
        <w:pStyle w:val="SemEspaamento"/>
      </w:pPr>
    </w:p>
    <w:p w14:paraId="494ECBA3" w14:textId="77777777" w:rsidR="00CD65C2" w:rsidRDefault="00CD65C2">
      <w:pPr>
        <w:pStyle w:val="SemEspaamento"/>
      </w:pPr>
    </w:p>
    <w:p w14:paraId="6EE6F6EA" w14:textId="77777777" w:rsidR="00CD65C2" w:rsidRDefault="00CD65C2">
      <w:pPr>
        <w:pStyle w:val="SemEspaamento"/>
      </w:pPr>
    </w:p>
    <w:p w14:paraId="2D9B72E2" w14:textId="77777777" w:rsidR="00CD65C2" w:rsidRDefault="00CD65C2">
      <w:pPr>
        <w:pStyle w:val="SemEspaamento"/>
      </w:pPr>
    </w:p>
    <w:p w14:paraId="3F9315F4" w14:textId="77777777" w:rsidR="00CD65C2" w:rsidRDefault="00CD65C2">
      <w:pPr>
        <w:pStyle w:val="SemEspaamento"/>
      </w:pPr>
    </w:p>
    <w:p w14:paraId="08BE00EB" w14:textId="77777777" w:rsidR="00CD65C2" w:rsidRDefault="00CD65C2">
      <w:pPr>
        <w:pStyle w:val="SemEspaamento"/>
      </w:pPr>
    </w:p>
    <w:p w14:paraId="7C35F196" w14:textId="77777777" w:rsidR="00CD65C2" w:rsidRDefault="00CD65C2">
      <w:pPr>
        <w:pStyle w:val="SemEspaamento"/>
      </w:pPr>
    </w:p>
    <w:p w14:paraId="3C820CDD" w14:textId="77777777" w:rsidR="00CD65C2" w:rsidRDefault="00CD65C2">
      <w:pPr>
        <w:pStyle w:val="SemEspaamento"/>
      </w:pPr>
    </w:p>
    <w:p w14:paraId="64346069" w14:textId="77777777" w:rsidR="00CD65C2" w:rsidRDefault="00CD65C2">
      <w:pPr>
        <w:pStyle w:val="SemEspaamento"/>
      </w:pPr>
    </w:p>
    <w:p w14:paraId="48638C16" w14:textId="77777777" w:rsidR="00CD65C2" w:rsidRDefault="00CD65C2">
      <w:pPr>
        <w:pStyle w:val="SemEspaamento"/>
      </w:pPr>
    </w:p>
    <w:p w14:paraId="2E021012" w14:textId="77777777" w:rsidR="00CD65C2" w:rsidRDefault="00CD65C2">
      <w:pPr>
        <w:pStyle w:val="SemEspaamento"/>
      </w:pPr>
    </w:p>
    <w:p w14:paraId="202F417B" w14:textId="77777777" w:rsidR="00CD65C2" w:rsidRDefault="00CD65C2">
      <w:pPr>
        <w:pStyle w:val="SemEspaamento"/>
      </w:pPr>
    </w:p>
    <w:p w14:paraId="4FEFD556" w14:textId="77777777" w:rsidR="00CD65C2" w:rsidRDefault="00CD65C2">
      <w:pPr>
        <w:pStyle w:val="SemEspaamento"/>
      </w:pPr>
    </w:p>
    <w:p w14:paraId="3ED83349" w14:textId="77777777" w:rsidR="00CD65C2" w:rsidRDefault="00CD65C2">
      <w:pPr>
        <w:pStyle w:val="SemEspaamento"/>
      </w:pPr>
    </w:p>
    <w:p w14:paraId="073458B5" w14:textId="77777777" w:rsidR="00CD65C2" w:rsidRDefault="00CD65C2">
      <w:pPr>
        <w:pStyle w:val="SemEspaamento"/>
      </w:pPr>
    </w:p>
    <w:p w14:paraId="7E3BBB6B" w14:textId="77777777" w:rsidR="00CD65C2" w:rsidRDefault="00CD65C2">
      <w:pPr>
        <w:pStyle w:val="SemEspaamento"/>
      </w:pPr>
    </w:p>
    <w:p w14:paraId="5491E364" w14:textId="77777777" w:rsidR="00CD65C2" w:rsidRDefault="00CD65C2">
      <w:pPr>
        <w:pStyle w:val="SemEspaamento"/>
      </w:pPr>
    </w:p>
    <w:p w14:paraId="7BCD6657" w14:textId="77777777" w:rsidR="00CD65C2" w:rsidRDefault="00CD65C2">
      <w:pPr>
        <w:pStyle w:val="SemEspaamento"/>
      </w:pPr>
    </w:p>
    <w:p w14:paraId="11DC10D8" w14:textId="77777777" w:rsidR="00CD65C2" w:rsidRDefault="00CD65C2">
      <w:pPr>
        <w:pStyle w:val="SemEspaamento"/>
      </w:pPr>
    </w:p>
    <w:p w14:paraId="427EDE0C" w14:textId="77777777" w:rsidR="00CD65C2" w:rsidRDefault="00CD65C2">
      <w:pPr>
        <w:pStyle w:val="SemEspaamento"/>
      </w:pPr>
    </w:p>
    <w:p w14:paraId="18195950" w14:textId="77777777" w:rsidR="00CD65C2" w:rsidRDefault="00CD65C2">
      <w:pPr>
        <w:pStyle w:val="SemEspaamento"/>
      </w:pPr>
    </w:p>
    <w:p w14:paraId="1F841B92" w14:textId="77777777" w:rsidR="00CD65C2" w:rsidRDefault="00CD65C2">
      <w:pPr>
        <w:pStyle w:val="SemEspaamento"/>
      </w:pPr>
    </w:p>
    <w:p w14:paraId="2A226AC9" w14:textId="77777777" w:rsidR="00CD65C2" w:rsidRDefault="00CD65C2">
      <w:pPr>
        <w:pStyle w:val="SemEspaamento"/>
      </w:pPr>
    </w:p>
    <w:p w14:paraId="05676416" w14:textId="77777777" w:rsidR="00CD65C2" w:rsidRDefault="00CD65C2">
      <w:pPr>
        <w:pStyle w:val="SemEspaamento"/>
      </w:pPr>
    </w:p>
    <w:p w14:paraId="6A7742E8" w14:textId="77777777" w:rsidR="00CD65C2" w:rsidRDefault="00CD65C2">
      <w:pPr>
        <w:pStyle w:val="SemEspaamento"/>
      </w:pPr>
    </w:p>
    <w:p w14:paraId="7C4EB0D8" w14:textId="77777777" w:rsidR="00CD65C2" w:rsidRDefault="00CD65C2">
      <w:pPr>
        <w:pStyle w:val="SemEspaamento"/>
      </w:pPr>
    </w:p>
    <w:p w14:paraId="71E34441" w14:textId="77777777" w:rsidR="00CD65C2" w:rsidRDefault="00CD65C2">
      <w:pPr>
        <w:pStyle w:val="SemEspaamento"/>
      </w:pPr>
    </w:p>
    <w:p w14:paraId="36BE6022" w14:textId="77777777" w:rsidR="00CD65C2" w:rsidRDefault="00FA41FC">
      <w:pPr>
        <w:pStyle w:val="Ttulo1"/>
        <w:jc w:val="center"/>
        <w:rPr>
          <w:rFonts w:hint="eastAsia"/>
        </w:rPr>
      </w:pPr>
      <w:bookmarkStart w:id="139" w:name="_Toc165537287"/>
      <w:r>
        <w:rPr>
          <w:bCs/>
          <w:iCs/>
        </w:rPr>
        <w:t>Testosterona e Estradiol</w:t>
      </w:r>
      <w:bookmarkEnd w:id="139"/>
    </w:p>
    <w:p w14:paraId="407ACF32" w14:textId="77777777" w:rsidR="00CD65C2" w:rsidRPr="00D1428E" w:rsidRDefault="00FA41FC">
      <w:pPr>
        <w:pStyle w:val="Corpo"/>
        <w:spacing w:after="120"/>
        <w:jc w:val="center"/>
        <w:rPr>
          <w:rFonts w:hint="eastAsia"/>
          <w:b/>
          <w:color w:val="0070C0"/>
          <w:sz w:val="40"/>
        </w:rPr>
      </w:pPr>
      <w:r w:rsidRPr="00D1428E">
        <w:rPr>
          <w:b/>
          <w:color w:val="0070C0"/>
          <w:sz w:val="40"/>
        </w:rPr>
        <w:t>Associada ao Uso de Estrógenos Orais Melhora a Função Sexual neste Grupo de Pacientes</w:t>
      </w:r>
    </w:p>
    <w:p w14:paraId="426B78A5" w14:textId="77777777" w:rsidR="00CD65C2" w:rsidRDefault="00CD65C2">
      <w:pPr>
        <w:pStyle w:val="Corpo"/>
        <w:spacing w:after="120"/>
        <w:rPr>
          <w:rFonts w:hint="eastAsia"/>
          <w:color w:val="404040" w:themeColor="text1" w:themeTint="BF"/>
          <w:sz w:val="24"/>
        </w:rPr>
      </w:pPr>
    </w:p>
    <w:p w14:paraId="300036B9" w14:textId="7272A07A" w:rsidR="00CD65C2" w:rsidRDefault="00FA41FC">
      <w:pPr>
        <w:pStyle w:val="Corpo"/>
        <w:spacing w:after="120"/>
        <w:rPr>
          <w:rFonts w:hint="eastAsia"/>
          <w:color w:val="404040" w:themeColor="text1" w:themeTint="BF"/>
          <w:sz w:val="24"/>
        </w:rPr>
      </w:pPr>
      <w:r>
        <w:rPr>
          <w:color w:val="404040" w:themeColor="text1" w:themeTint="BF"/>
          <w:sz w:val="24"/>
        </w:rPr>
        <w:t xml:space="preserve">Um estudo conduzido por Chaikittisilpa </w:t>
      </w:r>
      <w:r>
        <w:rPr>
          <w:i/>
          <w:color w:val="404040" w:themeColor="text1" w:themeTint="BF"/>
          <w:sz w:val="24"/>
        </w:rPr>
        <w:t>et al.</w:t>
      </w:r>
      <w:r>
        <w:rPr>
          <w:color w:val="404040" w:themeColor="text1" w:themeTint="BF"/>
          <w:sz w:val="24"/>
        </w:rPr>
        <w:t xml:space="preserve"> (2019) avaliou os efeitos da administração de estrógeno via oral em associação com gel de testosterona na melhora da função sexual em mulheres pós-menopausadas. </w:t>
      </w:r>
    </w:p>
    <w:p w14:paraId="13401673"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944960" behindDoc="0" locked="0" layoutInCell="1" allowOverlap="1">
                <wp:simplePos x="0" y="0"/>
                <wp:positionH relativeFrom="margin">
                  <wp:posOffset>-1905</wp:posOffset>
                </wp:positionH>
                <wp:positionV relativeFrom="paragraph">
                  <wp:posOffset>140335</wp:posOffset>
                </wp:positionV>
                <wp:extent cx="5735955" cy="598805"/>
                <wp:effectExtent l="0" t="0" r="17780" b="11430"/>
                <wp:wrapNone/>
                <wp:docPr id="739657848" name="Caixa de texto 7396578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781" cy="598714"/>
                        </a:xfrm>
                        <a:prstGeom prst="rect">
                          <a:avLst/>
                        </a:prstGeom>
                        <a:solidFill>
                          <a:schemeClr val="bg1">
                            <a:lumMod val="100000"/>
                            <a:lumOff val="0"/>
                          </a:schemeClr>
                        </a:solidFill>
                        <a:ln w="9525">
                          <a:solidFill>
                            <a:srgbClr val="0070C0"/>
                          </a:solidFill>
                          <a:miter lim="800000"/>
                        </a:ln>
                      </wps:spPr>
                      <wps:txbx>
                        <w:txbxContent>
                          <w:p w14:paraId="46D058DA" w14:textId="4AD61BEF" w:rsidR="00FA41FC" w:rsidRDefault="00FA41FC">
                            <w:pPr>
                              <w:jc w:val="center"/>
                              <w:rPr>
                                <w:rFonts w:ascii="Swis721 Th BT" w:hAnsi="Swis721 Th BT"/>
                              </w:rPr>
                            </w:pPr>
                            <w:r>
                              <w:rPr>
                                <w:rFonts w:ascii="Swis721 Th BT" w:hAnsi="Swis721 Th BT"/>
                              </w:rPr>
                              <w:t>Para isso, 70 pacientes participaram deste estudo clínico, duplo-cego, randomizado e ativo-controlado. Os indivíduos foram divididos em dois grupos para receberem por oito semanas a seguinte posologia:</w:t>
                            </w:r>
                          </w:p>
                          <w:p w14:paraId="41ED8580"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848" o:spid="_x0000_s1219" type="#_x0000_t202" style="position:absolute;left:0;text-align:left;margin-left:-.15pt;margin-top:11.05pt;width:451.65pt;height:47.15pt;z-index:2519449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" fillcolor="white [3212]" strokecolor="#0070c0">
                <v:textbox>
                  <w:txbxContent>
                    <w:p w14:paraId="46D058DA" w14:textId="4AD61BEF" w:rsidR="00FA41FC" w:rsidRDefault="00FA41FC">
                      <w:pPr>
                        <w:jc w:val="center"/>
                        <w:rPr>
                          <w:rFonts w:ascii="Swis721 Th BT" w:hAnsi="Swis721 Th BT"/>
                        </w:rPr>
                      </w:pPr>
                      <w:r>
                        <w:rPr>
                          <w:rFonts w:ascii="Swis721 Th BT" w:hAnsi="Swis721 Th BT"/>
                        </w:rPr>
                        <w:t>Para isso, 70 pacientes participaram deste estudo clínico, duplo-cego, randomizado e ativo-controlado. Os indivíduos foram divididos em dois grupos para receberem por oito semanas a seguinte posologia:</w:t>
                      </w:r>
                    </w:p>
                    <w:p w14:paraId="41ED8580"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50276554" w14:textId="77777777" w:rsidR="00CD65C2" w:rsidRDefault="00CD65C2">
      <w:pPr>
        <w:pStyle w:val="Corpo"/>
        <w:rPr>
          <w:rFonts w:hint="eastAsia"/>
          <w:color w:val="404040" w:themeColor="text1" w:themeTint="BF"/>
          <w:sz w:val="24"/>
        </w:rPr>
      </w:pPr>
    </w:p>
    <w:p w14:paraId="12671B97"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945984" behindDoc="0" locked="0" layoutInCell="1" allowOverlap="1">
                <wp:simplePos x="0" y="0"/>
                <wp:positionH relativeFrom="column">
                  <wp:posOffset>4594860</wp:posOffset>
                </wp:positionH>
                <wp:positionV relativeFrom="paragraph">
                  <wp:posOffset>169545</wp:posOffset>
                </wp:positionV>
                <wp:extent cx="226695" cy="138430"/>
                <wp:effectExtent l="0" t="0" r="1905" b="0"/>
                <wp:wrapNone/>
                <wp:docPr id="739657849" name="Triângulo isósceles 7396578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849" o:spid="_x0000_s1026" o:spt="5" type="#_x0000_t5" style="position:absolute;left:0pt;flip:y;margin-left:361.8pt;margin-top:13.35pt;height:10.9pt;width:17.85pt;z-index:251945984;mso-width-relative:page;mso-height-relative:page;" fillcolor="#D9D9D9 [3212]" filled="t" stroked="f" coordsize="21600,21600" o:gfxdata="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ElaQk7ZAAAACQEAAA8AAAAAAAAAAQAgAAAAIgAAAGRycy9kb3ducmV2LnhtbFBLAQIUABQA&#10;AAAIAIdO4kDSo4jXYQIAALMEAAAOAAAAAAAAAAEAIAAAACgBAABkcnMvZTJvRG9jLnhtbFBLBQYA&#10;AAAABgAGAFkBAAD7BQ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947008" behindDoc="0" locked="0" layoutInCell="1" allowOverlap="1">
                <wp:simplePos x="0" y="0"/>
                <wp:positionH relativeFrom="column">
                  <wp:posOffset>805180</wp:posOffset>
                </wp:positionH>
                <wp:positionV relativeFrom="paragraph">
                  <wp:posOffset>169545</wp:posOffset>
                </wp:positionV>
                <wp:extent cx="226695" cy="138430"/>
                <wp:effectExtent l="0" t="0" r="1905" b="0"/>
                <wp:wrapNone/>
                <wp:docPr id="739657850" name="Triângulo isósceles 739657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850" o:spid="_x0000_s1026" o:spt="5" type="#_x0000_t5" style="position:absolute;left:0pt;flip:y;margin-left:63.4pt;margin-top:13.35pt;height:10.9pt;width:17.85pt;z-index:251947008;mso-width-relative:page;mso-height-relative:page;" fillcolor="#D9D9D9 [3212]" filled="t" stroked="f" coordsize="21600,21600" o:gfxdata="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Aj2kvXAAAACQEAAA8AAAAAAAAAAQAgAAAAIgAAAGRycy9kb3ducmV2LnhtbFBLAQIUABQAAAAI&#10;AIdO4kBypmoTYAIAALMEAAAOAAAAAAAAAAEAIAAAACYBAABkcnMvZTJvRG9jLnhtbFBLBQYAAAAA&#10;BgAGAFkBAAD4BQAAAAA=&#10;" adj="10800">
                <v:fill on="t" focussize="0,0"/>
                <v:stroke on="f"/>
                <v:imagedata o:title=""/>
                <o:lock v:ext="edit" aspectratio="f"/>
              </v:shape>
            </w:pict>
          </mc:Fallback>
        </mc:AlternateContent>
      </w:r>
    </w:p>
    <w:p w14:paraId="189A1BB1" w14:textId="77777777" w:rsidR="00CD65C2" w:rsidRDefault="00CD65C2">
      <w:pPr>
        <w:pStyle w:val="Corpo"/>
        <w:rPr>
          <w:rFonts w:hint="eastAsia"/>
          <w:color w:val="404040" w:themeColor="text1" w:themeTint="BF"/>
        </w:rPr>
      </w:pPr>
    </w:p>
    <w:p w14:paraId="6B2512BD"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943936" behindDoc="0" locked="0" layoutInCell="1" allowOverlap="1">
                <wp:simplePos x="0" y="0"/>
                <wp:positionH relativeFrom="column">
                  <wp:posOffset>3404235</wp:posOffset>
                </wp:positionH>
                <wp:positionV relativeFrom="paragraph">
                  <wp:posOffset>84455</wp:posOffset>
                </wp:positionV>
                <wp:extent cx="2318385" cy="1175385"/>
                <wp:effectExtent l="0" t="0" r="25400" b="25400"/>
                <wp:wrapNone/>
                <wp:docPr id="739657851" name="Caixa de texto 7396578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8113" cy="1175294"/>
                        </a:xfrm>
                        <a:prstGeom prst="rect">
                          <a:avLst/>
                        </a:prstGeom>
                        <a:solidFill>
                          <a:srgbClr val="0070C0"/>
                        </a:solidFill>
                        <a:ln w="9525">
                          <a:solidFill>
                            <a:srgbClr val="0070C0"/>
                          </a:solidFill>
                          <a:miter lim="800000"/>
                        </a:ln>
                      </wps:spPr>
                      <wps:txbx>
                        <w:txbxContent>
                          <w:p w14:paraId="236F6A54"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44ED822"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Valerato estradiol 1 mg</w:t>
                            </w:r>
                          </w:p>
                          <w:p w14:paraId="5FC64BFE"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Dose diária</w:t>
                            </w:r>
                          </w:p>
                          <w:p w14:paraId="555E3F97"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w:t>
                            </w:r>
                          </w:p>
                          <w:p w14:paraId="1BBA6869"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 transdérmico</w:t>
                            </w:r>
                          </w:p>
                          <w:p w14:paraId="594454D7"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Aplicação semanal</w:t>
                            </w:r>
                          </w:p>
                          <w:p w14:paraId="2D77ADFF" w14:textId="77777777" w:rsidR="00FA41FC" w:rsidRDefault="00FA41FC">
                            <w:pPr>
                              <w:spacing w:after="0" w:line="240" w:lineRule="auto"/>
                              <w:jc w:val="center"/>
                              <w:rPr>
                                <w:rFonts w:ascii="Swis721 Th BT" w:hAnsi="Swis721 Th BT"/>
                                <w:b/>
                                <w:color w:val="FFFFFF" w:themeColor="background1"/>
                                <w:sz w:val="12"/>
                                <w:szCs w:val="12"/>
                              </w:rPr>
                            </w:pPr>
                          </w:p>
                          <w:p w14:paraId="635AED12" w14:textId="77777777" w:rsidR="00FA41FC" w:rsidRDefault="00FA41FC">
                            <w:pPr>
                              <w:spacing w:after="0" w:line="240" w:lineRule="auto"/>
                              <w:jc w:val="center"/>
                              <w:rPr>
                                <w:rFonts w:ascii="Swis721 Th BT" w:hAnsi="Swis721 Th BT"/>
                                <w:b/>
                                <w:color w:val="FFFFFF" w:themeColor="background1"/>
                                <w:sz w:val="23"/>
                                <w:szCs w:val="23"/>
                              </w:rPr>
                            </w:pPr>
                          </w:p>
                          <w:p w14:paraId="3245B8C9" w14:textId="77777777" w:rsidR="00FA41FC" w:rsidRDefault="00FA41FC">
                            <w:pPr>
                              <w:spacing w:after="0" w:line="240" w:lineRule="auto"/>
                              <w:jc w:val="center"/>
                              <w:rPr>
                                <w:rFonts w:ascii="Swis721 Th BT" w:hAnsi="Swis721 Th BT"/>
                                <w:b/>
                                <w:color w:val="FFFFFF" w:themeColor="background1"/>
                                <w:sz w:val="12"/>
                                <w:szCs w:val="12"/>
                              </w:rPr>
                            </w:pPr>
                          </w:p>
                          <w:p w14:paraId="37CECA6A" w14:textId="77777777" w:rsidR="00FA41FC" w:rsidRDefault="00FA41FC"/>
                        </w:txbxContent>
                      </wps:txbx>
                      <wps:bodyPr rot="0" vert="horz" wrap="square" lIns="91440" tIns="45720" rIns="91440" bIns="45720" anchor="t" anchorCtr="0" upright="1">
                        <a:noAutofit/>
                      </wps:bodyPr>
                    </wps:wsp>
                  </a:graphicData>
                </a:graphic>
              </wp:anchor>
            </w:drawing>
          </mc:Choice>
          <mc:Fallback>
            <w:pict>
              <v:shape id="Caixa de texto 739657851" o:spid="_x0000_s1220" type="#_x0000_t202" style="position:absolute;left:0;text-align:left;margin-left:268.05pt;margin-top:6.65pt;width:182.55pt;height:92.55pt;z-index:251943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" fillcolor="#0070c0" strokecolor="#0070c0">
                <v:textbox>
                  <w:txbxContent>
                    <w:p w14:paraId="236F6A54"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44ED822"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Valerato estradiol 1 mg</w:t>
                      </w:r>
                    </w:p>
                    <w:p w14:paraId="5FC64BFE"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Dose diária</w:t>
                      </w:r>
                    </w:p>
                    <w:p w14:paraId="555E3F97"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w:t>
                      </w:r>
                    </w:p>
                    <w:p w14:paraId="1BBA6869"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 transdérmico</w:t>
                      </w:r>
                    </w:p>
                    <w:p w14:paraId="594454D7"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Aplicação semanal</w:t>
                      </w:r>
                    </w:p>
                    <w:p w14:paraId="2D77ADFF" w14:textId="77777777" w:rsidR="00FA41FC" w:rsidRDefault="00FA41FC">
                      <w:pPr>
                        <w:spacing w:after="0" w:line="240" w:lineRule="auto"/>
                        <w:jc w:val="center"/>
                        <w:rPr>
                          <w:rFonts w:ascii="Swis721 Th BT" w:hAnsi="Swis721 Th BT"/>
                          <w:b/>
                          <w:color w:val="FFFFFF" w:themeColor="background1"/>
                          <w:sz w:val="12"/>
                          <w:szCs w:val="12"/>
                        </w:rPr>
                      </w:pPr>
                    </w:p>
                    <w:p w14:paraId="635AED12" w14:textId="77777777" w:rsidR="00FA41FC" w:rsidRDefault="00FA41FC">
                      <w:pPr>
                        <w:spacing w:after="0" w:line="240" w:lineRule="auto"/>
                        <w:jc w:val="center"/>
                        <w:rPr>
                          <w:rFonts w:ascii="Swis721 Th BT" w:hAnsi="Swis721 Th BT"/>
                          <w:b/>
                          <w:color w:val="FFFFFF" w:themeColor="background1"/>
                          <w:sz w:val="23"/>
                          <w:szCs w:val="23"/>
                        </w:rPr>
                      </w:pPr>
                    </w:p>
                    <w:p w14:paraId="3245B8C9" w14:textId="77777777" w:rsidR="00FA41FC" w:rsidRDefault="00FA41FC">
                      <w:pPr>
                        <w:spacing w:after="0" w:line="240" w:lineRule="auto"/>
                        <w:jc w:val="center"/>
                        <w:rPr>
                          <w:rFonts w:ascii="Swis721 Th BT" w:hAnsi="Swis721 Th BT"/>
                          <w:b/>
                          <w:color w:val="FFFFFF" w:themeColor="background1"/>
                          <w:sz w:val="12"/>
                          <w:szCs w:val="12"/>
                        </w:rPr>
                      </w:pPr>
                    </w:p>
                    <w:p w14:paraId="37CECA6A" w14:textId="77777777" w:rsidR="00FA41FC" w:rsidRDefault="00FA41FC"/>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942912" behindDoc="0" locked="0" layoutInCell="1" allowOverlap="1">
                <wp:simplePos x="0" y="0"/>
                <wp:positionH relativeFrom="column">
                  <wp:posOffset>-1905</wp:posOffset>
                </wp:positionH>
                <wp:positionV relativeFrom="paragraph">
                  <wp:posOffset>73660</wp:posOffset>
                </wp:positionV>
                <wp:extent cx="2307590" cy="1186180"/>
                <wp:effectExtent l="0" t="0" r="16510" b="13970"/>
                <wp:wrapNone/>
                <wp:docPr id="739657852" name="Caixa de texto 7396578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771" cy="1186271"/>
                        </a:xfrm>
                        <a:prstGeom prst="rect">
                          <a:avLst/>
                        </a:prstGeom>
                        <a:solidFill>
                          <a:srgbClr val="0070C0"/>
                        </a:solidFill>
                        <a:ln w="9525">
                          <a:solidFill>
                            <a:srgbClr val="0070C0"/>
                          </a:solidFill>
                          <a:miter lim="800000"/>
                        </a:ln>
                      </wps:spPr>
                      <wps:txbx>
                        <w:txbxContent>
                          <w:p w14:paraId="5A143E75" w14:textId="77777777" w:rsidR="00FA41FC" w:rsidRDefault="00FA41FC">
                            <w:pPr>
                              <w:pStyle w:val="Corpo"/>
                              <w:jc w:val="center"/>
                              <w:rPr>
                                <w:rFonts w:hint="eastAsia"/>
                                <w:color w:val="FFFFFF" w:themeColor="background1"/>
                              </w:rPr>
                            </w:pPr>
                            <w:r>
                              <w:rPr>
                                <w:b/>
                                <w:color w:val="FFFFFF" w:themeColor="background1"/>
                                <w:szCs w:val="23"/>
                              </w:rPr>
                              <w:t xml:space="preserve">Grupo 1 </w:t>
                            </w:r>
                            <w:r>
                              <w:rPr>
                                <w:b/>
                                <w:color w:val="FFFFFF" w:themeColor="background1"/>
                                <w:szCs w:val="23"/>
                              </w:rPr>
                              <w:br/>
                            </w:r>
                            <w:r>
                              <w:rPr>
                                <w:color w:val="FFFFFF" w:themeColor="background1"/>
                              </w:rPr>
                              <w:t>Valerato estradiol 1 mg</w:t>
                            </w:r>
                          </w:p>
                          <w:p w14:paraId="55ACFCB9" w14:textId="77777777" w:rsidR="00FA41FC" w:rsidRDefault="00FA41FC">
                            <w:pPr>
                              <w:spacing w:after="0" w:line="240" w:lineRule="auto"/>
                              <w:jc w:val="center"/>
                              <w:rPr>
                                <w:rFonts w:ascii="Swis721 Th BT" w:eastAsia="MS Mincho" w:hAnsi="Swis721 Th BT" w:hint="eastAsia"/>
                                <w:color w:val="FFFFFF" w:themeColor="background1"/>
                                <w:sz w:val="23"/>
                                <w:szCs w:val="24"/>
                              </w:rPr>
                            </w:pPr>
                            <w:r>
                              <w:rPr>
                                <w:rFonts w:ascii="Swis721 Th BT" w:eastAsia="MS Mincho" w:hAnsi="Swis721 Th BT"/>
                                <w:color w:val="FFFFFF" w:themeColor="background1"/>
                                <w:sz w:val="23"/>
                                <w:szCs w:val="24"/>
                              </w:rPr>
                              <w:t>Dose diária</w:t>
                            </w:r>
                          </w:p>
                          <w:p w14:paraId="68682676" w14:textId="77777777" w:rsidR="00FA41FC" w:rsidRDefault="00FA41FC">
                            <w:pPr>
                              <w:spacing w:after="0" w:line="240" w:lineRule="auto"/>
                              <w:jc w:val="center"/>
                              <w:rPr>
                                <w:rFonts w:ascii="Swis721 Th BT" w:eastAsia="MS Mincho" w:hAnsi="Swis721 Th BT" w:hint="eastAsia"/>
                                <w:color w:val="FFFFFF" w:themeColor="background1"/>
                                <w:sz w:val="23"/>
                                <w:szCs w:val="24"/>
                              </w:rPr>
                            </w:pPr>
                            <w:r>
                              <w:rPr>
                                <w:rFonts w:ascii="Swis721 Th BT" w:eastAsia="MS Mincho" w:hAnsi="Swis721 Th BT"/>
                                <w:color w:val="FFFFFF" w:themeColor="background1"/>
                                <w:sz w:val="23"/>
                                <w:szCs w:val="24"/>
                              </w:rPr>
                              <w:t>+</w:t>
                            </w:r>
                          </w:p>
                          <w:p w14:paraId="7E987439" w14:textId="77777777" w:rsidR="00FA41FC" w:rsidRDefault="00FA41FC">
                            <w:pPr>
                              <w:spacing w:after="0" w:line="240" w:lineRule="auto"/>
                              <w:jc w:val="center"/>
                              <w:rPr>
                                <w:rFonts w:ascii="Swis721 Th BT" w:eastAsia="MS Mincho" w:hAnsi="Swis721 Th BT" w:hint="eastAsia"/>
                                <w:color w:val="FFFFFF" w:themeColor="background1"/>
                                <w:sz w:val="23"/>
                                <w:szCs w:val="24"/>
                              </w:rPr>
                            </w:pPr>
                            <w:r>
                              <w:rPr>
                                <w:rFonts w:ascii="Swis721 Th BT" w:eastAsia="MS Mincho" w:hAnsi="Swis721 Th BT"/>
                                <w:color w:val="FFFFFF" w:themeColor="background1"/>
                                <w:sz w:val="23"/>
                                <w:szCs w:val="24"/>
                              </w:rPr>
                              <w:t>Testosterona transdérmica 50 mg</w:t>
                            </w:r>
                          </w:p>
                          <w:p w14:paraId="39AFBC79" w14:textId="77777777" w:rsidR="00FA41FC" w:rsidRDefault="00FA41FC">
                            <w:pPr>
                              <w:spacing w:after="0" w:line="240" w:lineRule="auto"/>
                              <w:jc w:val="center"/>
                              <w:rPr>
                                <w:rFonts w:ascii="Swis721 Th BT" w:eastAsia="MS Mincho" w:hAnsi="Swis721 Th BT" w:hint="eastAsia"/>
                                <w:color w:val="FFFFFF" w:themeColor="background1"/>
                                <w:sz w:val="23"/>
                                <w:szCs w:val="24"/>
                              </w:rPr>
                            </w:pPr>
                            <w:r>
                              <w:rPr>
                                <w:rFonts w:ascii="Swis721 Th BT" w:eastAsia="MS Mincho" w:hAnsi="Swis721 Th BT"/>
                                <w:color w:val="FFFFFF" w:themeColor="background1"/>
                                <w:sz w:val="23"/>
                                <w:szCs w:val="24"/>
                              </w:rPr>
                              <w:t>Aplicação semanal</w:t>
                            </w:r>
                          </w:p>
                          <w:p w14:paraId="25DE3AE9"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739657852" o:spid="_x0000_s1221" type="#_x0000_t202" style="position:absolute;left:0;text-align:left;margin-left:-.15pt;margin-top:5.8pt;width:181.7pt;height:93.4pt;z-index:251942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" fillcolor="#0070c0" strokecolor="#0070c0">
                <v:textbox>
                  <w:txbxContent>
                    <w:p w14:paraId="5A143E75" w14:textId="77777777" w:rsidR="00FA41FC" w:rsidRDefault="00FA41FC">
                      <w:pPr>
                        <w:pStyle w:val="Corpo"/>
                        <w:jc w:val="center"/>
                        <w:rPr>
                          <w:rFonts w:hint="eastAsia"/>
                          <w:color w:val="FFFFFF" w:themeColor="background1"/>
                        </w:rPr>
                      </w:pPr>
                      <w:r>
                        <w:rPr>
                          <w:b/>
                          <w:color w:val="FFFFFF" w:themeColor="background1"/>
                          <w:szCs w:val="23"/>
                        </w:rPr>
                        <w:t xml:space="preserve">Grupo 1 </w:t>
                      </w:r>
                      <w:r>
                        <w:rPr>
                          <w:b/>
                          <w:color w:val="FFFFFF" w:themeColor="background1"/>
                          <w:szCs w:val="23"/>
                        </w:rPr>
                        <w:br/>
                      </w:r>
                      <w:r>
                        <w:rPr>
                          <w:color w:val="FFFFFF" w:themeColor="background1"/>
                        </w:rPr>
                        <w:t>Valerato estradiol 1 mg</w:t>
                      </w:r>
                    </w:p>
                    <w:p w14:paraId="55ACFCB9" w14:textId="77777777" w:rsidR="00FA41FC" w:rsidRDefault="00FA41FC">
                      <w:pPr>
                        <w:spacing w:after="0" w:line="240" w:lineRule="auto"/>
                        <w:jc w:val="center"/>
                        <w:rPr>
                          <w:rFonts w:ascii="Swis721 Th BT" w:eastAsia="MS Mincho" w:hAnsi="Swis721 Th BT" w:hint="eastAsia"/>
                          <w:color w:val="FFFFFF" w:themeColor="background1"/>
                          <w:sz w:val="23"/>
                          <w:szCs w:val="24"/>
                        </w:rPr>
                      </w:pPr>
                      <w:r>
                        <w:rPr>
                          <w:rFonts w:ascii="Swis721 Th BT" w:eastAsia="MS Mincho" w:hAnsi="Swis721 Th BT"/>
                          <w:color w:val="FFFFFF" w:themeColor="background1"/>
                          <w:sz w:val="23"/>
                          <w:szCs w:val="24"/>
                        </w:rPr>
                        <w:t>Dose diária</w:t>
                      </w:r>
                    </w:p>
                    <w:p w14:paraId="68682676" w14:textId="77777777" w:rsidR="00FA41FC" w:rsidRDefault="00FA41FC">
                      <w:pPr>
                        <w:spacing w:after="0" w:line="240" w:lineRule="auto"/>
                        <w:jc w:val="center"/>
                        <w:rPr>
                          <w:rFonts w:ascii="Swis721 Th BT" w:eastAsia="MS Mincho" w:hAnsi="Swis721 Th BT" w:hint="eastAsia"/>
                          <w:color w:val="FFFFFF" w:themeColor="background1"/>
                          <w:sz w:val="23"/>
                          <w:szCs w:val="24"/>
                        </w:rPr>
                      </w:pPr>
                      <w:r>
                        <w:rPr>
                          <w:rFonts w:ascii="Swis721 Th BT" w:eastAsia="MS Mincho" w:hAnsi="Swis721 Th BT"/>
                          <w:color w:val="FFFFFF" w:themeColor="background1"/>
                          <w:sz w:val="23"/>
                          <w:szCs w:val="24"/>
                        </w:rPr>
                        <w:t>+</w:t>
                      </w:r>
                    </w:p>
                    <w:p w14:paraId="7E987439" w14:textId="77777777" w:rsidR="00FA41FC" w:rsidRDefault="00FA41FC">
                      <w:pPr>
                        <w:spacing w:after="0" w:line="240" w:lineRule="auto"/>
                        <w:jc w:val="center"/>
                        <w:rPr>
                          <w:rFonts w:ascii="Swis721 Th BT" w:eastAsia="MS Mincho" w:hAnsi="Swis721 Th BT" w:hint="eastAsia"/>
                          <w:color w:val="FFFFFF" w:themeColor="background1"/>
                          <w:sz w:val="23"/>
                          <w:szCs w:val="24"/>
                        </w:rPr>
                      </w:pPr>
                      <w:r>
                        <w:rPr>
                          <w:rFonts w:ascii="Swis721 Th BT" w:eastAsia="MS Mincho" w:hAnsi="Swis721 Th BT"/>
                          <w:color w:val="FFFFFF" w:themeColor="background1"/>
                          <w:sz w:val="23"/>
                          <w:szCs w:val="24"/>
                        </w:rPr>
                        <w:t>Testosterona transdérmica 50 mg</w:t>
                      </w:r>
                    </w:p>
                    <w:p w14:paraId="39AFBC79" w14:textId="77777777" w:rsidR="00FA41FC" w:rsidRDefault="00FA41FC">
                      <w:pPr>
                        <w:spacing w:after="0" w:line="240" w:lineRule="auto"/>
                        <w:jc w:val="center"/>
                        <w:rPr>
                          <w:rFonts w:ascii="Swis721 Th BT" w:eastAsia="MS Mincho" w:hAnsi="Swis721 Th BT" w:hint="eastAsia"/>
                          <w:color w:val="FFFFFF" w:themeColor="background1"/>
                          <w:sz w:val="23"/>
                          <w:szCs w:val="24"/>
                        </w:rPr>
                      </w:pPr>
                      <w:r>
                        <w:rPr>
                          <w:rFonts w:ascii="Swis721 Th BT" w:eastAsia="MS Mincho" w:hAnsi="Swis721 Th BT"/>
                          <w:color w:val="FFFFFF" w:themeColor="background1"/>
                          <w:sz w:val="23"/>
                          <w:szCs w:val="24"/>
                        </w:rPr>
                        <w:t>Aplicação semanal</w:t>
                      </w:r>
                    </w:p>
                    <w:p w14:paraId="25DE3AE9"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p>
    <w:p w14:paraId="5986C506" w14:textId="77777777" w:rsidR="00CD65C2" w:rsidRDefault="00CD65C2">
      <w:pPr>
        <w:pStyle w:val="Corpo"/>
        <w:rPr>
          <w:rFonts w:hint="eastAsia"/>
          <w:color w:val="404040" w:themeColor="text1" w:themeTint="BF"/>
        </w:rPr>
      </w:pPr>
    </w:p>
    <w:p w14:paraId="224162DB" w14:textId="77777777" w:rsidR="00CD65C2" w:rsidRDefault="00CD65C2">
      <w:pPr>
        <w:pStyle w:val="Corpo"/>
        <w:rPr>
          <w:rFonts w:hint="eastAsia"/>
          <w:color w:val="404040" w:themeColor="text1" w:themeTint="BF"/>
        </w:rPr>
      </w:pPr>
    </w:p>
    <w:p w14:paraId="417A1FB5" w14:textId="77777777" w:rsidR="00CD65C2" w:rsidRDefault="00CD65C2">
      <w:pPr>
        <w:pStyle w:val="Corpo"/>
        <w:rPr>
          <w:rFonts w:hint="eastAsia"/>
          <w:color w:val="404040" w:themeColor="text1" w:themeTint="BF"/>
        </w:rPr>
      </w:pPr>
    </w:p>
    <w:p w14:paraId="051F4CC8" w14:textId="77777777" w:rsidR="00CD65C2" w:rsidRDefault="00CD65C2">
      <w:pPr>
        <w:pStyle w:val="Corpo"/>
        <w:rPr>
          <w:rFonts w:hint="eastAsia"/>
          <w:color w:val="404040" w:themeColor="text1" w:themeTint="BF"/>
        </w:rPr>
      </w:pPr>
    </w:p>
    <w:p w14:paraId="1CD148F5" w14:textId="77777777" w:rsidR="00CD65C2" w:rsidRDefault="00CD65C2">
      <w:pPr>
        <w:pStyle w:val="Corpo"/>
        <w:rPr>
          <w:rFonts w:hint="eastAsia"/>
          <w:color w:val="404040" w:themeColor="text1" w:themeTint="BF"/>
        </w:rPr>
      </w:pPr>
    </w:p>
    <w:p w14:paraId="23E8B09A" w14:textId="77777777" w:rsidR="00CD65C2" w:rsidRDefault="00CD65C2">
      <w:pPr>
        <w:pStyle w:val="Corpo"/>
        <w:rPr>
          <w:rFonts w:hint="eastAsia"/>
          <w:color w:val="404040" w:themeColor="text1" w:themeTint="BF"/>
        </w:rPr>
      </w:pPr>
    </w:p>
    <w:p w14:paraId="30CBD65E" w14:textId="77777777" w:rsidR="00CD65C2" w:rsidRDefault="00FA41FC" w:rsidP="00D1428E">
      <w:pPr>
        <w:pStyle w:val="Corpo"/>
        <w:numPr>
          <w:ilvl w:val="0"/>
          <w:numId w:val="55"/>
        </w:numPr>
        <w:rPr>
          <w:rFonts w:hint="eastAsia"/>
          <w:color w:val="404040" w:themeColor="text1" w:themeTint="BF"/>
          <w:sz w:val="20"/>
          <w:szCs w:val="20"/>
        </w:rPr>
      </w:pPr>
      <w:r>
        <w:rPr>
          <w:color w:val="404040" w:themeColor="text1" w:themeTint="BF"/>
          <w:sz w:val="20"/>
          <w:szCs w:val="20"/>
        </w:rPr>
        <w:t xml:space="preserve">Foram avaliados o </w:t>
      </w:r>
      <w:r>
        <w:rPr>
          <w:i/>
          <w:color w:val="404040" w:themeColor="text1" w:themeTint="BF"/>
          <w:sz w:val="20"/>
          <w:szCs w:val="20"/>
        </w:rPr>
        <w:t>Female Sexual Function Index</w:t>
      </w:r>
      <w:r>
        <w:rPr>
          <w:color w:val="404040" w:themeColor="text1" w:themeTint="BF"/>
          <w:sz w:val="20"/>
          <w:szCs w:val="20"/>
        </w:rPr>
        <w:t xml:space="preserve"> (FSFI), hematócrito, enzimas hepáticas, perfil lipidico, testosterona total, livre e biodisponível. Foram medidos também o índice de andrógenos livres, a </w:t>
      </w:r>
      <w:r>
        <w:rPr>
          <w:bCs/>
          <w:color w:val="404040" w:themeColor="text1" w:themeTint="BF"/>
          <w:sz w:val="20"/>
          <w:szCs w:val="20"/>
        </w:rPr>
        <w:t>globulina ligadora</w:t>
      </w:r>
      <w:r>
        <w:rPr>
          <w:color w:val="404040" w:themeColor="text1" w:themeTint="BF"/>
          <w:sz w:val="20"/>
          <w:szCs w:val="20"/>
        </w:rPr>
        <w:t> de </w:t>
      </w:r>
      <w:r>
        <w:rPr>
          <w:bCs/>
          <w:color w:val="404040" w:themeColor="text1" w:themeTint="BF"/>
          <w:sz w:val="20"/>
          <w:szCs w:val="20"/>
        </w:rPr>
        <w:t>hormônios</w:t>
      </w:r>
      <w:r>
        <w:rPr>
          <w:color w:val="404040" w:themeColor="text1" w:themeTint="BF"/>
          <w:sz w:val="20"/>
          <w:szCs w:val="20"/>
        </w:rPr>
        <w:t> sexuais (SHBG) e a espessura endometrial. Todos estes índices foram avaliados antes e após o tratamento.</w:t>
      </w:r>
    </w:p>
    <w:p w14:paraId="16EBA67F" w14:textId="77777777" w:rsidR="00CD65C2" w:rsidRDefault="00CD65C2">
      <w:pPr>
        <w:pStyle w:val="Corpo"/>
        <w:rPr>
          <w:rFonts w:hint="eastAsia"/>
          <w:color w:val="404040" w:themeColor="text1" w:themeTint="BF"/>
        </w:rPr>
      </w:pPr>
    </w:p>
    <w:p w14:paraId="695F2183"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01959475" w14:textId="77777777" w:rsidR="00CD65C2" w:rsidRDefault="00CD65C2">
      <w:pPr>
        <w:pStyle w:val="Corpo"/>
        <w:rPr>
          <w:rFonts w:hint="eastAsia"/>
          <w:color w:val="404040" w:themeColor="text1" w:themeTint="BF"/>
          <w:sz w:val="16"/>
          <w:szCs w:val="16"/>
        </w:rPr>
      </w:pPr>
    </w:p>
    <w:p w14:paraId="626CF543" w14:textId="17CF3737" w:rsidR="00CD65C2" w:rsidRDefault="00FA41FC" w:rsidP="00D1428E">
      <w:pPr>
        <w:pStyle w:val="Corpo"/>
        <w:numPr>
          <w:ilvl w:val="0"/>
          <w:numId w:val="56"/>
        </w:numPr>
        <w:rPr>
          <w:rFonts w:hint="eastAsia"/>
          <w:bCs/>
          <w:color w:val="404040" w:themeColor="text1" w:themeTint="BF"/>
          <w:sz w:val="24"/>
        </w:rPr>
      </w:pPr>
      <w:r>
        <w:rPr>
          <w:bCs/>
          <w:color w:val="404040" w:themeColor="text1" w:themeTint="BF"/>
          <w:sz w:val="24"/>
        </w:rPr>
        <w:t>Após oito semanas de terapia, os escores do FSFI melhorou em ambos os grupos. Porém, os escores do FSFI aumentaram de maneira mais significativa no grupo 1 quando comparado com o grupo 2 (7,2 e 4,6, respectivamente; p = 0,02);</w:t>
      </w:r>
    </w:p>
    <w:p w14:paraId="090A045B" w14:textId="77777777" w:rsidR="00CD65C2" w:rsidRDefault="00FA41FC" w:rsidP="00D1428E">
      <w:pPr>
        <w:pStyle w:val="Corpo"/>
        <w:numPr>
          <w:ilvl w:val="0"/>
          <w:numId w:val="56"/>
        </w:numPr>
        <w:rPr>
          <w:rFonts w:hint="eastAsia"/>
          <w:bCs/>
          <w:color w:val="404040" w:themeColor="text1" w:themeTint="BF"/>
          <w:sz w:val="24"/>
        </w:rPr>
      </w:pPr>
      <w:r>
        <w:rPr>
          <w:bCs/>
          <w:color w:val="404040" w:themeColor="text1" w:themeTint="BF"/>
          <w:sz w:val="24"/>
        </w:rPr>
        <w:t>Houve aumento significativo nos níveis séricos de testosterona total, mas não foram observados efeitos significativos nos níveis de testosterona livre e biodisponível;</w:t>
      </w:r>
    </w:p>
    <w:p w14:paraId="6055BD0C" w14:textId="77777777" w:rsidR="00CD65C2" w:rsidRDefault="00FA41FC" w:rsidP="00D1428E">
      <w:pPr>
        <w:pStyle w:val="Corpo"/>
        <w:numPr>
          <w:ilvl w:val="0"/>
          <w:numId w:val="56"/>
        </w:numPr>
        <w:rPr>
          <w:rFonts w:hint="eastAsia"/>
          <w:bCs/>
          <w:color w:val="404040" w:themeColor="text1" w:themeTint="BF"/>
          <w:sz w:val="24"/>
        </w:rPr>
      </w:pPr>
      <w:r>
        <w:rPr>
          <w:bCs/>
          <w:color w:val="404040" w:themeColor="text1" w:themeTint="BF"/>
          <w:sz w:val="24"/>
        </w:rPr>
        <w:t>Não foram observados efeitos adversos sérios associados com o tratamento, somente acne.</w:t>
      </w:r>
    </w:p>
    <w:p w14:paraId="0F6C4320" w14:textId="77777777" w:rsidR="00CD65C2" w:rsidRDefault="00FA41FC">
      <w:pPr>
        <w:pStyle w:val="Corpo"/>
        <w:ind w:left="360"/>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 xml:space="preserve"> </w:t>
      </w:r>
    </w:p>
    <w:p w14:paraId="4757D3C7"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0F645921"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17BC06AE" w14:textId="77777777" w:rsidR="00CD65C2" w:rsidRDefault="00FA41FC">
      <w:pPr>
        <w:pStyle w:val="Corpo"/>
        <w:jc w:val="center"/>
        <w:rPr>
          <w:rFonts w:hint="eastAsia"/>
          <w:b/>
          <w:color w:val="339966"/>
          <w14:textFill>
            <w14:solidFill>
              <w14:srgbClr w14:val="339966">
                <w14:lumMod w14:val="75000"/>
                <w14:lumOff w14:val="25000"/>
              </w14:srgbClr>
            </w14:solidFill>
          </w14:textFill>
        </w:rPr>
      </w:pPr>
      <w:r>
        <w:rPr>
          <w:b/>
          <w:i/>
          <w:color w:val="404040" w:themeColor="text1" w:themeTint="BF"/>
        </w:rPr>
        <w:t>A adição de baixas doses de testosterona em gel (semanalmente) com valerato de estradiol melhorou a função sexual em mulheres pós-menopausadas.</w:t>
      </w:r>
    </w:p>
    <w:p w14:paraId="235903D3" w14:textId="77777777" w:rsidR="00CD65C2" w:rsidRDefault="00FA41FC">
      <w:pPr>
        <w:pStyle w:val="Ttulo1"/>
        <w:jc w:val="center"/>
        <w:rPr>
          <w:rFonts w:hint="eastAsia"/>
        </w:rPr>
      </w:pPr>
      <w:bookmarkStart w:id="140" w:name="_Toc165537288"/>
      <w:r>
        <w:t>Formulário</w:t>
      </w:r>
      <w:bookmarkEnd w:id="140"/>
    </w:p>
    <w:p w14:paraId="28F47B7D" w14:textId="77777777" w:rsidR="00CD65C2" w:rsidRDefault="00CD65C2">
      <w:pPr>
        <w:pStyle w:val="Corpo"/>
        <w:rPr>
          <w:rFonts w:hint="eastAsia"/>
          <w:b/>
          <w:i/>
          <w:color w:val="404040" w:themeColor="text1" w:themeTint="BF"/>
        </w:rPr>
      </w:pPr>
    </w:p>
    <w:p w14:paraId="463228FA" w14:textId="77777777" w:rsidR="00CD65C2" w:rsidRDefault="00CD65C2">
      <w:pPr>
        <w:pStyle w:val="Corpo"/>
        <w:rPr>
          <w:rFonts w:hint="eastAsia"/>
          <w:b/>
          <w:i/>
          <w:color w:val="404040" w:themeColor="text1" w:themeTint="BF"/>
        </w:rPr>
      </w:pPr>
    </w:p>
    <w:p w14:paraId="0D5ACC00" w14:textId="77777777" w:rsidR="00CD65C2" w:rsidRDefault="00FA41FC">
      <w:pPr>
        <w:pStyle w:val="Corpo"/>
        <w:rPr>
          <w:rFonts w:hint="eastAsia"/>
          <w:b/>
          <w:i/>
          <w:iCs/>
          <w:color w:val="404040" w:themeColor="text1" w:themeTint="BF"/>
          <w:sz w:val="24"/>
        </w:rPr>
      </w:pPr>
      <w:r>
        <w:rPr>
          <w:b/>
          <w:i/>
          <w:iCs/>
          <w:color w:val="404040" w:themeColor="text1" w:themeTint="BF"/>
          <w:sz w:val="24"/>
        </w:rPr>
        <w:t>Reposição de Testosterona + Estrógeno Oral em Mulheres com Disfunção Sexual</w:t>
      </w:r>
    </w:p>
    <w:p w14:paraId="6F50D2EB" w14:textId="77777777" w:rsidR="00CD65C2" w:rsidRDefault="00CD65C2">
      <w:pPr>
        <w:pStyle w:val="Corpo"/>
        <w:rPr>
          <w:rFonts w:hint="eastAsia"/>
          <w:color w:val="404040" w:themeColor="text1" w:themeTint="BF"/>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64218CA2"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0AB8870C" w14:textId="77777777" w:rsidR="00CD65C2" w:rsidRDefault="00FA41FC">
            <w:pPr>
              <w:pStyle w:val="Corpo"/>
              <w:jc w:val="center"/>
              <w:rPr>
                <w:rFonts w:hint="eastAsia"/>
                <w:b/>
                <w:color w:val="FFFFFF" w:themeColor="background1"/>
              </w:rPr>
            </w:pPr>
            <w:r>
              <w:rPr>
                <w:b/>
                <w:color w:val="FFFFFF" w:themeColor="background1"/>
                <w:sz w:val="22"/>
              </w:rPr>
              <w:t>Testosterona</w:t>
            </w:r>
          </w:p>
        </w:tc>
      </w:tr>
      <w:tr w:rsidR="00CD65C2" w14:paraId="51EE7A46"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61D024F" w14:textId="77777777" w:rsidR="00CD65C2" w:rsidRDefault="00FA41FC">
            <w:pPr>
              <w:spacing w:after="0"/>
              <w:jc w:val="center"/>
              <w:rPr>
                <w:rFonts w:ascii="Swis721 Th BT" w:hAnsi="Swis721 Th BT"/>
              </w:rPr>
            </w:pPr>
            <w:r>
              <w:rPr>
                <w:rFonts w:ascii="Swis721 Th BT" w:hAnsi="Swis721 Th BT"/>
              </w:rPr>
              <w:t>Testosterona Base.......................50 mg/5 g</w:t>
            </w:r>
          </w:p>
        </w:tc>
      </w:tr>
      <w:tr w:rsidR="00CD65C2" w14:paraId="5369D222"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4D5A6B9" w14:textId="038608EF" w:rsidR="00CD65C2" w:rsidRDefault="00FA41FC">
            <w:pPr>
              <w:spacing w:after="0"/>
              <w:jc w:val="center"/>
              <w:rPr>
                <w:rFonts w:ascii="Swis721 Th BT" w:hAnsi="Swis721 Th BT"/>
              </w:rPr>
            </w:pPr>
            <w:r>
              <w:rPr>
                <w:rFonts w:ascii="Swis721 Th BT" w:hAnsi="Swis721 Th BT"/>
              </w:rPr>
              <w:t>Gel Transdérmico...............................q.s.p.</w:t>
            </w:r>
          </w:p>
        </w:tc>
      </w:tr>
    </w:tbl>
    <w:p w14:paraId="1DAF54C5" w14:textId="77777777" w:rsidR="00CD65C2" w:rsidRDefault="00FA41FC">
      <w:pPr>
        <w:pStyle w:val="SemEspaamento"/>
        <w:ind w:right="4960"/>
        <w:jc w:val="center"/>
        <w:rPr>
          <w:rFonts w:ascii="Swis721 Th BT" w:eastAsia="MS Mincho" w:hAnsi="Swis721 Th BT" w:hint="eastAsia"/>
          <w:color w:val="404040" w:themeColor="text1" w:themeTint="BF"/>
        </w:rPr>
      </w:pPr>
      <w:r>
        <w:rPr>
          <w:rFonts w:ascii="Swis721 Th BT" w:eastAsia="MS Mincho" w:hAnsi="Swis721 Th BT"/>
          <w:color w:val="404040" w:themeColor="text1" w:themeTint="BF"/>
        </w:rPr>
        <w:t>Aplicar 5 g do gel ao dia ou conforme orientação médica. O gel deve ser aplicado com a pele limpa e seca e em uma região sem pelos.</w:t>
      </w:r>
    </w:p>
    <w:p w14:paraId="6A53CB0D" w14:textId="77777777" w:rsidR="00CD65C2" w:rsidRDefault="00CD65C2">
      <w:pPr>
        <w:pStyle w:val="SemEspaamento"/>
      </w:pPr>
    </w:p>
    <w:p w14:paraId="2BA1A87C" w14:textId="77777777" w:rsidR="00CD65C2" w:rsidRDefault="00CD65C2">
      <w:pPr>
        <w:pStyle w:val="SemEspaamento"/>
      </w:pPr>
    </w:p>
    <w:p w14:paraId="73C97310" w14:textId="77777777" w:rsidR="00CD65C2" w:rsidRDefault="00FA41FC">
      <w:pPr>
        <w:pStyle w:val="SemEspaamento"/>
        <w:rPr>
          <w:b/>
          <w:sz w:val="23"/>
          <w:szCs w:val="23"/>
        </w:rPr>
      </w:pPr>
      <w:r>
        <w:rPr>
          <w:b/>
          <w:sz w:val="23"/>
          <w:szCs w:val="23"/>
        </w:rPr>
        <w:t xml:space="preserve">                                          +</w:t>
      </w:r>
    </w:p>
    <w:p w14:paraId="12501ABC" w14:textId="77777777" w:rsidR="00CD65C2" w:rsidRDefault="00CD65C2">
      <w:pPr>
        <w:pStyle w:val="SemEspaament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76E5CB8F"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261E63C2" w14:textId="77777777" w:rsidR="00CD65C2" w:rsidRDefault="00FA41FC">
            <w:pPr>
              <w:pStyle w:val="Corpo"/>
              <w:jc w:val="center"/>
              <w:rPr>
                <w:rFonts w:hint="eastAsia"/>
                <w:b/>
                <w:color w:val="FFFFFF" w:themeColor="background1"/>
              </w:rPr>
            </w:pPr>
            <w:r>
              <w:rPr>
                <w:b/>
                <w:color w:val="FFFFFF" w:themeColor="background1"/>
                <w:sz w:val="22"/>
              </w:rPr>
              <w:t>Estradiol</w:t>
            </w:r>
          </w:p>
        </w:tc>
      </w:tr>
      <w:tr w:rsidR="00CD65C2" w14:paraId="0A64B536"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8BF3517" w14:textId="77777777" w:rsidR="00CD65C2" w:rsidRDefault="00FA41FC">
            <w:pPr>
              <w:spacing w:after="0"/>
              <w:jc w:val="center"/>
              <w:rPr>
                <w:rFonts w:ascii="Swis721 Th BT" w:hAnsi="Swis721 Th BT"/>
              </w:rPr>
            </w:pPr>
            <w:r>
              <w:rPr>
                <w:rFonts w:ascii="Swis721 Th BT" w:hAnsi="Swis721 Th BT"/>
              </w:rPr>
              <w:t>Valerato estradiol...................................1 mg</w:t>
            </w:r>
          </w:p>
        </w:tc>
      </w:tr>
      <w:tr w:rsidR="00CD65C2" w14:paraId="143434C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48883C6" w14:textId="5E5DC430" w:rsidR="00CD65C2" w:rsidRDefault="00FA41FC">
            <w:pPr>
              <w:spacing w:after="0"/>
              <w:jc w:val="center"/>
              <w:rPr>
                <w:rFonts w:ascii="Swis721 Th BT" w:hAnsi="Swis721 Th BT"/>
              </w:rPr>
            </w:pPr>
            <w:r>
              <w:rPr>
                <w:rFonts w:ascii="Swis721 Th BT" w:hAnsi="Swis721 Th BT"/>
              </w:rPr>
              <w:t>Excipiente q.s.p. ...........................1 cápsula</w:t>
            </w:r>
          </w:p>
        </w:tc>
      </w:tr>
    </w:tbl>
    <w:p w14:paraId="31D859DB" w14:textId="77777777" w:rsidR="00CD65C2" w:rsidRDefault="00FA41FC">
      <w:pPr>
        <w:pStyle w:val="SemEspaamento"/>
        <w:ind w:right="5102"/>
        <w:jc w:val="center"/>
      </w:pPr>
      <w:r>
        <w:rPr>
          <w:rFonts w:ascii="Swis721 Th BT" w:eastAsia="MS Mincho" w:hAnsi="Swis721 Th BT"/>
          <w:color w:val="404040" w:themeColor="text1" w:themeTint="BF"/>
        </w:rPr>
        <w:t>Administrar 1 cápsula ao dia ou conforme a orientação médica.</w:t>
      </w:r>
    </w:p>
    <w:p w14:paraId="53FBF190" w14:textId="77777777" w:rsidR="00CD65C2" w:rsidRDefault="00CD65C2">
      <w:pPr>
        <w:pStyle w:val="SemEspaamento"/>
      </w:pPr>
    </w:p>
    <w:p w14:paraId="036EF456" w14:textId="77777777" w:rsidR="00CD65C2" w:rsidRDefault="00CD65C2">
      <w:pPr>
        <w:pStyle w:val="SemEspaamento"/>
      </w:pPr>
    </w:p>
    <w:p w14:paraId="52A0449C" w14:textId="77777777" w:rsidR="00CD65C2" w:rsidRDefault="00CD65C2">
      <w:pPr>
        <w:pStyle w:val="SemEspaamento"/>
      </w:pPr>
    </w:p>
    <w:p w14:paraId="6974E571" w14:textId="77777777" w:rsidR="00CD65C2" w:rsidRDefault="00CD65C2">
      <w:pPr>
        <w:pStyle w:val="SemEspaamento"/>
      </w:pPr>
    </w:p>
    <w:p w14:paraId="449318E9" w14:textId="77777777" w:rsidR="00CD65C2" w:rsidRDefault="00CD65C2">
      <w:pPr>
        <w:pStyle w:val="SemEspaamento"/>
      </w:pPr>
    </w:p>
    <w:p w14:paraId="5A2F7BF5" w14:textId="77777777" w:rsidR="00CD65C2" w:rsidRDefault="00CD65C2">
      <w:pPr>
        <w:pStyle w:val="SemEspaamento"/>
      </w:pPr>
    </w:p>
    <w:p w14:paraId="6AB3539F" w14:textId="77777777" w:rsidR="00CD65C2" w:rsidRDefault="00CD65C2">
      <w:pPr>
        <w:pStyle w:val="SemEspaamento"/>
      </w:pPr>
    </w:p>
    <w:p w14:paraId="7C9BF0FF" w14:textId="77777777" w:rsidR="00CD65C2" w:rsidRDefault="00CD65C2">
      <w:pPr>
        <w:pStyle w:val="SemEspaamento"/>
      </w:pPr>
    </w:p>
    <w:p w14:paraId="0579589B" w14:textId="77777777" w:rsidR="00CD65C2" w:rsidRDefault="00CD65C2">
      <w:pPr>
        <w:pStyle w:val="SemEspaamento"/>
      </w:pPr>
    </w:p>
    <w:p w14:paraId="1B48F06D" w14:textId="77777777" w:rsidR="00CD65C2" w:rsidRDefault="00CD65C2">
      <w:pPr>
        <w:pStyle w:val="SemEspaamento"/>
      </w:pPr>
    </w:p>
    <w:p w14:paraId="583C4F53" w14:textId="77777777" w:rsidR="00CD65C2" w:rsidRDefault="00CD65C2">
      <w:pPr>
        <w:pStyle w:val="SemEspaamento"/>
      </w:pPr>
    </w:p>
    <w:p w14:paraId="1CBC192B" w14:textId="77777777" w:rsidR="00CD65C2" w:rsidRDefault="00CD65C2">
      <w:pPr>
        <w:pStyle w:val="SemEspaamento"/>
      </w:pPr>
    </w:p>
    <w:p w14:paraId="771E3D51" w14:textId="77777777" w:rsidR="00CD65C2" w:rsidRDefault="00CD65C2">
      <w:pPr>
        <w:pStyle w:val="SemEspaamento"/>
      </w:pPr>
    </w:p>
    <w:p w14:paraId="5E233D31" w14:textId="77777777" w:rsidR="00CD65C2" w:rsidRDefault="00CD65C2">
      <w:pPr>
        <w:pStyle w:val="SemEspaamento"/>
      </w:pPr>
    </w:p>
    <w:p w14:paraId="08EF68E1" w14:textId="77777777" w:rsidR="00CD65C2" w:rsidRDefault="00CD65C2">
      <w:pPr>
        <w:pStyle w:val="SemEspaamento"/>
      </w:pPr>
    </w:p>
    <w:p w14:paraId="63973EAD" w14:textId="77777777" w:rsidR="00CD65C2" w:rsidRDefault="00CD65C2">
      <w:pPr>
        <w:pStyle w:val="SemEspaamento"/>
      </w:pPr>
    </w:p>
    <w:p w14:paraId="3C4C62DE" w14:textId="77777777" w:rsidR="00CD65C2" w:rsidRDefault="00CD65C2">
      <w:pPr>
        <w:pStyle w:val="SemEspaamento"/>
      </w:pPr>
    </w:p>
    <w:p w14:paraId="5979A754" w14:textId="77777777" w:rsidR="00CD65C2" w:rsidRDefault="00CD65C2">
      <w:pPr>
        <w:pStyle w:val="SemEspaamento"/>
      </w:pPr>
    </w:p>
    <w:p w14:paraId="2B1522B3" w14:textId="77777777" w:rsidR="00CD65C2" w:rsidRDefault="00CD65C2">
      <w:pPr>
        <w:pStyle w:val="SemEspaamento"/>
      </w:pPr>
    </w:p>
    <w:p w14:paraId="64E0F70E" w14:textId="77777777" w:rsidR="00CD65C2" w:rsidRDefault="00FA41FC">
      <w:pPr>
        <w:rPr>
          <w:lang w:eastAsia="pt-BR"/>
        </w:rPr>
      </w:pPr>
      <w:r>
        <w:rPr>
          <w:noProof/>
          <w:lang w:eastAsia="pt-BR"/>
        </w:rPr>
        <w:drawing>
          <wp:anchor distT="0" distB="0" distL="114300" distR="114300" simplePos="0" relativeHeight="251956224" behindDoc="0" locked="0" layoutInCell="1" allowOverlap="1">
            <wp:simplePos x="0" y="0"/>
            <wp:positionH relativeFrom="margin">
              <wp:posOffset>-2301240</wp:posOffset>
            </wp:positionH>
            <wp:positionV relativeFrom="paragraph">
              <wp:posOffset>-899795</wp:posOffset>
            </wp:positionV>
            <wp:extent cx="10758805" cy="7172325"/>
            <wp:effectExtent l="0" t="0" r="5080" b="0"/>
            <wp:wrapNone/>
            <wp:docPr id="739657868" name="Imagem 739657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657868" name="Imagem 739657868"/>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758488" cy="7172325"/>
                    </a:xfrm>
                    <a:prstGeom prst="rect">
                      <a:avLst/>
                    </a:prstGeom>
                    <a:noFill/>
                    <a:ln>
                      <a:noFill/>
                    </a:ln>
                  </pic:spPr>
                </pic:pic>
              </a:graphicData>
            </a:graphic>
          </wp:anchor>
        </w:drawing>
      </w:r>
    </w:p>
    <w:p w14:paraId="2572BF9C" w14:textId="77777777" w:rsidR="00CD65C2" w:rsidRDefault="00CD65C2">
      <w:pPr>
        <w:rPr>
          <w:lang w:eastAsia="pt-BR"/>
        </w:rPr>
      </w:pPr>
    </w:p>
    <w:p w14:paraId="3E2D9040" w14:textId="77777777" w:rsidR="00CD65C2" w:rsidRDefault="00CD65C2">
      <w:pPr>
        <w:rPr>
          <w:lang w:eastAsia="pt-BR"/>
        </w:rPr>
      </w:pPr>
    </w:p>
    <w:p w14:paraId="7503B326" w14:textId="77777777" w:rsidR="00CD65C2" w:rsidRDefault="00CD65C2">
      <w:pPr>
        <w:rPr>
          <w:lang w:eastAsia="pt-BR"/>
        </w:rPr>
      </w:pPr>
    </w:p>
    <w:p w14:paraId="29FCB915" w14:textId="77777777" w:rsidR="00CD65C2" w:rsidRDefault="00CD65C2">
      <w:pPr>
        <w:rPr>
          <w:lang w:eastAsia="pt-BR"/>
        </w:rPr>
      </w:pPr>
    </w:p>
    <w:p w14:paraId="5F553344" w14:textId="77777777" w:rsidR="00CD65C2" w:rsidRDefault="00CD65C2">
      <w:pPr>
        <w:rPr>
          <w:lang w:eastAsia="pt-BR"/>
        </w:rPr>
      </w:pPr>
    </w:p>
    <w:p w14:paraId="629CB355" w14:textId="77777777" w:rsidR="00CD65C2" w:rsidRDefault="00CD65C2">
      <w:pPr>
        <w:rPr>
          <w:lang w:eastAsia="pt-BR"/>
        </w:rPr>
      </w:pPr>
    </w:p>
    <w:p w14:paraId="3098B8D8" w14:textId="77777777" w:rsidR="00CD65C2" w:rsidRDefault="00CD65C2">
      <w:pPr>
        <w:rPr>
          <w:lang w:eastAsia="pt-BR"/>
        </w:rPr>
      </w:pPr>
    </w:p>
    <w:p w14:paraId="6DF7FEB2" w14:textId="77777777" w:rsidR="00CD65C2" w:rsidRDefault="00CD65C2">
      <w:pPr>
        <w:rPr>
          <w:lang w:eastAsia="pt-BR"/>
        </w:rPr>
      </w:pPr>
    </w:p>
    <w:p w14:paraId="5DF2F6C3" w14:textId="77777777" w:rsidR="00CD65C2" w:rsidRDefault="00CD65C2">
      <w:pPr>
        <w:rPr>
          <w:lang w:eastAsia="pt-BR"/>
        </w:rPr>
      </w:pPr>
    </w:p>
    <w:p w14:paraId="4CF179AB" w14:textId="77777777" w:rsidR="00CD65C2" w:rsidRDefault="00CD65C2">
      <w:pPr>
        <w:rPr>
          <w:lang w:eastAsia="pt-BR"/>
        </w:rPr>
      </w:pPr>
    </w:p>
    <w:p w14:paraId="66D5855D" w14:textId="77777777" w:rsidR="00CD65C2" w:rsidRDefault="00CD65C2">
      <w:pPr>
        <w:rPr>
          <w:lang w:eastAsia="pt-BR"/>
        </w:rPr>
      </w:pPr>
    </w:p>
    <w:p w14:paraId="286A1E5F" w14:textId="77777777" w:rsidR="00CD65C2" w:rsidRDefault="00CD65C2">
      <w:pPr>
        <w:rPr>
          <w:lang w:eastAsia="pt-BR"/>
        </w:rPr>
      </w:pPr>
    </w:p>
    <w:p w14:paraId="0A1BF756" w14:textId="77777777" w:rsidR="00CD65C2" w:rsidRDefault="00CD65C2">
      <w:pPr>
        <w:rPr>
          <w:lang w:eastAsia="pt-BR"/>
        </w:rPr>
      </w:pPr>
    </w:p>
    <w:p w14:paraId="6DEC4308" w14:textId="77777777" w:rsidR="00CD65C2" w:rsidRDefault="00CD65C2">
      <w:pPr>
        <w:rPr>
          <w:lang w:eastAsia="pt-BR"/>
        </w:rPr>
      </w:pPr>
    </w:p>
    <w:p w14:paraId="1BD46ADE" w14:textId="77777777" w:rsidR="00CD65C2" w:rsidRDefault="00CD65C2">
      <w:pPr>
        <w:rPr>
          <w:lang w:eastAsia="pt-BR"/>
        </w:rPr>
      </w:pPr>
    </w:p>
    <w:p w14:paraId="3F147BEC" w14:textId="77777777" w:rsidR="00CD65C2" w:rsidRDefault="00CD65C2">
      <w:pPr>
        <w:rPr>
          <w:lang w:eastAsia="pt-BR"/>
        </w:rPr>
      </w:pPr>
    </w:p>
    <w:p w14:paraId="0FE2EC32" w14:textId="77777777" w:rsidR="00CD65C2" w:rsidRDefault="00CD65C2">
      <w:pPr>
        <w:rPr>
          <w:lang w:eastAsia="pt-BR"/>
        </w:rPr>
      </w:pPr>
    </w:p>
    <w:p w14:paraId="0F8BFD61" w14:textId="77777777" w:rsidR="00CD65C2" w:rsidRDefault="00CD65C2">
      <w:pPr>
        <w:rPr>
          <w:lang w:eastAsia="pt-BR"/>
        </w:rPr>
      </w:pPr>
    </w:p>
    <w:p w14:paraId="08842318" w14:textId="77777777" w:rsidR="00CD65C2" w:rsidRDefault="00CD65C2">
      <w:pPr>
        <w:rPr>
          <w:lang w:eastAsia="pt-BR"/>
        </w:rPr>
      </w:pPr>
    </w:p>
    <w:p w14:paraId="504313AE" w14:textId="77777777" w:rsidR="00CD65C2" w:rsidRDefault="00CD65C2">
      <w:pPr>
        <w:rPr>
          <w:lang w:eastAsia="pt-BR"/>
        </w:rPr>
      </w:pPr>
    </w:p>
    <w:p w14:paraId="3856CA63" w14:textId="77777777" w:rsidR="00CD65C2" w:rsidRDefault="00CD65C2"/>
    <w:p w14:paraId="749EF913" w14:textId="77777777" w:rsidR="00CD65C2" w:rsidRDefault="00CD65C2"/>
    <w:p w14:paraId="11C64830" w14:textId="77777777" w:rsidR="00CD65C2" w:rsidRDefault="00CD65C2"/>
    <w:p w14:paraId="7ECC1DB2" w14:textId="77777777" w:rsidR="00CD65C2" w:rsidRDefault="00FA41FC">
      <w:pPr>
        <w:pStyle w:val="Ttulo1"/>
        <w:jc w:val="center"/>
        <w:rPr>
          <w:rFonts w:hint="eastAsia"/>
        </w:rPr>
      </w:pPr>
      <w:bookmarkStart w:id="141" w:name="_Toc165537289"/>
      <w:r>
        <w:t>Candidíase</w:t>
      </w:r>
      <w:bookmarkEnd w:id="141"/>
      <w:r>
        <w:t xml:space="preserve"> </w:t>
      </w:r>
    </w:p>
    <w:p w14:paraId="779C21B5" w14:textId="77777777" w:rsidR="00CD65C2" w:rsidRDefault="00CD65C2">
      <w:pPr>
        <w:pStyle w:val="SemEspaamento"/>
      </w:pPr>
    </w:p>
    <w:p w14:paraId="3BC61A42" w14:textId="77777777" w:rsidR="00CD65C2" w:rsidRDefault="00CD65C2">
      <w:pPr>
        <w:pStyle w:val="SemEspaamento"/>
      </w:pPr>
    </w:p>
    <w:p w14:paraId="39EA3968" w14:textId="77777777" w:rsidR="00CD65C2" w:rsidRDefault="00CD65C2">
      <w:pPr>
        <w:pStyle w:val="SemEspaamento"/>
      </w:pPr>
    </w:p>
    <w:p w14:paraId="69A9260B" w14:textId="77777777" w:rsidR="00CD65C2" w:rsidRDefault="00CD65C2">
      <w:pPr>
        <w:pStyle w:val="SemEspaamento"/>
      </w:pPr>
    </w:p>
    <w:p w14:paraId="192556FB" w14:textId="77777777" w:rsidR="00CD65C2" w:rsidRDefault="00FA41FC">
      <w:pPr>
        <w:pStyle w:val="Ttulo1"/>
        <w:jc w:val="center"/>
        <w:rPr>
          <w:rFonts w:hint="eastAsia"/>
        </w:rPr>
      </w:pPr>
      <w:bookmarkStart w:id="142" w:name="_Toc165537290"/>
      <w:r>
        <w:rPr>
          <w:szCs w:val="23"/>
        </w:rPr>
        <w:t>Probióticos e Lactoferrina</w:t>
      </w:r>
      <w:bookmarkEnd w:id="142"/>
    </w:p>
    <w:p w14:paraId="48868CA3" w14:textId="77777777" w:rsidR="00CD65C2" w:rsidRPr="00D1428E" w:rsidRDefault="00FA41FC">
      <w:pPr>
        <w:pStyle w:val="Corpo"/>
        <w:spacing w:after="120"/>
        <w:jc w:val="center"/>
        <w:rPr>
          <w:rFonts w:hint="eastAsia"/>
          <w:color w:val="0070C0"/>
          <w:sz w:val="24"/>
        </w:rPr>
      </w:pPr>
      <w:r w:rsidRPr="00D1428E">
        <w:rPr>
          <w:b/>
          <w:color w:val="0070C0"/>
          <w:sz w:val="40"/>
          <w:szCs w:val="22"/>
        </w:rPr>
        <w:t>Eficazes na Candidíase Vulvovaginal</w:t>
      </w:r>
    </w:p>
    <w:p w14:paraId="6CCE1E8E" w14:textId="77777777" w:rsidR="00CD65C2" w:rsidRDefault="00CD65C2">
      <w:pPr>
        <w:pStyle w:val="Corpo"/>
        <w:spacing w:after="120"/>
        <w:rPr>
          <w:rFonts w:hint="eastAsia"/>
          <w:color w:val="404040" w:themeColor="text1" w:themeTint="BF"/>
          <w:sz w:val="24"/>
        </w:rPr>
      </w:pPr>
    </w:p>
    <w:p w14:paraId="3A772985" w14:textId="77777777" w:rsidR="00CD65C2" w:rsidRDefault="00CD65C2">
      <w:pPr>
        <w:pStyle w:val="Corpo"/>
        <w:spacing w:after="120"/>
        <w:rPr>
          <w:rFonts w:hint="eastAsia"/>
          <w:color w:val="404040" w:themeColor="text1" w:themeTint="BF"/>
          <w:sz w:val="24"/>
        </w:rPr>
      </w:pPr>
    </w:p>
    <w:p w14:paraId="08809794" w14:textId="77777777" w:rsidR="00CD65C2" w:rsidRDefault="00FA41FC">
      <w:pPr>
        <w:pStyle w:val="Corpo"/>
        <w:spacing w:after="120"/>
        <w:rPr>
          <w:rFonts w:hint="eastAsia"/>
          <w:color w:val="404040" w:themeColor="text1" w:themeTint="BF"/>
          <w:sz w:val="24"/>
        </w:rPr>
      </w:pPr>
      <w:r>
        <w:rPr>
          <w:color w:val="404040" w:themeColor="text1" w:themeTint="BF"/>
          <w:sz w:val="24"/>
        </w:rPr>
        <w:t xml:space="preserve">Esse estudo prospectivo, duplo-cego, randomizado e clínico teve como objetivo avaliar a eficácia de uma formulação oral contendo </w:t>
      </w:r>
      <w:r>
        <w:rPr>
          <w:i/>
          <w:color w:val="404040" w:themeColor="text1" w:themeTint="BF"/>
          <w:sz w:val="24"/>
        </w:rPr>
        <w:t>Lactobacillus acidophilus, Lactobacillus rhamanosus</w:t>
      </w:r>
      <w:r>
        <w:rPr>
          <w:color w:val="404040" w:themeColor="text1" w:themeTint="BF"/>
          <w:sz w:val="24"/>
        </w:rPr>
        <w:t xml:space="preserve"> e lactoferrina como terapia adjuvante ao clotrimazol tópico nos sintomas e recorrência da candidíase vulvovaginal </w:t>
      </w:r>
      <w:r>
        <w:rPr>
          <w:color w:val="404040" w:themeColor="text1" w:themeTint="BF"/>
          <w:sz w:val="24"/>
        </w:rPr>
        <w:fldChar w:fldCharType="begin">
          <w:fldData xml:space="preserve">PEVuZE5vdGU+PENpdGU+PEF1dGhvcj5SdXNzbzwvQXV0aG9yPjxZZWFyPjIwMTk8L1llYXI+PElE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</w:fldData>
        </w:fldChar>
      </w:r>
      <w:r>
        <w:rPr>
          <w:color w:val="404040" w:themeColor="text1" w:themeTint="BF"/>
          <w:sz w:val="24"/>
        </w:rPr>
        <w:instrText xml:space="preserve"> ADDIN EN.CITE </w:instrText>
      </w:r>
      <w:r>
        <w:rPr>
          <w:color w:val="404040" w:themeColor="text1" w:themeTint="BF"/>
          <w:sz w:val="24"/>
        </w:rPr>
        <w:fldChar w:fldCharType="begin">
          <w:fldData xml:space="preserve">PEVuZE5vdGU+PENpdGU+PEF1dGhvcj5SdXNzbzwvQXV0aG9yPjxZZWFyPjIwMTk8L1llYXI+PElE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</w:fldData>
        </w:fldChar>
      </w:r>
      <w:r>
        <w:rPr>
          <w:color w:val="404040" w:themeColor="text1" w:themeTint="BF"/>
          <w:sz w:val="24"/>
        </w:rPr>
        <w:instrText xml:space="preserve"> ADDIN EN.CITE.DATA </w:instrText>
      </w:r>
      <w:r>
        <w:rPr>
          <w:color w:val="404040" w:themeColor="text1" w:themeTint="BF"/>
          <w:sz w:val="24"/>
        </w:rPr>
      </w:r>
      <w:r>
        <w:rPr>
          <w:color w:val="404040" w:themeColor="text1" w:themeTint="BF"/>
          <w:sz w:val="24"/>
        </w:rPr>
        <w:fldChar w:fldCharType="end"/>
      </w:r>
      <w:r>
        <w:rPr>
          <w:color w:val="404040" w:themeColor="text1" w:themeTint="BF"/>
          <w:sz w:val="24"/>
        </w:rPr>
      </w:r>
      <w:r>
        <w:rPr>
          <w:color w:val="404040" w:themeColor="text1" w:themeTint="BF"/>
          <w:sz w:val="24"/>
        </w:rPr>
        <w:fldChar w:fldCharType="separate"/>
      </w:r>
      <w:r>
        <w:rPr>
          <w:color w:val="404040" w:themeColor="text1" w:themeTint="BF"/>
          <w:sz w:val="24"/>
        </w:rPr>
        <w:t>(RUSSO; SUPERTI; KARADJA; DE SETA, 2019)</w:t>
      </w:r>
      <w:r>
        <w:rPr>
          <w:color w:val="404040" w:themeColor="text1" w:themeTint="BF"/>
          <w:sz w:val="24"/>
        </w:rPr>
        <w:fldChar w:fldCharType="end"/>
      </w:r>
      <w:r>
        <w:rPr>
          <w:color w:val="404040" w:themeColor="text1" w:themeTint="BF"/>
          <w:sz w:val="24"/>
        </w:rPr>
        <w:t>.</w:t>
      </w:r>
    </w:p>
    <w:p w14:paraId="4843CE73"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955200" behindDoc="0" locked="0" layoutInCell="1" allowOverlap="1">
                <wp:simplePos x="0" y="0"/>
                <wp:positionH relativeFrom="margin">
                  <wp:posOffset>-3810</wp:posOffset>
                </wp:positionH>
                <wp:positionV relativeFrom="paragraph">
                  <wp:posOffset>17145</wp:posOffset>
                </wp:positionV>
                <wp:extent cx="5724525" cy="657225"/>
                <wp:effectExtent l="0" t="0" r="28575" b="28575"/>
                <wp:wrapNone/>
                <wp:docPr id="739657862" name="Caixa de texto 739657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657225"/>
                        </a:xfrm>
                        <a:prstGeom prst="rect">
                          <a:avLst/>
                        </a:prstGeom>
                        <a:solidFill>
                          <a:schemeClr val="bg1">
                            <a:lumMod val="100000"/>
                            <a:lumOff val="0"/>
                          </a:schemeClr>
                        </a:solidFill>
                        <a:ln w="9525">
                          <a:solidFill>
                            <a:srgbClr val="0070C0"/>
                          </a:solidFill>
                          <a:miter lim="800000"/>
                        </a:ln>
                      </wps:spPr>
                      <wps:txbx>
                        <w:txbxContent>
                          <w:p w14:paraId="5B1A7A15" w14:textId="12FA6E6D" w:rsidR="00FA41FC" w:rsidRDefault="00FA41FC">
                            <w:pPr>
                              <w:jc w:val="center"/>
                              <w:rPr>
                                <w:rFonts w:ascii="Swis721 Th BT" w:hAnsi="Swis721 Th BT"/>
                                <w:sz w:val="23"/>
                                <w:szCs w:val="23"/>
                              </w:rPr>
                            </w:pPr>
                            <w:r>
                              <w:rPr>
                                <w:rFonts w:ascii="Swis721 Th BT" w:hAnsi="Swis721 Th BT"/>
                                <w:sz w:val="23"/>
                                <w:szCs w:val="23"/>
                              </w:rPr>
                              <w:t xml:space="preserve">Assim, 48 mulheres positivas para </w:t>
                            </w:r>
                            <w:r>
                              <w:rPr>
                                <w:rFonts w:ascii="Swis721 Th BT" w:hAnsi="Swis721 Th BT"/>
                                <w:i/>
                                <w:sz w:val="23"/>
                                <w:szCs w:val="23"/>
                              </w:rPr>
                              <w:t>C. albicans</w:t>
                            </w:r>
                            <w:r>
                              <w:rPr>
                                <w:rFonts w:ascii="Swis721 Th BT" w:hAnsi="Swis721 Th BT"/>
                                <w:sz w:val="23"/>
                                <w:szCs w:val="23"/>
                              </w:rPr>
                              <w:t xml:space="preserve">, com sintomas de CVV e história documentada de recorrência foram randomizadas em dois grupos para receberem como terapia adjuvante ao clotrimazol: </w:t>
                            </w:r>
                          </w:p>
                          <w:p w14:paraId="21CA5DFC"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862" o:spid="_x0000_s1222" type="#_x0000_t202" style="position:absolute;left:0;text-align:left;margin-left:-.3pt;margin-top:1.35pt;width:450.75pt;height:51.75pt;z-index:2519552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" fillcolor="white [3212]" strokecolor="#0070c0">
                <v:textbox>
                  <w:txbxContent>
                    <w:p w14:paraId="5B1A7A15" w14:textId="12FA6E6D" w:rsidR="00FA41FC" w:rsidRDefault="00FA41FC">
                      <w:pPr>
                        <w:jc w:val="center"/>
                        <w:rPr>
                          <w:rFonts w:ascii="Swis721 Th BT" w:hAnsi="Swis721 Th BT"/>
                          <w:sz w:val="23"/>
                          <w:szCs w:val="23"/>
                        </w:rPr>
                      </w:pPr>
                      <w:r>
                        <w:rPr>
                          <w:rFonts w:ascii="Swis721 Th BT" w:hAnsi="Swis721 Th BT"/>
                          <w:sz w:val="23"/>
                          <w:szCs w:val="23"/>
                        </w:rPr>
                        <w:t xml:space="preserve">Assim, 48 mulheres positivas para </w:t>
                      </w:r>
                      <w:r>
                        <w:rPr>
                          <w:rFonts w:ascii="Swis721 Th BT" w:hAnsi="Swis721 Th BT"/>
                          <w:i/>
                          <w:sz w:val="23"/>
                          <w:szCs w:val="23"/>
                        </w:rPr>
                        <w:t>C. albicans</w:t>
                      </w:r>
                      <w:r>
                        <w:rPr>
                          <w:rFonts w:ascii="Swis721 Th BT" w:hAnsi="Swis721 Th BT"/>
                          <w:sz w:val="23"/>
                          <w:szCs w:val="23"/>
                        </w:rPr>
                        <w:t xml:space="preserve">, com sintomas de CVV e história documentada de recorrência foram randomizadas em dois grupos para receberem como terapia adjuvante ao clotrimazol: </w:t>
                      </w:r>
                    </w:p>
                    <w:p w14:paraId="21CA5DFC"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6B8444AA" w14:textId="77777777" w:rsidR="00CD65C2" w:rsidRDefault="00CD65C2">
      <w:pPr>
        <w:pStyle w:val="Corpo"/>
        <w:rPr>
          <w:rFonts w:hint="eastAsia"/>
          <w:color w:val="404040" w:themeColor="text1" w:themeTint="BF"/>
        </w:rPr>
      </w:pPr>
    </w:p>
    <w:p w14:paraId="4C4B2FD5" w14:textId="77777777" w:rsidR="00CD65C2" w:rsidRDefault="00CD65C2">
      <w:pPr>
        <w:pStyle w:val="Corpo"/>
        <w:rPr>
          <w:rFonts w:hint="eastAsia"/>
          <w:color w:val="404040" w:themeColor="text1" w:themeTint="BF"/>
        </w:rPr>
      </w:pPr>
    </w:p>
    <w:p w14:paraId="7B76E4CD"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954176" behindDoc="0" locked="0" layoutInCell="1" allowOverlap="1">
                <wp:simplePos x="0" y="0"/>
                <wp:positionH relativeFrom="column">
                  <wp:posOffset>3834765</wp:posOffset>
                </wp:positionH>
                <wp:positionV relativeFrom="paragraph">
                  <wp:posOffset>86360</wp:posOffset>
                </wp:positionV>
                <wp:extent cx="1905000" cy="1047750"/>
                <wp:effectExtent l="0" t="0" r="19050" b="19050"/>
                <wp:wrapNone/>
                <wp:docPr id="739657866" name="Caixa de texto 739657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047750"/>
                        </a:xfrm>
                        <a:prstGeom prst="rect">
                          <a:avLst/>
                        </a:prstGeom>
                        <a:solidFill>
                          <a:srgbClr val="0070C0"/>
                        </a:solidFill>
                        <a:ln w="9525">
                          <a:solidFill>
                            <a:srgbClr val="0070C0"/>
                          </a:solidFill>
                          <a:miter lim="800000"/>
                        </a:ln>
                      </wps:spPr>
                      <wps:txbx>
                        <w:txbxContent>
                          <w:p w14:paraId="18AD9681"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56738630" w14:textId="77777777" w:rsidR="00FA41FC" w:rsidRDefault="00FA41FC">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739657866" o:spid="_x0000_s1223" type="#_x0000_t202" style="position:absolute;left:0;text-align:left;margin-left:301.95pt;margin-top:6.8pt;width:150pt;height:82.5pt;z-index:251954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" fillcolor="#0070c0" strokecolor="#0070c0">
                <v:textbox>
                  <w:txbxContent>
                    <w:p w14:paraId="18AD9681"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56738630" w14:textId="77777777" w:rsidR="00FA41FC" w:rsidRDefault="00FA41FC">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953152" behindDoc="0" locked="0" layoutInCell="1" allowOverlap="1">
                <wp:simplePos x="0" y="0"/>
                <wp:positionH relativeFrom="column">
                  <wp:posOffset>-3810</wp:posOffset>
                </wp:positionH>
                <wp:positionV relativeFrom="paragraph">
                  <wp:posOffset>86360</wp:posOffset>
                </wp:positionV>
                <wp:extent cx="1913890" cy="1047750"/>
                <wp:effectExtent l="0" t="0" r="10160" b="19050"/>
                <wp:wrapNone/>
                <wp:docPr id="739657865" name="Caixa de texto 739657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047750"/>
                        </a:xfrm>
                        <a:prstGeom prst="rect">
                          <a:avLst/>
                        </a:prstGeom>
                        <a:solidFill>
                          <a:srgbClr val="0070C0"/>
                        </a:solidFill>
                        <a:ln w="9525">
                          <a:solidFill>
                            <a:srgbClr val="0070C0"/>
                          </a:solidFill>
                          <a:miter lim="800000"/>
                        </a:ln>
                      </wps:spPr>
                      <wps:txbx>
                        <w:txbxContent>
                          <w:p w14:paraId="0E7F32E6" w14:textId="77777777" w:rsidR="00FA41FC" w:rsidRDefault="00FA41FC">
                            <w:pPr>
                              <w:spacing w:after="0" w:line="240" w:lineRule="auto"/>
                              <w:jc w:val="center"/>
                              <w:rPr>
                                <w:rFonts w:ascii="Swis721 Th BT" w:hAnsi="Swis721 Th BT"/>
                                <w:i/>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color w:val="FFFFFF" w:themeColor="background1"/>
                                <w:sz w:val="23"/>
                                <w:szCs w:val="23"/>
                              </w:rPr>
                              <w:t xml:space="preserve">L. acidophilus </w:t>
                            </w:r>
                            <w:r>
                              <w:rPr>
                                <w:rFonts w:ascii="Swis721 Th BT" w:hAnsi="Swis721 Th BT"/>
                                <w:color w:val="FFFFFF" w:themeColor="background1"/>
                                <w:sz w:val="23"/>
                                <w:szCs w:val="23"/>
                              </w:rPr>
                              <w:t>2,5x10</w:t>
                            </w:r>
                            <w:r>
                              <w:rPr>
                                <w:rFonts w:ascii="Swis721 Th BT" w:hAnsi="Swis721 Th BT"/>
                                <w:color w:val="FFFFFF" w:themeColor="background1"/>
                                <w:sz w:val="23"/>
                                <w:szCs w:val="23"/>
                                <w:vertAlign w:val="superscript"/>
                              </w:rPr>
                              <w:t>9</w:t>
                            </w:r>
                            <w:r>
                              <w:rPr>
                                <w:rFonts w:ascii="Swis721 Th BT" w:hAnsi="Swis721 Th BT"/>
                                <w:color w:val="FFFFFF" w:themeColor="background1"/>
                                <w:sz w:val="23"/>
                                <w:szCs w:val="23"/>
                              </w:rPr>
                              <w:t xml:space="preserve"> UFC</w:t>
                            </w:r>
                          </w:p>
                          <w:p w14:paraId="40D04DFD"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 xml:space="preserve">L. rhamnosus </w:t>
                            </w:r>
                            <w:r>
                              <w:rPr>
                                <w:rFonts w:ascii="Swis721 Th BT" w:hAnsi="Swis721 Th BT"/>
                                <w:color w:val="FFFFFF" w:themeColor="background1"/>
                                <w:sz w:val="23"/>
                                <w:szCs w:val="23"/>
                              </w:rPr>
                              <w:t>2,5x10</w:t>
                            </w:r>
                            <w:r>
                              <w:rPr>
                                <w:rFonts w:ascii="Swis721 Th BT" w:hAnsi="Swis721 Th BT"/>
                                <w:color w:val="FFFFFF" w:themeColor="background1"/>
                                <w:sz w:val="23"/>
                                <w:szCs w:val="23"/>
                                <w:vertAlign w:val="superscript"/>
                              </w:rPr>
                              <w:t>9</w:t>
                            </w:r>
                            <w:r>
                              <w:rPr>
                                <w:rFonts w:ascii="Swis721 Th BT" w:hAnsi="Swis721 Th BT"/>
                                <w:color w:val="FFFFFF" w:themeColor="background1"/>
                                <w:sz w:val="23"/>
                                <w:szCs w:val="23"/>
                              </w:rPr>
                              <w:t xml:space="preserve"> UFC</w:t>
                            </w:r>
                          </w:p>
                          <w:p w14:paraId="124CB1BD"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Lactoferrina 50 mg</w:t>
                            </w:r>
                          </w:p>
                          <w:p w14:paraId="234B566F"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Quantidade para 1 cápsula</w:t>
                            </w:r>
                          </w:p>
                          <w:p w14:paraId="1C3FB1B3"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739657865" o:spid="_x0000_s1224" type="#_x0000_t202" style="position:absolute;left:0;text-align:left;margin-left:-.3pt;margin-top:6.8pt;width:150.7pt;height:82.5pt;z-index:251953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" fillcolor="#0070c0" strokecolor="#0070c0">
                <v:textbox>
                  <w:txbxContent>
                    <w:p w14:paraId="0E7F32E6" w14:textId="77777777" w:rsidR="00FA41FC" w:rsidRDefault="00FA41FC">
                      <w:pPr>
                        <w:spacing w:after="0" w:line="240" w:lineRule="auto"/>
                        <w:jc w:val="center"/>
                        <w:rPr>
                          <w:rFonts w:ascii="Swis721 Th BT" w:hAnsi="Swis721 Th BT"/>
                          <w:i/>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color w:val="FFFFFF" w:themeColor="background1"/>
                          <w:sz w:val="23"/>
                          <w:szCs w:val="23"/>
                        </w:rPr>
                        <w:t xml:space="preserve">L. acidophilus </w:t>
                      </w:r>
                      <w:r>
                        <w:rPr>
                          <w:rFonts w:ascii="Swis721 Th BT" w:hAnsi="Swis721 Th BT"/>
                          <w:color w:val="FFFFFF" w:themeColor="background1"/>
                          <w:sz w:val="23"/>
                          <w:szCs w:val="23"/>
                        </w:rPr>
                        <w:t>2,5x10</w:t>
                      </w:r>
                      <w:r>
                        <w:rPr>
                          <w:rFonts w:ascii="Swis721 Th BT" w:hAnsi="Swis721 Th BT"/>
                          <w:color w:val="FFFFFF" w:themeColor="background1"/>
                          <w:sz w:val="23"/>
                          <w:szCs w:val="23"/>
                          <w:vertAlign w:val="superscript"/>
                        </w:rPr>
                        <w:t>9</w:t>
                      </w:r>
                      <w:r>
                        <w:rPr>
                          <w:rFonts w:ascii="Swis721 Th BT" w:hAnsi="Swis721 Th BT"/>
                          <w:color w:val="FFFFFF" w:themeColor="background1"/>
                          <w:sz w:val="23"/>
                          <w:szCs w:val="23"/>
                        </w:rPr>
                        <w:t xml:space="preserve"> UFC</w:t>
                      </w:r>
                    </w:p>
                    <w:p w14:paraId="40D04DFD"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 xml:space="preserve">L. rhamnosus </w:t>
                      </w:r>
                      <w:r>
                        <w:rPr>
                          <w:rFonts w:ascii="Swis721 Th BT" w:hAnsi="Swis721 Th BT"/>
                          <w:color w:val="FFFFFF" w:themeColor="background1"/>
                          <w:sz w:val="23"/>
                          <w:szCs w:val="23"/>
                        </w:rPr>
                        <w:t>2,5x10</w:t>
                      </w:r>
                      <w:r>
                        <w:rPr>
                          <w:rFonts w:ascii="Swis721 Th BT" w:hAnsi="Swis721 Th BT"/>
                          <w:color w:val="FFFFFF" w:themeColor="background1"/>
                          <w:sz w:val="23"/>
                          <w:szCs w:val="23"/>
                          <w:vertAlign w:val="superscript"/>
                        </w:rPr>
                        <w:t>9</w:t>
                      </w:r>
                      <w:r>
                        <w:rPr>
                          <w:rFonts w:ascii="Swis721 Th BT" w:hAnsi="Swis721 Th BT"/>
                          <w:color w:val="FFFFFF" w:themeColor="background1"/>
                          <w:sz w:val="23"/>
                          <w:szCs w:val="23"/>
                        </w:rPr>
                        <w:t xml:space="preserve"> UFC</w:t>
                      </w:r>
                    </w:p>
                    <w:p w14:paraId="124CB1BD"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Lactoferrina 50 mg</w:t>
                      </w:r>
                    </w:p>
                    <w:p w14:paraId="234B566F"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Quantidade para 1 cápsula</w:t>
                      </w:r>
                    </w:p>
                    <w:p w14:paraId="1C3FB1B3"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p>
    <w:p w14:paraId="5290DD8B" w14:textId="77777777" w:rsidR="00CD65C2" w:rsidRDefault="00CD65C2">
      <w:pPr>
        <w:pStyle w:val="Corpo"/>
        <w:rPr>
          <w:rFonts w:hint="eastAsia"/>
          <w:color w:val="404040" w:themeColor="text1" w:themeTint="BF"/>
        </w:rPr>
      </w:pPr>
    </w:p>
    <w:p w14:paraId="1A8FFC35" w14:textId="77777777" w:rsidR="00CD65C2" w:rsidRDefault="00CD65C2">
      <w:pPr>
        <w:pStyle w:val="Corpo"/>
        <w:rPr>
          <w:rFonts w:hint="eastAsia"/>
          <w:color w:val="404040" w:themeColor="text1" w:themeTint="BF"/>
        </w:rPr>
      </w:pPr>
    </w:p>
    <w:p w14:paraId="20CB4783" w14:textId="77777777" w:rsidR="00CD65C2" w:rsidRDefault="00CD65C2">
      <w:pPr>
        <w:pStyle w:val="Corpo"/>
        <w:rPr>
          <w:rFonts w:hint="eastAsia"/>
          <w:color w:val="404040" w:themeColor="text1" w:themeTint="BF"/>
        </w:rPr>
      </w:pPr>
    </w:p>
    <w:p w14:paraId="3183204B" w14:textId="77777777" w:rsidR="00CD65C2" w:rsidRDefault="00CD65C2">
      <w:pPr>
        <w:pStyle w:val="Corpo"/>
        <w:spacing w:before="120"/>
        <w:rPr>
          <w:rFonts w:hint="eastAsia"/>
          <w:color w:val="404040" w:themeColor="text1" w:themeTint="BF"/>
          <w:sz w:val="20"/>
        </w:rPr>
      </w:pPr>
    </w:p>
    <w:p w14:paraId="0E7A9D77" w14:textId="77777777" w:rsidR="00CD65C2" w:rsidRDefault="00CD65C2">
      <w:pPr>
        <w:pStyle w:val="Corpo"/>
        <w:spacing w:before="120"/>
        <w:rPr>
          <w:rFonts w:hint="eastAsia"/>
          <w:color w:val="404040" w:themeColor="text1" w:themeTint="BF"/>
          <w:sz w:val="20"/>
        </w:rPr>
      </w:pPr>
    </w:p>
    <w:p w14:paraId="02B2148B" w14:textId="1B9C6A84" w:rsidR="00CD65C2" w:rsidRDefault="00FA41FC" w:rsidP="00D1428E">
      <w:pPr>
        <w:pStyle w:val="Corpo"/>
        <w:numPr>
          <w:ilvl w:val="0"/>
          <w:numId w:val="57"/>
        </w:numPr>
        <w:rPr>
          <w:rFonts w:hint="eastAsia"/>
          <w:color w:val="404040" w:themeColor="text1" w:themeTint="BF"/>
          <w:sz w:val="20"/>
          <w:szCs w:val="23"/>
        </w:rPr>
      </w:pPr>
      <w:r>
        <w:rPr>
          <w:color w:val="404040" w:themeColor="text1" w:themeTint="BF"/>
          <w:sz w:val="20"/>
          <w:szCs w:val="23"/>
        </w:rPr>
        <w:t xml:space="preserve">1ª fase ou </w:t>
      </w:r>
      <w:r>
        <w:rPr>
          <w:b/>
          <w:color w:val="404040" w:themeColor="text1" w:themeTint="BF"/>
          <w:sz w:val="20"/>
          <w:szCs w:val="23"/>
        </w:rPr>
        <w:t>Indução</w:t>
      </w:r>
      <w:r>
        <w:rPr>
          <w:color w:val="404040" w:themeColor="text1" w:themeTint="BF"/>
          <w:sz w:val="20"/>
          <w:szCs w:val="23"/>
        </w:rPr>
        <w:t xml:space="preserve">: todas as mulheres foram tratadas com terapia antifúngica (clotrimazol 100 mg ao dia por 7 dias) e randomizadas para um dos grupos do estudo (2 cápsulas ao dia por 5 dias, seguido de 1 cápsula ao dia por 10 dias consecutivos). 2ª fase ou </w:t>
      </w:r>
      <w:r>
        <w:rPr>
          <w:b/>
          <w:color w:val="404040" w:themeColor="text1" w:themeTint="BF"/>
          <w:sz w:val="20"/>
          <w:szCs w:val="23"/>
        </w:rPr>
        <w:t>Manutenção</w:t>
      </w:r>
      <w:r>
        <w:rPr>
          <w:color w:val="404040" w:themeColor="text1" w:themeTint="BF"/>
          <w:sz w:val="20"/>
          <w:szCs w:val="23"/>
        </w:rPr>
        <w:t>: após 6 meses da fase de indução, todas as mulheres recrutadas ingeriram 1 cápsula ao dia de um dos tratamentos do estudo (grupo 1 ou grupo 2), durante 10 dias consecutivos por mês na fase pré-menstrual.</w:t>
      </w:r>
    </w:p>
    <w:p w14:paraId="04CAD9B0" w14:textId="77777777" w:rsidR="00CD65C2" w:rsidRDefault="00CD65C2">
      <w:pPr>
        <w:pStyle w:val="Corpo"/>
        <w:rPr>
          <w:rFonts w:hint="eastAsia"/>
          <w:b/>
          <w:color w:val="339966"/>
          <w:sz w:val="25"/>
          <w:szCs w:val="25"/>
          <w14:textFill>
            <w14:solidFill>
              <w14:srgbClr w14:val="339966">
                <w14:lumMod w14:val="75000"/>
                <w14:lumOff w14:val="25000"/>
              </w14:srgbClr>
            </w14:solidFill>
          </w14:textFill>
        </w:rPr>
      </w:pPr>
    </w:p>
    <w:p w14:paraId="750DE976"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31C2515D" w14:textId="77777777" w:rsidR="00CD65C2" w:rsidRDefault="00CD65C2">
      <w:pPr>
        <w:pStyle w:val="Corpo"/>
        <w:rPr>
          <w:rFonts w:hint="eastAsia"/>
          <w:color w:val="404040" w:themeColor="text1" w:themeTint="BF"/>
          <w:sz w:val="16"/>
          <w:szCs w:val="16"/>
        </w:rPr>
      </w:pPr>
    </w:p>
    <w:p w14:paraId="06B830EF" w14:textId="77777777"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Após o tratamento com clotrimazol, houve melhora significativa dos sintomas em ambos os grupos;</w:t>
      </w:r>
    </w:p>
    <w:p w14:paraId="6339F3A0" w14:textId="5AAF1C86"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Apenas as mulheres do grupo 1 demonstraram melhora significativa no prurido e secreção aos 3 e 6 meses;</w:t>
      </w:r>
    </w:p>
    <w:p w14:paraId="414420CF" w14:textId="0AE620F7"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 xml:space="preserve">Durante a manutenção, a recorrência foi significativamente menor no grupo 1 </w:t>
      </w:r>
      <w:r>
        <w:rPr>
          <w:i/>
          <w:color w:val="404040" w:themeColor="text1" w:themeTint="BF"/>
          <w:sz w:val="24"/>
        </w:rPr>
        <w:t>vs</w:t>
      </w:r>
      <w:r>
        <w:rPr>
          <w:color w:val="404040" w:themeColor="text1" w:themeTint="BF"/>
          <w:sz w:val="24"/>
        </w:rPr>
        <w:t xml:space="preserve">. grupo 2 (33,3% </w:t>
      </w:r>
      <w:r>
        <w:rPr>
          <w:i/>
          <w:color w:val="404040" w:themeColor="text1" w:themeTint="BF"/>
          <w:sz w:val="24"/>
        </w:rPr>
        <w:t>vs.</w:t>
      </w:r>
      <w:r>
        <w:rPr>
          <w:color w:val="404040" w:themeColor="text1" w:themeTint="BF"/>
          <w:sz w:val="24"/>
        </w:rPr>
        <w:t xml:space="preserve"> 91,7% após 3 meses e 29,2% </w:t>
      </w:r>
      <w:r>
        <w:rPr>
          <w:i/>
          <w:color w:val="404040" w:themeColor="text1" w:themeTint="BF"/>
          <w:sz w:val="24"/>
        </w:rPr>
        <w:t>vs.</w:t>
      </w:r>
      <w:r>
        <w:rPr>
          <w:color w:val="404040" w:themeColor="text1" w:themeTint="BF"/>
          <w:sz w:val="24"/>
        </w:rPr>
        <w:t xml:space="preserve"> 100% após 6 meses).</w:t>
      </w:r>
    </w:p>
    <w:p w14:paraId="6DAB7D50" w14:textId="77777777" w:rsidR="00CD65C2" w:rsidRDefault="00CD65C2">
      <w:pPr>
        <w:pStyle w:val="Corpo"/>
        <w:spacing w:after="120"/>
        <w:ind w:left="786"/>
        <w:rPr>
          <w:rFonts w:hint="eastAsia"/>
          <w:color w:val="404040" w:themeColor="text1" w:themeTint="BF"/>
          <w:sz w:val="24"/>
        </w:rPr>
      </w:pPr>
    </w:p>
    <w:p w14:paraId="66F35747"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20682A51" w14:textId="77777777" w:rsidR="00CD65C2" w:rsidRDefault="00CD65C2">
      <w:pPr>
        <w:pStyle w:val="Corpo"/>
        <w:rPr>
          <w:rFonts w:hint="eastAsia"/>
          <w:b/>
          <w:color w:val="339966"/>
          <w:sz w:val="16"/>
          <w:szCs w:val="16"/>
          <w14:textFill>
            <w14:solidFill>
              <w14:srgbClr w14:val="339966">
                <w14:lumMod w14:val="75000"/>
                <w14:lumOff w14:val="25000"/>
              </w14:srgbClr>
            </w14:solidFill>
          </w14:textFill>
        </w:rPr>
      </w:pPr>
    </w:p>
    <w:p w14:paraId="572C3200" w14:textId="77777777" w:rsidR="00CD65C2" w:rsidRDefault="00FA41FC">
      <w:pPr>
        <w:pStyle w:val="Corpo"/>
        <w:jc w:val="center"/>
        <w:rPr>
          <w:rFonts w:hint="eastAsia"/>
          <w:b/>
          <w:i/>
          <w:color w:val="404040" w:themeColor="text1" w:themeTint="BF"/>
        </w:rPr>
      </w:pPr>
      <w:r>
        <w:rPr>
          <w:b/>
          <w:i/>
          <w:color w:val="404040" w:themeColor="text1" w:themeTint="BF"/>
        </w:rPr>
        <w:t xml:space="preserve">Os resultados demonstraram que a mistura de </w:t>
      </w:r>
      <w:r>
        <w:rPr>
          <w:b/>
          <w:color w:val="404040" w:themeColor="text1" w:themeTint="BF"/>
        </w:rPr>
        <w:t>Lactobacillus</w:t>
      </w:r>
      <w:r>
        <w:rPr>
          <w:b/>
          <w:i/>
          <w:color w:val="404040" w:themeColor="text1" w:themeTint="BF"/>
        </w:rPr>
        <w:t xml:space="preserve"> em combinação com a lactoferrina representa uma abordagem adjuvante segura e eficaz na redução dos sintomas e recorrência de CVV.</w:t>
      </w:r>
    </w:p>
    <w:p w14:paraId="55871C44" w14:textId="77777777" w:rsidR="00CD65C2" w:rsidRDefault="00FA41FC">
      <w:pPr>
        <w:pStyle w:val="Ttulo1"/>
        <w:jc w:val="center"/>
        <w:rPr>
          <w:rFonts w:hint="eastAsia"/>
        </w:rPr>
      </w:pPr>
      <w:bookmarkStart w:id="143" w:name="_Toc165537291"/>
      <w:r>
        <w:t>Formulário</w:t>
      </w:r>
      <w:bookmarkEnd w:id="143"/>
    </w:p>
    <w:p w14:paraId="3B54369E" w14:textId="77777777" w:rsidR="00CD65C2" w:rsidRDefault="00CD65C2">
      <w:pPr>
        <w:pStyle w:val="Corpo"/>
        <w:rPr>
          <w:rFonts w:hint="eastAsia"/>
          <w:b/>
          <w:i/>
          <w:color w:val="404040" w:themeColor="text1" w:themeTint="BF"/>
        </w:rPr>
      </w:pPr>
    </w:p>
    <w:p w14:paraId="28C0240A" w14:textId="77777777" w:rsidR="00CD65C2" w:rsidRDefault="00CD65C2">
      <w:pPr>
        <w:pStyle w:val="Corpo"/>
        <w:rPr>
          <w:rFonts w:hint="eastAsia"/>
          <w:b/>
          <w:i/>
          <w:color w:val="404040" w:themeColor="text1" w:themeTint="BF"/>
        </w:rPr>
      </w:pPr>
    </w:p>
    <w:p w14:paraId="6E3368E6" w14:textId="77777777" w:rsidR="00CD65C2" w:rsidRDefault="00FA41FC">
      <w:pPr>
        <w:pStyle w:val="Corpo"/>
        <w:rPr>
          <w:rFonts w:hint="eastAsia"/>
          <w:b/>
          <w:i/>
          <w:color w:val="404040" w:themeColor="text1" w:themeTint="BF"/>
          <w:sz w:val="24"/>
        </w:rPr>
      </w:pPr>
      <w:r>
        <w:rPr>
          <w:b/>
          <w:i/>
          <w:color w:val="404040" w:themeColor="text1" w:themeTint="BF"/>
          <w:sz w:val="24"/>
        </w:rPr>
        <w:t>Tratamento Oral Adjuvante ao Clotrimazol Tópico na Candidíase Vulvovaginal Recorrente</w:t>
      </w:r>
    </w:p>
    <w:p w14:paraId="454C3485"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4843AA77"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17879AA0" w14:textId="77777777" w:rsidR="00CD65C2" w:rsidRDefault="00FA41FC">
            <w:pPr>
              <w:pStyle w:val="Corpo"/>
              <w:jc w:val="center"/>
              <w:rPr>
                <w:rFonts w:hint="eastAsia"/>
                <w:b/>
                <w:color w:val="FFFFFF" w:themeColor="background1"/>
              </w:rPr>
            </w:pPr>
            <w:r>
              <w:rPr>
                <w:b/>
                <w:color w:val="FFFFFF" w:themeColor="background1"/>
                <w:sz w:val="22"/>
              </w:rPr>
              <w:t>Combinação Adjuvante</w:t>
            </w:r>
          </w:p>
        </w:tc>
      </w:tr>
      <w:tr w:rsidR="00CD65C2" w14:paraId="0B8988F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6EF75DD" w14:textId="77777777" w:rsidR="00CD65C2" w:rsidRDefault="00FA41FC">
            <w:pPr>
              <w:pStyle w:val="Corpo"/>
              <w:rPr>
                <w:rFonts w:hint="eastAsia"/>
                <w:i/>
                <w:color w:val="404040" w:themeColor="text1" w:themeTint="BF"/>
              </w:rPr>
            </w:pPr>
            <w:r>
              <w:rPr>
                <w:i/>
                <w:color w:val="404040" w:themeColor="text1" w:themeTint="BF"/>
              </w:rPr>
              <w:t>L. acidophilus..........................</w:t>
            </w:r>
            <w:r>
              <w:rPr>
                <w:color w:val="404040" w:themeColor="text1" w:themeTint="BF"/>
              </w:rPr>
              <w:t>2,5x10</w:t>
            </w:r>
            <w:r>
              <w:rPr>
                <w:color w:val="404040" w:themeColor="text1" w:themeTint="BF"/>
                <w:vertAlign w:val="superscript"/>
              </w:rPr>
              <w:t>9</w:t>
            </w:r>
            <w:r>
              <w:rPr>
                <w:color w:val="404040" w:themeColor="text1" w:themeTint="BF"/>
              </w:rPr>
              <w:t xml:space="preserve"> UFC</w:t>
            </w:r>
          </w:p>
        </w:tc>
      </w:tr>
      <w:tr w:rsidR="00CD65C2" w14:paraId="461A8DEE"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6571703" w14:textId="77777777" w:rsidR="00CD65C2" w:rsidRDefault="00FA41FC">
            <w:pPr>
              <w:pStyle w:val="Corpo"/>
              <w:rPr>
                <w:rFonts w:hint="eastAsia"/>
                <w:color w:val="404040" w:themeColor="text1" w:themeTint="BF"/>
              </w:rPr>
            </w:pPr>
            <w:r>
              <w:rPr>
                <w:i/>
                <w:color w:val="404040" w:themeColor="text1" w:themeTint="BF"/>
              </w:rPr>
              <w:t>L. rhamnosus..........................</w:t>
            </w:r>
            <w:r>
              <w:rPr>
                <w:color w:val="404040" w:themeColor="text1" w:themeTint="BF"/>
              </w:rPr>
              <w:t>2,5x10</w:t>
            </w:r>
            <w:r>
              <w:rPr>
                <w:color w:val="404040" w:themeColor="text1" w:themeTint="BF"/>
                <w:vertAlign w:val="superscript"/>
              </w:rPr>
              <w:t>9</w:t>
            </w:r>
            <w:r>
              <w:rPr>
                <w:color w:val="404040" w:themeColor="text1" w:themeTint="BF"/>
              </w:rPr>
              <w:t xml:space="preserve"> UFC</w:t>
            </w:r>
          </w:p>
        </w:tc>
      </w:tr>
      <w:tr w:rsidR="00CD65C2" w14:paraId="05DD94AF"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3C3B403" w14:textId="77777777" w:rsidR="00CD65C2" w:rsidRDefault="00FA41FC">
            <w:pPr>
              <w:pStyle w:val="Corpo"/>
              <w:rPr>
                <w:rFonts w:hint="eastAsia"/>
                <w:color w:val="404040" w:themeColor="text1" w:themeTint="BF"/>
              </w:rPr>
            </w:pPr>
            <w:r>
              <w:rPr>
                <w:color w:val="404040" w:themeColor="text1" w:themeTint="BF"/>
              </w:rPr>
              <w:t>Lactoferrina.......................................50 mg</w:t>
            </w:r>
          </w:p>
        </w:tc>
      </w:tr>
      <w:tr w:rsidR="00CD65C2" w14:paraId="5E643CF6"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09DBCE4" w14:textId="398B66DE" w:rsidR="00CD65C2" w:rsidRDefault="00FA41FC">
            <w:pPr>
              <w:pStyle w:val="Corpo"/>
              <w:rPr>
                <w:rFonts w:hint="eastAsia"/>
                <w:color w:val="404040" w:themeColor="text1" w:themeTint="BF"/>
              </w:rPr>
            </w:pPr>
            <w:r>
              <w:rPr>
                <w:color w:val="404040" w:themeColor="text1" w:themeTint="BF"/>
              </w:rPr>
              <w:t>Excipiente q.s.p. ........................1 Cápsula</w:t>
            </w:r>
          </w:p>
        </w:tc>
      </w:tr>
    </w:tbl>
    <w:p w14:paraId="3E6458E4" w14:textId="11A0B51D" w:rsidR="00CD65C2" w:rsidRPr="00D1428E" w:rsidRDefault="00FA41FC">
      <w:pPr>
        <w:pStyle w:val="Corpo"/>
        <w:ind w:right="4706"/>
        <w:jc w:val="center"/>
        <w:rPr>
          <w:rFonts w:cs="Swis721 Th BT" w:hint="eastAsia"/>
          <w:color w:val="404040" w:themeColor="text1" w:themeTint="BF"/>
          <w:sz w:val="22"/>
          <w:szCs w:val="22"/>
        </w:rPr>
      </w:pPr>
      <w:r w:rsidRPr="00D1428E">
        <w:rPr>
          <w:rFonts w:eastAsia="Segoe UI" w:cs="Swis721 Th BT"/>
          <w:color w:val="0D0D0D"/>
          <w:sz w:val="22"/>
          <w:szCs w:val="22"/>
          <w:shd w:val="clear" w:color="auto" w:fill="FFFFFF"/>
          <w14:textFill>
            <w14:solidFill>
              <w14:srgbClr w14:val="0D0D0D">
                <w14:lumMod w14:val="75000"/>
                <w14:lumOff w14:val="25000"/>
              </w14:srgbClr>
            </w14:solidFill>
          </w14:textFill>
        </w:rPr>
        <w:t xml:space="preserve">Durante a </w:t>
      </w:r>
      <w:r w:rsidRPr="00D1428E">
        <w:rPr>
          <w:rFonts w:eastAsia="Segoe UI" w:cs="Swis721 Th BT"/>
          <w:b/>
          <w:bCs/>
          <w:color w:val="0D0D0D"/>
          <w:sz w:val="22"/>
          <w:szCs w:val="22"/>
          <w:shd w:val="clear" w:color="auto" w:fill="FFFFFF"/>
          <w14:textFill>
            <w14:solidFill>
              <w14:srgbClr w14:val="0D0D0D">
                <w14:lumMod w14:val="75000"/>
                <w14:lumOff w14:val="25000"/>
              </w14:srgbClr>
            </w14:solidFill>
          </w14:textFill>
        </w:rPr>
        <w:t>fase de indução</w:t>
      </w:r>
      <w:r w:rsidRPr="00D1428E">
        <w:rPr>
          <w:rFonts w:eastAsia="Segoe UI" w:cs="Swis721 Th BT"/>
          <w:color w:val="0D0D0D"/>
          <w:sz w:val="22"/>
          <w:szCs w:val="22"/>
          <w:shd w:val="clear" w:color="auto" w:fill="FFFFFF"/>
          <w14:textFill>
            <w14:solidFill>
              <w14:srgbClr w14:val="0D0D0D">
                <w14:lumMod w14:val="75000"/>
                <w14:lumOff w14:val="25000"/>
              </w14:srgbClr>
            </w14:solidFill>
          </w14:textFill>
        </w:rPr>
        <w:t xml:space="preserve">, </w:t>
      </w:r>
      <w:r>
        <w:rPr>
          <w:rFonts w:eastAsia="Segoe UI" w:cs="Swis721 Th BT"/>
          <w:color w:val="0D0D0D"/>
          <w:sz w:val="22"/>
          <w:szCs w:val="22"/>
          <w:shd w:val="clear" w:color="auto" w:fill="FFFFFF"/>
          <w14:textFill>
            <w14:solidFill>
              <w14:srgbClr w14:val="0D0D0D">
                <w14:lumMod w14:val="75000"/>
                <w14:lumOff w14:val="25000"/>
              </w14:srgbClr>
            </w14:solidFill>
          </w14:textFill>
        </w:rPr>
        <w:t>recomenda-se</w:t>
      </w:r>
      <w:r w:rsidRPr="00D1428E">
        <w:rPr>
          <w:rFonts w:eastAsia="Segoe UI" w:cs="Swis721 Th BT"/>
          <w:color w:val="0D0D0D"/>
          <w:sz w:val="22"/>
          <w:szCs w:val="22"/>
          <w:shd w:val="clear" w:color="auto" w:fill="FFFFFF"/>
          <w14:textFill>
            <w14:solidFill>
              <w14:srgbClr w14:val="0D0D0D">
                <w14:lumMod w14:val="75000"/>
                <w14:lumOff w14:val="25000"/>
              </w14:srgbClr>
            </w14:solidFill>
          </w14:textFill>
        </w:rPr>
        <w:t xml:space="preserve"> tomar 2 cápsulas por dia nos primeiros 5 dias e, em seguida, 1 cápsula por dia por 10 dias consecutivos. Para a </w:t>
      </w:r>
      <w:r w:rsidRPr="00D1428E">
        <w:rPr>
          <w:rFonts w:eastAsia="Segoe UI" w:cs="Swis721 Th BT"/>
          <w:b/>
          <w:bCs/>
          <w:color w:val="0D0D0D"/>
          <w:sz w:val="22"/>
          <w:szCs w:val="22"/>
          <w:shd w:val="clear" w:color="auto" w:fill="FFFFFF"/>
          <w14:textFill>
            <w14:solidFill>
              <w14:srgbClr w14:val="0D0D0D">
                <w14:lumMod w14:val="75000"/>
                <w14:lumOff w14:val="25000"/>
              </w14:srgbClr>
            </w14:solidFill>
          </w14:textFill>
        </w:rPr>
        <w:t>fase de manutenção</w:t>
      </w:r>
      <w:r w:rsidRPr="00D1428E">
        <w:rPr>
          <w:rFonts w:eastAsia="Segoe UI" w:cs="Swis721 Th BT"/>
          <w:color w:val="0D0D0D"/>
          <w:sz w:val="22"/>
          <w:szCs w:val="22"/>
          <w:shd w:val="clear" w:color="auto" w:fill="FFFFFF"/>
          <w14:textFill>
            <w14:solidFill>
              <w14:srgbClr w14:val="0D0D0D">
                <w14:lumMod w14:val="75000"/>
                <w14:lumOff w14:val="25000"/>
              </w14:srgbClr>
            </w14:solidFill>
          </w14:textFill>
        </w:rPr>
        <w:t xml:space="preserve">, após 6 meses, </w:t>
      </w:r>
      <w:r>
        <w:rPr>
          <w:rFonts w:eastAsia="Segoe UI" w:cs="Swis721 Th BT"/>
          <w:color w:val="0D0D0D"/>
          <w:sz w:val="22"/>
          <w:szCs w:val="22"/>
          <w:shd w:val="clear" w:color="auto" w:fill="FFFFFF"/>
          <w14:textFill>
            <w14:solidFill>
              <w14:srgbClr w14:val="0D0D0D">
                <w14:lumMod w14:val="75000"/>
                <w14:lumOff w14:val="25000"/>
              </w14:srgbClr>
            </w14:solidFill>
          </w14:textFill>
        </w:rPr>
        <w:t>aconselha-se</w:t>
      </w:r>
      <w:r w:rsidRPr="00D1428E">
        <w:rPr>
          <w:rFonts w:eastAsia="Segoe UI" w:cs="Swis721 Th BT"/>
          <w:color w:val="0D0D0D"/>
          <w:sz w:val="22"/>
          <w:szCs w:val="22"/>
          <w:shd w:val="clear" w:color="auto" w:fill="FFFFFF"/>
          <w14:textFill>
            <w14:solidFill>
              <w14:srgbClr w14:val="0D0D0D">
                <w14:lumMod w14:val="75000"/>
                <w14:lumOff w14:val="25000"/>
              </w14:srgbClr>
            </w14:solidFill>
          </w14:textFill>
        </w:rPr>
        <w:t xml:space="preserve"> tomar 1 cápsula por dia por 10 dias no período pré-menstrual</w:t>
      </w:r>
      <w:r>
        <w:rPr>
          <w:rFonts w:eastAsia="Segoe UI" w:cs="Swis721 Th BT"/>
          <w:color w:val="0D0D0D"/>
          <w:sz w:val="22"/>
          <w:szCs w:val="22"/>
          <w:shd w:val="clear" w:color="auto" w:fill="FFFFFF"/>
          <w14:textFill>
            <w14:solidFill>
              <w14:srgbClr w14:val="0D0D0D">
                <w14:lumMod w14:val="75000"/>
                <w14:lumOff w14:val="25000"/>
              </w14:srgbClr>
            </w14:solidFill>
          </w14:textFill>
        </w:rPr>
        <w:t>;</w:t>
      </w:r>
      <w:r w:rsidRPr="00D1428E">
        <w:rPr>
          <w:rFonts w:eastAsia="Segoe UI" w:cs="Swis721 Th BT"/>
          <w:color w:val="0D0D0D"/>
          <w:sz w:val="22"/>
          <w:szCs w:val="22"/>
          <w:shd w:val="clear" w:color="auto" w:fill="FFFFFF"/>
          <w14:textFill>
            <w14:solidFill>
              <w14:srgbClr w14:val="0D0D0D">
                <w14:lumMod w14:val="75000"/>
                <w14:lumOff w14:val="25000"/>
              </w14:srgbClr>
            </w14:solidFill>
          </w14:textFill>
        </w:rPr>
        <w:t xml:space="preserve"> ou </w:t>
      </w:r>
      <w:r>
        <w:rPr>
          <w:rFonts w:eastAsia="Segoe UI" w:cs="Swis721 Th BT"/>
          <w:color w:val="0D0D0D"/>
          <w:sz w:val="22"/>
          <w:szCs w:val="22"/>
          <w:shd w:val="clear" w:color="auto" w:fill="FFFFFF"/>
          <w14:textFill>
            <w14:solidFill>
              <w14:srgbClr w14:val="0D0D0D">
                <w14:lumMod w14:val="75000"/>
                <w14:lumOff w14:val="25000"/>
              </w14:srgbClr>
            </w14:solidFill>
          </w14:textFill>
        </w:rPr>
        <w:t xml:space="preserve">seguir </w:t>
      </w:r>
      <w:r w:rsidRPr="00D1428E">
        <w:rPr>
          <w:rFonts w:eastAsia="Segoe UI" w:cs="Swis721 Th BT"/>
          <w:color w:val="0D0D0D"/>
          <w:sz w:val="22"/>
          <w:szCs w:val="22"/>
          <w:shd w:val="clear" w:color="auto" w:fill="FFFFFF"/>
          <w14:textFill>
            <w14:solidFill>
              <w14:srgbClr w14:val="0D0D0D">
                <w14:lumMod w14:val="75000"/>
                <w14:lumOff w14:val="25000"/>
              </w14:srgbClr>
            </w14:solidFill>
          </w14:textFill>
        </w:rPr>
        <w:t>orientação médica.</w:t>
      </w:r>
    </w:p>
    <w:p w14:paraId="2AB3019D" w14:textId="77777777" w:rsidR="00CD65C2" w:rsidRDefault="00CD65C2">
      <w:pPr>
        <w:pStyle w:val="SemEspaamento"/>
      </w:pPr>
    </w:p>
    <w:p w14:paraId="3051B542" w14:textId="77777777" w:rsidR="00CD65C2" w:rsidRDefault="00CD65C2">
      <w:pPr>
        <w:pStyle w:val="SemEspaamento"/>
      </w:pPr>
    </w:p>
    <w:p w14:paraId="49A37AEB" w14:textId="77777777" w:rsidR="00CD65C2" w:rsidRDefault="00CD65C2">
      <w:pPr>
        <w:pStyle w:val="SemEspaamento"/>
      </w:pPr>
    </w:p>
    <w:p w14:paraId="1FAF7053" w14:textId="77777777" w:rsidR="00CD65C2" w:rsidRDefault="00CD65C2">
      <w:pPr>
        <w:pStyle w:val="SemEspaamento"/>
      </w:pPr>
    </w:p>
    <w:p w14:paraId="2874E9A9" w14:textId="77777777" w:rsidR="00CD65C2" w:rsidRDefault="00CD65C2">
      <w:pPr>
        <w:pStyle w:val="SemEspaamento"/>
      </w:pPr>
    </w:p>
    <w:p w14:paraId="2834B324" w14:textId="77777777" w:rsidR="00CD65C2" w:rsidRDefault="00CD65C2">
      <w:pPr>
        <w:pStyle w:val="SemEspaamento"/>
      </w:pPr>
    </w:p>
    <w:p w14:paraId="08C92F25" w14:textId="77777777" w:rsidR="00CD65C2" w:rsidRDefault="00CD65C2">
      <w:pPr>
        <w:pStyle w:val="SemEspaamento"/>
      </w:pPr>
    </w:p>
    <w:p w14:paraId="2922415C" w14:textId="77777777" w:rsidR="00CD65C2" w:rsidRDefault="00CD65C2">
      <w:pPr>
        <w:pStyle w:val="SemEspaamento"/>
      </w:pPr>
    </w:p>
    <w:p w14:paraId="223232A0" w14:textId="77777777" w:rsidR="00CD65C2" w:rsidRDefault="00CD65C2">
      <w:pPr>
        <w:pStyle w:val="SemEspaamento"/>
      </w:pPr>
    </w:p>
    <w:p w14:paraId="7ACCF38C" w14:textId="77777777" w:rsidR="00CD65C2" w:rsidRDefault="00CD65C2">
      <w:pPr>
        <w:pStyle w:val="SemEspaamento"/>
      </w:pPr>
    </w:p>
    <w:p w14:paraId="23A83061" w14:textId="77777777" w:rsidR="00CD65C2" w:rsidRDefault="00CD65C2">
      <w:pPr>
        <w:pStyle w:val="SemEspaamento"/>
      </w:pPr>
    </w:p>
    <w:p w14:paraId="0654D016" w14:textId="77777777" w:rsidR="00CD65C2" w:rsidRDefault="00CD65C2">
      <w:pPr>
        <w:pStyle w:val="SemEspaamento"/>
      </w:pPr>
    </w:p>
    <w:p w14:paraId="7EBF7D1B" w14:textId="77777777" w:rsidR="00CD65C2" w:rsidRDefault="00CD65C2">
      <w:pPr>
        <w:pStyle w:val="SemEspaamento"/>
      </w:pPr>
    </w:p>
    <w:p w14:paraId="132F7FF4" w14:textId="77777777" w:rsidR="00CD65C2" w:rsidRDefault="00CD65C2">
      <w:pPr>
        <w:pStyle w:val="SemEspaamento"/>
      </w:pPr>
    </w:p>
    <w:p w14:paraId="204C72F5" w14:textId="77777777" w:rsidR="00CD65C2" w:rsidRDefault="00CD65C2">
      <w:pPr>
        <w:pStyle w:val="SemEspaamento"/>
      </w:pPr>
    </w:p>
    <w:p w14:paraId="2FE2E723" w14:textId="77777777" w:rsidR="00CD65C2" w:rsidRDefault="00CD65C2">
      <w:pPr>
        <w:pStyle w:val="SemEspaamento"/>
      </w:pPr>
    </w:p>
    <w:p w14:paraId="2ECA0428" w14:textId="77777777" w:rsidR="00CD65C2" w:rsidRDefault="00CD65C2">
      <w:pPr>
        <w:pStyle w:val="SemEspaamento"/>
      </w:pPr>
    </w:p>
    <w:p w14:paraId="170E2F3A" w14:textId="77777777" w:rsidR="00CD65C2" w:rsidRDefault="00CD65C2">
      <w:pPr>
        <w:pStyle w:val="SemEspaamento"/>
      </w:pPr>
    </w:p>
    <w:p w14:paraId="16367C7F" w14:textId="77777777" w:rsidR="00CD65C2" w:rsidRDefault="00CD65C2">
      <w:pPr>
        <w:pStyle w:val="SemEspaamento"/>
      </w:pPr>
    </w:p>
    <w:p w14:paraId="4352BEFF" w14:textId="77777777" w:rsidR="00CD65C2" w:rsidRDefault="00CD65C2">
      <w:pPr>
        <w:pStyle w:val="SemEspaamento"/>
      </w:pPr>
    </w:p>
    <w:p w14:paraId="58761294" w14:textId="77777777" w:rsidR="00CD65C2" w:rsidRDefault="00CD65C2">
      <w:pPr>
        <w:pStyle w:val="SemEspaamento"/>
      </w:pPr>
    </w:p>
    <w:p w14:paraId="44B39EB8" w14:textId="77777777" w:rsidR="00CD65C2" w:rsidRDefault="00CD65C2">
      <w:pPr>
        <w:pStyle w:val="SemEspaamento"/>
      </w:pPr>
    </w:p>
    <w:p w14:paraId="39DCC259" w14:textId="77777777" w:rsidR="00CD65C2" w:rsidRDefault="00CD65C2">
      <w:pPr>
        <w:pStyle w:val="SemEspaamento"/>
      </w:pPr>
    </w:p>
    <w:p w14:paraId="6518B170" w14:textId="77777777" w:rsidR="00CD65C2" w:rsidRDefault="00FA41FC">
      <w:pPr>
        <w:pStyle w:val="Ttulo1"/>
        <w:jc w:val="center"/>
        <w:rPr>
          <w:rFonts w:hint="eastAsia"/>
        </w:rPr>
      </w:pPr>
      <w:bookmarkStart w:id="144" w:name="_Toc165537292"/>
      <w:r>
        <w:rPr>
          <w:szCs w:val="23"/>
        </w:rPr>
        <w:t>Calêndula</w:t>
      </w:r>
      <w:bookmarkEnd w:id="144"/>
    </w:p>
    <w:p w14:paraId="7F5BFF1C" w14:textId="77777777" w:rsidR="00CD65C2" w:rsidRDefault="00FA41FC">
      <w:pPr>
        <w:pStyle w:val="Subtitulocorpo"/>
        <w:rPr>
          <w:rFonts w:hint="eastAsia"/>
        </w:rPr>
      </w:pPr>
      <w:r>
        <w:t>Creme Vaginal de Calêndula Reduz a Incidência e os Sintomas da Candidíase</w:t>
      </w:r>
    </w:p>
    <w:p w14:paraId="0756C4D2" w14:textId="77777777" w:rsidR="00CD65C2" w:rsidRDefault="00CD65C2">
      <w:pPr>
        <w:pStyle w:val="Corpo"/>
        <w:spacing w:after="120"/>
        <w:rPr>
          <w:rFonts w:hint="eastAsia"/>
          <w:color w:val="404040" w:themeColor="text1" w:themeTint="BF"/>
          <w:sz w:val="24"/>
        </w:rPr>
      </w:pPr>
    </w:p>
    <w:p w14:paraId="26C95248" w14:textId="77777777" w:rsidR="00CD65C2" w:rsidRDefault="00FA41FC">
      <w:pPr>
        <w:pStyle w:val="Corpo"/>
        <w:spacing w:after="120"/>
        <w:rPr>
          <w:rFonts w:hint="eastAsia"/>
          <w:color w:val="404040" w:themeColor="text1" w:themeTint="BF"/>
          <w:sz w:val="24"/>
        </w:rPr>
      </w:pPr>
      <w:r>
        <w:rPr>
          <w:color w:val="404040" w:themeColor="text1" w:themeTint="BF"/>
          <w:sz w:val="24"/>
        </w:rPr>
        <w:t xml:space="preserve">Este estudo clínico conduzido por Saffari </w:t>
      </w:r>
      <w:r>
        <w:rPr>
          <w:i/>
          <w:color w:val="404040" w:themeColor="text1" w:themeTint="BF"/>
          <w:sz w:val="24"/>
        </w:rPr>
        <w:t>et al</w:t>
      </w:r>
      <w:r>
        <w:rPr>
          <w:color w:val="404040" w:themeColor="text1" w:themeTint="BF"/>
          <w:sz w:val="24"/>
        </w:rPr>
        <w:t xml:space="preserve">. (2016) teve como objetivo avaliar os efeitos de um creme </w:t>
      </w:r>
      <w:r>
        <w:rPr>
          <w:i/>
          <w:color w:val="404040" w:themeColor="text1" w:themeTint="BF"/>
          <w:sz w:val="24"/>
        </w:rPr>
        <w:t>Calendula officinalis</w:t>
      </w:r>
      <w:r>
        <w:rPr>
          <w:color w:val="404040" w:themeColor="text1" w:themeTint="BF"/>
          <w:sz w:val="24"/>
        </w:rPr>
        <w:t xml:space="preserve"> no tratamento da candidíase vaginal e na função sexual.</w:t>
      </w:r>
    </w:p>
    <w:p w14:paraId="14664B28"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959296" behindDoc="0" locked="0" layoutInCell="1" allowOverlap="1">
                <wp:simplePos x="0" y="0"/>
                <wp:positionH relativeFrom="margin">
                  <wp:posOffset>-3810</wp:posOffset>
                </wp:positionH>
                <wp:positionV relativeFrom="paragraph">
                  <wp:posOffset>21590</wp:posOffset>
                </wp:positionV>
                <wp:extent cx="5724525" cy="542925"/>
                <wp:effectExtent l="0" t="0" r="28575" b="28575"/>
                <wp:wrapNone/>
                <wp:docPr id="739657869" name="Caixa de texto 7396578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42925"/>
                        </a:xfrm>
                        <a:prstGeom prst="rect">
                          <a:avLst/>
                        </a:prstGeom>
                        <a:solidFill>
                          <a:schemeClr val="bg1">
                            <a:lumMod val="100000"/>
                            <a:lumOff val="0"/>
                          </a:schemeClr>
                        </a:solidFill>
                        <a:ln w="9525">
                          <a:solidFill>
                            <a:srgbClr val="0070C0"/>
                          </a:solidFill>
                          <a:miter lim="800000"/>
                        </a:ln>
                      </wps:spPr>
                      <wps:txbx>
                        <w:txbxContent>
                          <w:p w14:paraId="61ABEB4B" w14:textId="2C6B13D4" w:rsidR="00FA41FC" w:rsidRDefault="00FA41FC">
                            <w:pPr>
                              <w:jc w:val="center"/>
                              <w:rPr>
                                <w:rFonts w:ascii="Swis721 Th BT" w:hAnsi="Swis721 Th BT"/>
                                <w:sz w:val="23"/>
                                <w:szCs w:val="23"/>
                              </w:rPr>
                            </w:pPr>
                            <w:r>
                              <w:rPr>
                                <w:rFonts w:ascii="Swis721 Th BT" w:hAnsi="Swis721 Th BT"/>
                                <w:sz w:val="23"/>
                                <w:szCs w:val="23"/>
                              </w:rPr>
                              <w:t xml:space="preserve">Para isso, 150 mulheres com idades entre 18 e 45 anos e com candidíase vaginal foram randomizadas para receber durante sete dias: </w:t>
                            </w:r>
                          </w:p>
                          <w:p w14:paraId="1B6E824D"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869" o:spid="_x0000_s1225" type="#_x0000_t202" style="position:absolute;left:0;text-align:left;margin-left:-.3pt;margin-top:1.7pt;width:450.75pt;height:42.75pt;z-index:2519592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" fillcolor="white [3212]" strokecolor="#0070c0">
                <v:textbox>
                  <w:txbxContent>
                    <w:p w14:paraId="61ABEB4B" w14:textId="2C6B13D4" w:rsidR="00FA41FC" w:rsidRDefault="00FA41FC">
                      <w:pPr>
                        <w:jc w:val="center"/>
                        <w:rPr>
                          <w:rFonts w:ascii="Swis721 Th BT" w:hAnsi="Swis721 Th BT"/>
                          <w:sz w:val="23"/>
                          <w:szCs w:val="23"/>
                        </w:rPr>
                      </w:pPr>
                      <w:r>
                        <w:rPr>
                          <w:rFonts w:ascii="Swis721 Th BT" w:hAnsi="Swis721 Th BT"/>
                          <w:sz w:val="23"/>
                          <w:szCs w:val="23"/>
                        </w:rPr>
                        <w:t xml:space="preserve">Para isso, 150 mulheres com idades entre 18 e 45 anos e com candidíase vaginal foram randomizadas para receber durante sete dias: </w:t>
                      </w:r>
                    </w:p>
                    <w:p w14:paraId="1B6E824D"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79898695" w14:textId="77777777" w:rsidR="00CD65C2" w:rsidRDefault="00CD65C2">
      <w:pPr>
        <w:pStyle w:val="Corpo"/>
        <w:rPr>
          <w:rFonts w:hint="eastAsia"/>
          <w:color w:val="404040" w:themeColor="text1" w:themeTint="BF"/>
        </w:rPr>
      </w:pPr>
    </w:p>
    <w:p w14:paraId="2BFCEE54" w14:textId="77777777" w:rsidR="00CD65C2" w:rsidRDefault="00CD65C2">
      <w:pPr>
        <w:pStyle w:val="Corpo"/>
        <w:rPr>
          <w:rFonts w:hint="eastAsia"/>
          <w:color w:val="404040" w:themeColor="text1" w:themeTint="BF"/>
        </w:rPr>
      </w:pPr>
    </w:p>
    <w:p w14:paraId="214FCB15"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958272" behindDoc="0" locked="0" layoutInCell="1" allowOverlap="1">
                <wp:simplePos x="0" y="0"/>
                <wp:positionH relativeFrom="column">
                  <wp:posOffset>3834765</wp:posOffset>
                </wp:positionH>
                <wp:positionV relativeFrom="paragraph">
                  <wp:posOffset>86360</wp:posOffset>
                </wp:positionV>
                <wp:extent cx="1905000" cy="1047750"/>
                <wp:effectExtent l="0" t="0" r="19050" b="19050"/>
                <wp:wrapNone/>
                <wp:docPr id="739657870" name="Caixa de texto 739657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047750"/>
                        </a:xfrm>
                        <a:prstGeom prst="rect">
                          <a:avLst/>
                        </a:prstGeom>
                        <a:solidFill>
                          <a:srgbClr val="0070C0"/>
                        </a:solidFill>
                        <a:ln w="9525">
                          <a:solidFill>
                            <a:srgbClr val="0070C0"/>
                          </a:solidFill>
                          <a:miter lim="800000"/>
                        </a:ln>
                      </wps:spPr>
                      <wps:txbx>
                        <w:txbxContent>
                          <w:p w14:paraId="5932C992"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C6BC1AE"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Creme de</w:t>
                            </w:r>
                            <w:r>
                              <w:rPr>
                                <w:rFonts w:ascii="Swis721 Th BT" w:hAnsi="Swis721 Th BT"/>
                                <w:i/>
                                <w:color w:val="FFFFFF" w:themeColor="background1"/>
                                <w:sz w:val="23"/>
                                <w:szCs w:val="23"/>
                              </w:rPr>
                              <w:t xml:space="preserve"> </w:t>
                            </w:r>
                            <w:r>
                              <w:rPr>
                                <w:rFonts w:ascii="Swis721 Th BT" w:hAnsi="Swis721 Th BT"/>
                                <w:color w:val="FFFFFF" w:themeColor="background1"/>
                                <w:sz w:val="23"/>
                                <w:szCs w:val="23"/>
                              </w:rPr>
                              <w:t>Clotrimazol</w:t>
                            </w:r>
                          </w:p>
                          <w:p w14:paraId="1CF1E94F"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5,0 g à noite</w:t>
                            </w:r>
                          </w:p>
                          <w:p w14:paraId="07903EEA" w14:textId="77777777" w:rsidR="00FA41FC" w:rsidRDefault="00FA41FC">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739657870" o:spid="_x0000_s1226" type="#_x0000_t202" style="position:absolute;left:0;text-align:left;margin-left:301.95pt;margin-top:6.8pt;width:150pt;height:82.5pt;z-index:25195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" fillcolor="#0070c0" strokecolor="#0070c0">
                <v:textbox>
                  <w:txbxContent>
                    <w:p w14:paraId="5932C992"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C6BC1AE"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Creme de</w:t>
                      </w:r>
                      <w:r>
                        <w:rPr>
                          <w:rFonts w:ascii="Swis721 Th BT" w:hAnsi="Swis721 Th BT"/>
                          <w:i/>
                          <w:color w:val="FFFFFF" w:themeColor="background1"/>
                          <w:sz w:val="23"/>
                          <w:szCs w:val="23"/>
                        </w:rPr>
                        <w:t xml:space="preserve"> </w:t>
                      </w:r>
                      <w:r>
                        <w:rPr>
                          <w:rFonts w:ascii="Swis721 Th BT" w:hAnsi="Swis721 Th BT"/>
                          <w:color w:val="FFFFFF" w:themeColor="background1"/>
                          <w:sz w:val="23"/>
                          <w:szCs w:val="23"/>
                        </w:rPr>
                        <w:t>Clotrimazol</w:t>
                      </w:r>
                    </w:p>
                    <w:p w14:paraId="1CF1E94F"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5,0 g à noite</w:t>
                      </w:r>
                    </w:p>
                    <w:p w14:paraId="07903EEA" w14:textId="77777777" w:rsidR="00FA41FC" w:rsidRDefault="00FA41FC">
                      <w:pPr>
                        <w:spacing w:after="0" w:line="240" w:lineRule="auto"/>
                        <w:jc w:val="cente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957248" behindDoc="0" locked="0" layoutInCell="1" allowOverlap="1">
                <wp:simplePos x="0" y="0"/>
                <wp:positionH relativeFrom="column">
                  <wp:posOffset>-3810</wp:posOffset>
                </wp:positionH>
                <wp:positionV relativeFrom="paragraph">
                  <wp:posOffset>86360</wp:posOffset>
                </wp:positionV>
                <wp:extent cx="1913890" cy="1047750"/>
                <wp:effectExtent l="0" t="0" r="10160" b="19050"/>
                <wp:wrapNone/>
                <wp:docPr id="739657871" name="Caixa de texto 739657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047750"/>
                        </a:xfrm>
                        <a:prstGeom prst="rect">
                          <a:avLst/>
                        </a:prstGeom>
                        <a:solidFill>
                          <a:srgbClr val="0070C0"/>
                        </a:solidFill>
                        <a:ln w="9525">
                          <a:solidFill>
                            <a:srgbClr val="0070C0"/>
                          </a:solidFill>
                          <a:miter lim="800000"/>
                        </a:ln>
                      </wps:spPr>
                      <wps:txbx>
                        <w:txbxContent>
                          <w:p w14:paraId="538A1A0F"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Creme de</w:t>
                            </w:r>
                            <w:r>
                              <w:rPr>
                                <w:rFonts w:ascii="Swis721 Th BT" w:hAnsi="Swis721 Th BT"/>
                                <w:i/>
                                <w:color w:val="FFFFFF" w:themeColor="background1"/>
                                <w:sz w:val="23"/>
                                <w:szCs w:val="23"/>
                              </w:rPr>
                              <w:t xml:space="preserve"> Calendula officinalis</w:t>
                            </w:r>
                          </w:p>
                          <w:p w14:paraId="741698EC"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5,0 g à noite</w:t>
                            </w:r>
                          </w:p>
                          <w:p w14:paraId="21F59005"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739657871" o:spid="_x0000_s1227" type="#_x0000_t202" style="position:absolute;left:0;text-align:left;margin-left:-.3pt;margin-top:6.8pt;width:150.7pt;height:82.5pt;z-index:251957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" fillcolor="#0070c0" strokecolor="#0070c0">
                <v:textbox>
                  <w:txbxContent>
                    <w:p w14:paraId="538A1A0F"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Creme de</w:t>
                      </w:r>
                      <w:r>
                        <w:rPr>
                          <w:rFonts w:ascii="Swis721 Th BT" w:hAnsi="Swis721 Th BT"/>
                          <w:i/>
                          <w:color w:val="FFFFFF" w:themeColor="background1"/>
                          <w:sz w:val="23"/>
                          <w:szCs w:val="23"/>
                        </w:rPr>
                        <w:t xml:space="preserve"> Calendula officinalis</w:t>
                      </w:r>
                    </w:p>
                    <w:p w14:paraId="741698EC"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5,0 g à noite</w:t>
                      </w:r>
                    </w:p>
                    <w:p w14:paraId="21F59005"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p>
    <w:p w14:paraId="64A2D413" w14:textId="77777777" w:rsidR="00CD65C2" w:rsidRDefault="00CD65C2">
      <w:pPr>
        <w:pStyle w:val="Corpo"/>
        <w:rPr>
          <w:rFonts w:hint="eastAsia"/>
          <w:color w:val="404040" w:themeColor="text1" w:themeTint="BF"/>
        </w:rPr>
      </w:pPr>
    </w:p>
    <w:p w14:paraId="55AEC8F3" w14:textId="77777777" w:rsidR="00CD65C2" w:rsidRDefault="00CD65C2">
      <w:pPr>
        <w:pStyle w:val="Corpo"/>
        <w:rPr>
          <w:rFonts w:hint="eastAsia"/>
          <w:color w:val="404040" w:themeColor="text1" w:themeTint="BF"/>
        </w:rPr>
      </w:pPr>
    </w:p>
    <w:p w14:paraId="2D5FE945" w14:textId="77777777" w:rsidR="00CD65C2" w:rsidRDefault="00CD65C2">
      <w:pPr>
        <w:pStyle w:val="Corpo"/>
        <w:rPr>
          <w:rFonts w:hint="eastAsia"/>
          <w:color w:val="404040" w:themeColor="text1" w:themeTint="BF"/>
        </w:rPr>
      </w:pPr>
    </w:p>
    <w:p w14:paraId="5384D17C" w14:textId="77777777" w:rsidR="00CD65C2" w:rsidRDefault="00CD65C2">
      <w:pPr>
        <w:pStyle w:val="Corpo"/>
        <w:spacing w:before="120"/>
        <w:rPr>
          <w:rFonts w:hint="eastAsia"/>
          <w:color w:val="404040" w:themeColor="text1" w:themeTint="BF"/>
          <w:sz w:val="20"/>
        </w:rPr>
      </w:pPr>
    </w:p>
    <w:p w14:paraId="29655E96" w14:textId="77777777" w:rsidR="00CD65C2" w:rsidRDefault="00CD65C2">
      <w:pPr>
        <w:pStyle w:val="Corpo"/>
        <w:spacing w:before="120"/>
        <w:rPr>
          <w:rFonts w:hint="eastAsia"/>
          <w:color w:val="404040" w:themeColor="text1" w:themeTint="BF"/>
          <w:sz w:val="20"/>
        </w:rPr>
      </w:pPr>
    </w:p>
    <w:p w14:paraId="2A842D2B" w14:textId="008515E1" w:rsidR="00CD65C2" w:rsidRDefault="00FA41FC" w:rsidP="00D1428E">
      <w:pPr>
        <w:pStyle w:val="Corpo"/>
        <w:numPr>
          <w:ilvl w:val="0"/>
          <w:numId w:val="58"/>
        </w:numPr>
        <w:rPr>
          <w:rFonts w:hint="eastAsia"/>
          <w:color w:val="404040" w:themeColor="text1" w:themeTint="BF"/>
          <w:sz w:val="20"/>
        </w:rPr>
      </w:pPr>
      <w:r>
        <w:rPr>
          <w:color w:val="404040" w:themeColor="text1" w:themeTint="BF"/>
          <w:sz w:val="20"/>
        </w:rPr>
        <w:t>A primeira avaliação clínica e laboratorial após o tratamento foi realizada entre os dias 10-15 e a segunda entre os dias 30-35. O índice de função sexual feminina foi avaliado entre os dias 30-35.</w:t>
      </w:r>
    </w:p>
    <w:p w14:paraId="2BC5A656" w14:textId="77777777" w:rsidR="00CD65C2" w:rsidRDefault="00CD65C2">
      <w:pPr>
        <w:pStyle w:val="Corpo"/>
        <w:rPr>
          <w:rFonts w:hint="eastAsia"/>
          <w:b/>
          <w:color w:val="339966"/>
          <w:sz w:val="25"/>
          <w:szCs w:val="25"/>
          <w14:textFill>
            <w14:solidFill>
              <w14:srgbClr w14:val="339966">
                <w14:lumMod w14:val="75000"/>
                <w14:lumOff w14:val="25000"/>
              </w14:srgbClr>
            </w14:solidFill>
          </w14:textFill>
        </w:rPr>
      </w:pPr>
    </w:p>
    <w:p w14:paraId="588AF14E"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655822C9"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013B76FA" w14:textId="77777777" w:rsidR="00CD65C2" w:rsidRDefault="00CD65C2">
      <w:pPr>
        <w:pStyle w:val="Corpo"/>
        <w:rPr>
          <w:rFonts w:hint="eastAsia"/>
          <w:color w:val="404040" w:themeColor="text1" w:themeTint="BF"/>
          <w:sz w:val="16"/>
          <w:szCs w:val="16"/>
        </w:rPr>
      </w:pPr>
    </w:p>
    <w:p w14:paraId="61501542" w14:textId="77777777" w:rsidR="00CD65C2" w:rsidRDefault="00FA41FC" w:rsidP="00D1428E">
      <w:pPr>
        <w:pStyle w:val="Corpo"/>
        <w:numPr>
          <w:ilvl w:val="0"/>
          <w:numId w:val="59"/>
        </w:numPr>
        <w:rPr>
          <w:rFonts w:hint="eastAsia"/>
          <w:color w:val="404040" w:themeColor="text1" w:themeTint="BF"/>
        </w:rPr>
      </w:pPr>
      <w:r>
        <w:rPr>
          <w:color w:val="404040" w:themeColor="text1" w:themeTint="BF"/>
        </w:rPr>
        <w:t>A frequência de resultados negativos no teste de candidíase no grupo calêndula foi significativamente mais baixo na primeira avaliação e maior na segunda avaliação quando comparado ao grupo clotrimazol;</w:t>
      </w:r>
    </w:p>
    <w:p w14:paraId="584C66E8" w14:textId="77777777" w:rsidR="00CD65C2" w:rsidRDefault="00FA41FC" w:rsidP="00D1428E">
      <w:pPr>
        <w:pStyle w:val="Corpo"/>
        <w:numPr>
          <w:ilvl w:val="0"/>
          <w:numId w:val="59"/>
        </w:numPr>
        <w:rPr>
          <w:rFonts w:hint="eastAsia"/>
          <w:color w:val="404040" w:themeColor="text1" w:themeTint="BF"/>
        </w:rPr>
      </w:pPr>
      <w:r>
        <w:rPr>
          <w:color w:val="404040" w:themeColor="text1" w:themeTint="BF"/>
        </w:rPr>
        <w:t>A frequência da maioria dos sinais e sintomas foi quase igual nos dois grupos na primeira avaliação, mas foi significativamente menor no grupo calêndula na segunda avaliação;</w:t>
      </w:r>
    </w:p>
    <w:p w14:paraId="0614C719" w14:textId="77777777" w:rsidR="00CD65C2" w:rsidRDefault="00FA41FC" w:rsidP="00D1428E">
      <w:pPr>
        <w:pStyle w:val="Corpo"/>
        <w:numPr>
          <w:ilvl w:val="0"/>
          <w:numId w:val="59"/>
        </w:numPr>
        <w:rPr>
          <w:rFonts w:hint="eastAsia"/>
          <w:color w:val="404040" w:themeColor="text1" w:themeTint="BF"/>
        </w:rPr>
      </w:pPr>
      <w:r>
        <w:rPr>
          <w:color w:val="404040" w:themeColor="text1" w:themeTint="BF"/>
        </w:rPr>
        <w:t>A função sexual melhorou igualmente em ambos os grupos.</w:t>
      </w:r>
    </w:p>
    <w:p w14:paraId="6626C460" w14:textId="77777777" w:rsidR="00CD65C2" w:rsidRDefault="00CD65C2">
      <w:pPr>
        <w:pStyle w:val="Corpo"/>
        <w:rPr>
          <w:rFonts w:hint="eastAsia"/>
          <w:color w:val="404040" w:themeColor="text1" w:themeTint="BF"/>
        </w:rPr>
      </w:pPr>
    </w:p>
    <w:p w14:paraId="78487CD9"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0FEA9934" w14:textId="77777777" w:rsidR="00CD65C2" w:rsidRDefault="00CD65C2">
      <w:pPr>
        <w:pStyle w:val="Corpo"/>
        <w:rPr>
          <w:rFonts w:hint="eastAsia"/>
          <w:b/>
          <w:color w:val="339966"/>
          <w:sz w:val="16"/>
          <w:szCs w:val="16"/>
          <w14:textFill>
            <w14:solidFill>
              <w14:srgbClr w14:val="339966">
                <w14:lumMod w14:val="75000"/>
                <w14:lumOff w14:val="25000"/>
              </w14:srgbClr>
            </w14:solidFill>
          </w14:textFill>
        </w:rPr>
      </w:pPr>
    </w:p>
    <w:p w14:paraId="360429D9" w14:textId="77777777" w:rsidR="00CD65C2" w:rsidRDefault="00FA41FC">
      <w:pPr>
        <w:pStyle w:val="Corpo"/>
        <w:jc w:val="center"/>
        <w:rPr>
          <w:rFonts w:hint="eastAsia"/>
          <w:b/>
          <w:i/>
          <w:color w:val="404040" w:themeColor="text1" w:themeTint="BF"/>
        </w:rPr>
      </w:pPr>
      <w:r>
        <w:rPr>
          <w:b/>
          <w:i/>
          <w:color w:val="404040" w:themeColor="text1" w:themeTint="BF"/>
        </w:rPr>
        <w:t xml:space="preserve">De acordo com os resultados, o creme vaginal com </w:t>
      </w:r>
      <w:r>
        <w:rPr>
          <w:b/>
          <w:color w:val="404040" w:themeColor="text1" w:themeTint="BF"/>
        </w:rPr>
        <w:t>Calendula officinalis</w:t>
      </w:r>
      <w:r>
        <w:rPr>
          <w:b/>
          <w:i/>
          <w:color w:val="404040" w:themeColor="text1" w:themeTint="BF"/>
        </w:rPr>
        <w:t xml:space="preserve"> foi eficaz no tratamento da candidíase e teve efeito maior a longo prazo quando comparado ao clotrimazol.</w:t>
      </w:r>
    </w:p>
    <w:p w14:paraId="58C62805" w14:textId="77777777" w:rsidR="00CD65C2" w:rsidRDefault="00CD65C2">
      <w:pPr>
        <w:pStyle w:val="Corpo"/>
        <w:jc w:val="center"/>
        <w:rPr>
          <w:rFonts w:hint="eastAsia"/>
          <w:b/>
          <w:i/>
          <w:color w:val="404040" w:themeColor="text1" w:themeTint="BF"/>
        </w:rPr>
      </w:pPr>
    </w:p>
    <w:p w14:paraId="44FA3EE1" w14:textId="77777777" w:rsidR="00CD65C2" w:rsidRDefault="00CD65C2">
      <w:pPr>
        <w:pStyle w:val="Corpo"/>
        <w:jc w:val="center"/>
        <w:rPr>
          <w:rFonts w:hint="eastAsia"/>
          <w:b/>
          <w:i/>
          <w:color w:val="404040" w:themeColor="text1" w:themeTint="BF"/>
        </w:rPr>
      </w:pPr>
    </w:p>
    <w:p w14:paraId="4F4B0944" w14:textId="77777777" w:rsidR="00CD65C2" w:rsidRDefault="00CD65C2">
      <w:pPr>
        <w:pStyle w:val="Corpo"/>
        <w:jc w:val="center"/>
        <w:rPr>
          <w:rFonts w:hint="eastAsia"/>
          <w:b/>
          <w:i/>
          <w:color w:val="404040" w:themeColor="text1" w:themeTint="BF"/>
        </w:rPr>
      </w:pPr>
    </w:p>
    <w:p w14:paraId="0CAF5324" w14:textId="77777777" w:rsidR="00CD65C2" w:rsidRDefault="00CD65C2">
      <w:pPr>
        <w:pStyle w:val="Corpo"/>
        <w:jc w:val="center"/>
        <w:rPr>
          <w:rFonts w:hint="eastAsia"/>
          <w:b/>
          <w:i/>
          <w:color w:val="404040" w:themeColor="text1" w:themeTint="BF"/>
        </w:rPr>
      </w:pPr>
    </w:p>
    <w:p w14:paraId="3D1552F6" w14:textId="77777777" w:rsidR="00CD65C2" w:rsidRDefault="00CD65C2">
      <w:pPr>
        <w:pStyle w:val="Corpo"/>
        <w:jc w:val="center"/>
        <w:rPr>
          <w:rFonts w:hint="eastAsia"/>
          <w:b/>
          <w:i/>
          <w:color w:val="404040" w:themeColor="text1" w:themeTint="BF"/>
        </w:rPr>
      </w:pPr>
    </w:p>
    <w:p w14:paraId="761C7AC2" w14:textId="77777777" w:rsidR="00CD65C2" w:rsidRDefault="00FA41FC">
      <w:pPr>
        <w:pStyle w:val="Ttulo1"/>
        <w:jc w:val="center"/>
        <w:rPr>
          <w:rFonts w:hint="eastAsia"/>
        </w:rPr>
      </w:pPr>
      <w:bookmarkStart w:id="145" w:name="_Toc165537293"/>
      <w:r>
        <w:t>Formulário</w:t>
      </w:r>
      <w:bookmarkEnd w:id="145"/>
    </w:p>
    <w:p w14:paraId="3D9E6B0C" w14:textId="77777777" w:rsidR="00CD65C2" w:rsidRDefault="00CD65C2">
      <w:pPr>
        <w:pStyle w:val="Corpo"/>
        <w:rPr>
          <w:rFonts w:hint="eastAsia"/>
          <w:b/>
          <w:i/>
          <w:color w:val="404040" w:themeColor="text1" w:themeTint="BF"/>
        </w:rPr>
      </w:pPr>
    </w:p>
    <w:p w14:paraId="017D8DE5" w14:textId="77777777" w:rsidR="00CD65C2" w:rsidRPr="00D1428E" w:rsidRDefault="00CD65C2">
      <w:pPr>
        <w:pStyle w:val="Corpo"/>
        <w:rPr>
          <w:rFonts w:hint="eastAsia"/>
          <w:b/>
          <w:iCs/>
          <w:color w:val="404040" w:themeColor="text1" w:themeTint="BF"/>
        </w:rPr>
      </w:pPr>
    </w:p>
    <w:p w14:paraId="48B93832" w14:textId="77777777" w:rsidR="00CD65C2" w:rsidRDefault="00FA41FC">
      <w:pPr>
        <w:pStyle w:val="Corpo"/>
        <w:rPr>
          <w:rFonts w:hint="eastAsia"/>
          <w:b/>
          <w:color w:val="404040" w:themeColor="text1" w:themeTint="BF"/>
          <w:sz w:val="24"/>
        </w:rPr>
      </w:pPr>
      <w:r w:rsidRPr="00D1428E">
        <w:rPr>
          <w:rFonts w:hint="eastAsia"/>
          <w:b/>
          <w:iCs/>
          <w:color w:val="404040" w:themeColor="text1" w:themeTint="BF"/>
          <w:sz w:val="24"/>
        </w:rPr>
        <w:t xml:space="preserve">Calendula officinalis </w:t>
      </w:r>
      <w:r>
        <w:rPr>
          <w:b/>
          <w:i/>
          <w:color w:val="404040" w:themeColor="text1" w:themeTint="BF"/>
          <w:sz w:val="24"/>
        </w:rPr>
        <w:t>para o Tratamento da Candidíase</w:t>
      </w:r>
    </w:p>
    <w:p w14:paraId="04ADC43D"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62DEF559"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194E1095" w14:textId="77777777" w:rsidR="00CD65C2" w:rsidRDefault="00FA41FC">
            <w:pPr>
              <w:pStyle w:val="Corpo"/>
              <w:jc w:val="center"/>
              <w:rPr>
                <w:rFonts w:hint="eastAsia"/>
                <w:b/>
                <w:color w:val="FFFFFF" w:themeColor="background1"/>
              </w:rPr>
            </w:pPr>
            <w:r>
              <w:rPr>
                <w:b/>
                <w:color w:val="FFFFFF" w:themeColor="background1"/>
                <w:sz w:val="22"/>
              </w:rPr>
              <w:t>Creme Vaginal de Calêndula</w:t>
            </w:r>
          </w:p>
        </w:tc>
      </w:tr>
      <w:tr w:rsidR="00CD65C2" w14:paraId="62D07B2A"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E7753A4" w14:textId="77777777" w:rsidR="00CD65C2" w:rsidRDefault="00FA41FC">
            <w:pPr>
              <w:pStyle w:val="Corpo"/>
              <w:jc w:val="center"/>
              <w:rPr>
                <w:rFonts w:hint="eastAsia"/>
                <w:color w:val="404040" w:themeColor="text1" w:themeTint="BF"/>
              </w:rPr>
            </w:pPr>
            <w:r>
              <w:rPr>
                <w:color w:val="404040" w:themeColor="text1" w:themeTint="BF"/>
              </w:rPr>
              <w:t xml:space="preserve">Extrato Glicólico de </w:t>
            </w:r>
            <w:r>
              <w:rPr>
                <w:i/>
                <w:color w:val="404040" w:themeColor="text1" w:themeTint="BF"/>
              </w:rPr>
              <w:t>Calendula officinalis</w:t>
            </w:r>
            <w:r>
              <w:rPr>
                <w:color w:val="404040" w:themeColor="text1" w:themeTint="BF"/>
              </w:rPr>
              <w:t>................................................1%</w:t>
            </w:r>
          </w:p>
        </w:tc>
      </w:tr>
      <w:tr w:rsidR="00CD65C2" w14:paraId="114FAEBC"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311EA1F" w14:textId="0CA4F690" w:rsidR="00CD65C2" w:rsidRDefault="00FA41FC">
            <w:pPr>
              <w:pStyle w:val="Corpo"/>
              <w:rPr>
                <w:rFonts w:hint="eastAsia"/>
                <w:color w:val="404040" w:themeColor="text1" w:themeTint="BF"/>
              </w:rPr>
            </w:pPr>
            <w:r>
              <w:rPr>
                <w:color w:val="404040" w:themeColor="text1" w:themeTint="BF"/>
              </w:rPr>
              <w:t>Creme Vaginal q.s.p. ..........................40 g</w:t>
            </w:r>
          </w:p>
        </w:tc>
      </w:tr>
    </w:tbl>
    <w:p w14:paraId="38EF255C" w14:textId="77777777" w:rsidR="00CD65C2" w:rsidRDefault="00FA41FC">
      <w:pPr>
        <w:pStyle w:val="Corpo"/>
        <w:ind w:right="4960"/>
        <w:jc w:val="center"/>
        <w:rPr>
          <w:rFonts w:hint="eastAsia"/>
          <w:color w:val="404040" w:themeColor="text1" w:themeTint="BF"/>
          <w:sz w:val="22"/>
          <w:szCs w:val="22"/>
        </w:rPr>
      </w:pPr>
      <w:r>
        <w:rPr>
          <w:color w:val="404040" w:themeColor="text1" w:themeTint="BF"/>
          <w:sz w:val="22"/>
          <w:szCs w:val="22"/>
        </w:rPr>
        <w:t>Aplicação intravaginal 1 vez ao dia ou conforme orientação médica.</w:t>
      </w:r>
    </w:p>
    <w:p w14:paraId="497903B4" w14:textId="77777777" w:rsidR="00CD65C2" w:rsidRDefault="00CD65C2">
      <w:pPr>
        <w:pStyle w:val="SemEspaamento"/>
      </w:pPr>
    </w:p>
    <w:p w14:paraId="428FDC98" w14:textId="77777777" w:rsidR="00CD65C2" w:rsidRDefault="00CD65C2">
      <w:pPr>
        <w:pStyle w:val="SemEspaamento"/>
      </w:pPr>
    </w:p>
    <w:p w14:paraId="240E82A5" w14:textId="77777777" w:rsidR="00CD65C2" w:rsidRDefault="00CD65C2">
      <w:pPr>
        <w:pStyle w:val="SemEspaamento"/>
      </w:pPr>
    </w:p>
    <w:p w14:paraId="5BB6BC19" w14:textId="77777777" w:rsidR="00CD65C2" w:rsidRDefault="00CD65C2">
      <w:pPr>
        <w:pStyle w:val="SemEspaamento"/>
      </w:pPr>
    </w:p>
    <w:p w14:paraId="0C5AE1DA" w14:textId="77777777" w:rsidR="00CD65C2" w:rsidRDefault="00CD65C2">
      <w:pPr>
        <w:pStyle w:val="SemEspaamento"/>
      </w:pPr>
    </w:p>
    <w:p w14:paraId="159728B6" w14:textId="77777777" w:rsidR="00CD65C2" w:rsidRDefault="00CD65C2">
      <w:pPr>
        <w:pStyle w:val="SemEspaamento"/>
      </w:pPr>
    </w:p>
    <w:p w14:paraId="630190A7" w14:textId="77777777" w:rsidR="00CD65C2" w:rsidRDefault="00CD65C2">
      <w:pPr>
        <w:pStyle w:val="SemEspaamento"/>
      </w:pPr>
    </w:p>
    <w:p w14:paraId="4E173BE5" w14:textId="77777777" w:rsidR="00CD65C2" w:rsidRDefault="00CD65C2">
      <w:pPr>
        <w:pStyle w:val="SemEspaamento"/>
      </w:pPr>
    </w:p>
    <w:p w14:paraId="6C61A93D" w14:textId="77777777" w:rsidR="00CD65C2" w:rsidRDefault="00CD65C2">
      <w:pPr>
        <w:pStyle w:val="SemEspaamento"/>
      </w:pPr>
    </w:p>
    <w:p w14:paraId="79A67C52" w14:textId="77777777" w:rsidR="00CD65C2" w:rsidRDefault="00CD65C2">
      <w:pPr>
        <w:pStyle w:val="SemEspaamento"/>
      </w:pPr>
    </w:p>
    <w:p w14:paraId="02FC5D0A" w14:textId="77777777" w:rsidR="00CD65C2" w:rsidRDefault="00CD65C2">
      <w:pPr>
        <w:pStyle w:val="SemEspaamento"/>
      </w:pPr>
    </w:p>
    <w:p w14:paraId="2689F6DE" w14:textId="77777777" w:rsidR="00CD65C2" w:rsidRDefault="00CD65C2">
      <w:pPr>
        <w:pStyle w:val="SemEspaamento"/>
      </w:pPr>
    </w:p>
    <w:p w14:paraId="15D058E7" w14:textId="77777777" w:rsidR="00CD65C2" w:rsidRDefault="00CD65C2">
      <w:pPr>
        <w:pStyle w:val="SemEspaamento"/>
      </w:pPr>
    </w:p>
    <w:p w14:paraId="74EF4D83" w14:textId="77777777" w:rsidR="00CD65C2" w:rsidRDefault="00CD65C2">
      <w:pPr>
        <w:pStyle w:val="SemEspaamento"/>
      </w:pPr>
    </w:p>
    <w:p w14:paraId="1B7D9241" w14:textId="77777777" w:rsidR="00CD65C2" w:rsidRDefault="00CD65C2">
      <w:pPr>
        <w:pStyle w:val="SemEspaamento"/>
      </w:pPr>
    </w:p>
    <w:p w14:paraId="3B607E3D" w14:textId="77777777" w:rsidR="00CD65C2" w:rsidRDefault="00CD65C2">
      <w:pPr>
        <w:pStyle w:val="SemEspaamento"/>
      </w:pPr>
    </w:p>
    <w:p w14:paraId="7FD7AD98" w14:textId="77777777" w:rsidR="00CD65C2" w:rsidRDefault="00CD65C2">
      <w:pPr>
        <w:pStyle w:val="SemEspaamento"/>
      </w:pPr>
    </w:p>
    <w:p w14:paraId="102B8C58" w14:textId="77777777" w:rsidR="00CD65C2" w:rsidRDefault="00CD65C2">
      <w:pPr>
        <w:pStyle w:val="SemEspaamento"/>
      </w:pPr>
    </w:p>
    <w:p w14:paraId="71B3C3A3" w14:textId="77777777" w:rsidR="00CD65C2" w:rsidRDefault="00CD65C2">
      <w:pPr>
        <w:pStyle w:val="SemEspaamento"/>
      </w:pPr>
    </w:p>
    <w:p w14:paraId="186542D9" w14:textId="77777777" w:rsidR="00CD65C2" w:rsidRDefault="00CD65C2">
      <w:pPr>
        <w:pStyle w:val="SemEspaamento"/>
      </w:pPr>
    </w:p>
    <w:p w14:paraId="7FC23168" w14:textId="77777777" w:rsidR="00CD65C2" w:rsidRDefault="00CD65C2">
      <w:pPr>
        <w:pStyle w:val="SemEspaamento"/>
      </w:pPr>
    </w:p>
    <w:p w14:paraId="57EE53EC" w14:textId="77777777" w:rsidR="00CD65C2" w:rsidRDefault="00CD65C2">
      <w:pPr>
        <w:pStyle w:val="SemEspaamento"/>
      </w:pPr>
    </w:p>
    <w:p w14:paraId="6D16695C" w14:textId="77777777" w:rsidR="00CD65C2" w:rsidRDefault="00CD65C2">
      <w:pPr>
        <w:pStyle w:val="SemEspaamento"/>
      </w:pPr>
    </w:p>
    <w:p w14:paraId="0FD4EC74" w14:textId="77777777" w:rsidR="00CD65C2" w:rsidRDefault="00CD65C2">
      <w:pPr>
        <w:pStyle w:val="SemEspaamento"/>
      </w:pPr>
    </w:p>
    <w:p w14:paraId="767FE5B2" w14:textId="77777777" w:rsidR="00CD65C2" w:rsidRDefault="00CD65C2">
      <w:pPr>
        <w:pStyle w:val="SemEspaamento"/>
      </w:pPr>
    </w:p>
    <w:p w14:paraId="239BC96A" w14:textId="77777777" w:rsidR="00CD65C2" w:rsidRDefault="00CD65C2">
      <w:pPr>
        <w:pStyle w:val="SemEspaamento"/>
      </w:pPr>
    </w:p>
    <w:p w14:paraId="2A8AA2C7" w14:textId="77777777" w:rsidR="00CD65C2" w:rsidRDefault="00CD65C2">
      <w:pPr>
        <w:pStyle w:val="SemEspaamento"/>
      </w:pPr>
    </w:p>
    <w:p w14:paraId="239379C5" w14:textId="77777777" w:rsidR="00CD65C2" w:rsidRDefault="00CD65C2">
      <w:pPr>
        <w:pStyle w:val="SemEspaamento"/>
      </w:pPr>
    </w:p>
    <w:p w14:paraId="6BB34D5C" w14:textId="77777777" w:rsidR="00CD65C2" w:rsidRDefault="00CD65C2">
      <w:pPr>
        <w:pStyle w:val="SemEspaamento"/>
      </w:pPr>
    </w:p>
    <w:p w14:paraId="58ABB79C" w14:textId="77777777" w:rsidR="00CD65C2" w:rsidRDefault="00CD65C2">
      <w:pPr>
        <w:pStyle w:val="SemEspaamento"/>
      </w:pPr>
    </w:p>
    <w:p w14:paraId="4EAFB8CF" w14:textId="77777777" w:rsidR="00CD65C2" w:rsidRDefault="00CD65C2">
      <w:pPr>
        <w:pStyle w:val="SemEspaamento"/>
      </w:pPr>
    </w:p>
    <w:p w14:paraId="4651AE92" w14:textId="77777777" w:rsidR="00CD65C2" w:rsidRDefault="00FA41FC">
      <w:pPr>
        <w:pStyle w:val="Ttulo1"/>
        <w:jc w:val="center"/>
        <w:rPr>
          <w:rFonts w:hint="eastAsia"/>
        </w:rPr>
      </w:pPr>
      <w:bookmarkStart w:id="146" w:name="_Toc165537294"/>
      <w:r>
        <w:rPr>
          <w:szCs w:val="23"/>
        </w:rPr>
        <w:t>Antifúngicos</w:t>
      </w:r>
      <w:bookmarkEnd w:id="146"/>
    </w:p>
    <w:tbl>
      <w:tblPr>
        <w:tblpPr w:leftFromText="141" w:rightFromText="141" w:horzAnchor="margin" w:tblpXSpec="center" w:tblpY="-834"/>
        <w:tblW w:w="0" w:type="auto"/>
        <w:tblBorders>
          <w:top w:val="single" w:sz="12" w:space="0" w:color="333399"/>
          <w:left w:val="single" w:sz="12" w:space="0" w:color="333399"/>
          <w:bottom w:val="single" w:sz="12" w:space="0" w:color="333399"/>
          <w:right w:val="single" w:sz="12" w:space="0" w:color="333399"/>
          <w:insideH w:val="single" w:sz="12" w:space="0" w:color="333399"/>
          <w:insideV w:val="single" w:sz="12" w:space="0" w:color="333399"/>
        </w:tblBorders>
        <w:tblLayout w:type="fixed"/>
        <w:tblCellMar>
          <w:left w:w="70" w:type="dxa"/>
          <w:right w:w="70" w:type="dxa"/>
        </w:tblCellMar>
        <w:tblLook w:val="04A0" w:firstRow="1" w:lastRow="0" w:firstColumn="1" w:lastColumn="0" w:noHBand="0" w:noVBand="1"/>
      </w:tblPr>
      <w:tblGrid>
        <w:gridCol w:w="2265"/>
        <w:gridCol w:w="2265"/>
        <w:gridCol w:w="2265"/>
        <w:gridCol w:w="2266"/>
      </w:tblGrid>
      <w:tr w:rsidR="00CD65C2" w14:paraId="44C7AD29" w14:textId="77777777">
        <w:trPr>
          <w:cantSplit/>
        </w:trPr>
        <w:tc>
          <w:tcPr>
            <w:tcW w:w="2265" w:type="dxa"/>
            <w:tcBorders>
              <w:top w:val="single" w:sz="4" w:space="0" w:color="auto"/>
              <w:left w:val="single" w:sz="4" w:space="0" w:color="auto"/>
              <w:bottom w:val="single" w:sz="4" w:space="0" w:color="auto"/>
              <w:right w:val="single" w:sz="4" w:space="0" w:color="auto"/>
            </w:tcBorders>
            <w:shd w:val="clear" w:color="auto" w:fill="548DD4"/>
            <w:vAlign w:val="center"/>
          </w:tcPr>
          <w:p w14:paraId="46A2FAEB" w14:textId="77777777" w:rsidR="00CD65C2" w:rsidRDefault="00FA41FC">
            <w:pPr>
              <w:pStyle w:val="Corpodetexto"/>
              <w:jc w:val="center"/>
              <w:rPr>
                <w:rFonts w:ascii="Swis721 Th BT" w:hAnsi="Swis721 Th BT" w:cs="Arial"/>
                <w:b/>
                <w:bCs/>
                <w:color w:val="FFFFFF"/>
                <w:sz w:val="23"/>
                <w:szCs w:val="23"/>
              </w:rPr>
            </w:pPr>
            <w:r>
              <w:rPr>
                <w:rFonts w:ascii="Swis721 Th BT" w:hAnsi="Swis721 Th BT" w:cs="Arial"/>
                <w:b/>
                <w:bCs/>
                <w:color w:val="FFFFFF"/>
                <w:sz w:val="23"/>
                <w:szCs w:val="23"/>
              </w:rPr>
              <w:t>Princípio ativo</w:t>
            </w:r>
          </w:p>
        </w:tc>
        <w:tc>
          <w:tcPr>
            <w:tcW w:w="2265" w:type="dxa"/>
            <w:tcBorders>
              <w:top w:val="single" w:sz="4" w:space="0" w:color="auto"/>
              <w:left w:val="single" w:sz="4" w:space="0" w:color="auto"/>
              <w:bottom w:val="single" w:sz="4" w:space="0" w:color="auto"/>
              <w:right w:val="single" w:sz="4" w:space="0" w:color="auto"/>
            </w:tcBorders>
            <w:shd w:val="clear" w:color="auto" w:fill="548DD4"/>
            <w:vAlign w:val="center"/>
          </w:tcPr>
          <w:p w14:paraId="7580E814" w14:textId="77777777" w:rsidR="00CD65C2" w:rsidRDefault="00FA41FC">
            <w:pPr>
              <w:pStyle w:val="Corpodetexto"/>
              <w:jc w:val="center"/>
              <w:rPr>
                <w:rFonts w:ascii="Swis721 Th BT" w:hAnsi="Swis721 Th BT" w:cs="Arial"/>
                <w:b/>
                <w:bCs/>
                <w:color w:val="FFFFFF"/>
                <w:sz w:val="23"/>
                <w:szCs w:val="23"/>
              </w:rPr>
            </w:pPr>
            <w:r>
              <w:rPr>
                <w:rFonts w:ascii="Swis721 Th BT" w:hAnsi="Swis721 Th BT" w:cs="Arial"/>
                <w:b/>
                <w:bCs/>
                <w:color w:val="FFFFFF"/>
                <w:sz w:val="23"/>
                <w:szCs w:val="23"/>
              </w:rPr>
              <w:t>Sistêmico -</w:t>
            </w:r>
          </w:p>
          <w:p w14:paraId="6D5437E1" w14:textId="77777777" w:rsidR="00CD65C2" w:rsidRDefault="00FA41FC">
            <w:pPr>
              <w:pStyle w:val="Corpodetexto"/>
              <w:jc w:val="center"/>
              <w:rPr>
                <w:rFonts w:ascii="Swis721 Th BT" w:hAnsi="Swis721 Th BT" w:cs="Arial"/>
                <w:b/>
                <w:bCs/>
                <w:color w:val="FFFFFF"/>
                <w:sz w:val="23"/>
                <w:szCs w:val="23"/>
              </w:rPr>
            </w:pPr>
            <w:r>
              <w:rPr>
                <w:rFonts w:ascii="Swis721 Th BT" w:hAnsi="Swis721 Th BT" w:cs="Arial"/>
                <w:b/>
                <w:bCs/>
                <w:color w:val="FFFFFF"/>
                <w:sz w:val="23"/>
                <w:szCs w:val="23"/>
              </w:rPr>
              <w:t>Dosagem Usual</w:t>
            </w:r>
          </w:p>
        </w:tc>
        <w:tc>
          <w:tcPr>
            <w:tcW w:w="2265" w:type="dxa"/>
            <w:tcBorders>
              <w:top w:val="single" w:sz="4" w:space="0" w:color="auto"/>
              <w:left w:val="single" w:sz="4" w:space="0" w:color="auto"/>
              <w:bottom w:val="single" w:sz="4" w:space="0" w:color="auto"/>
              <w:right w:val="single" w:sz="4" w:space="0" w:color="auto"/>
            </w:tcBorders>
            <w:shd w:val="clear" w:color="auto" w:fill="548DD4"/>
            <w:vAlign w:val="center"/>
          </w:tcPr>
          <w:p w14:paraId="52F0B33D" w14:textId="77777777" w:rsidR="00CD65C2" w:rsidRDefault="00FA41FC">
            <w:pPr>
              <w:pStyle w:val="Corpodetexto"/>
              <w:jc w:val="center"/>
              <w:rPr>
                <w:rFonts w:ascii="Swis721 Th BT" w:hAnsi="Swis721 Th BT" w:cs="Arial"/>
                <w:b/>
                <w:bCs/>
                <w:color w:val="FFFFFF"/>
                <w:sz w:val="23"/>
                <w:szCs w:val="23"/>
              </w:rPr>
            </w:pPr>
            <w:r>
              <w:rPr>
                <w:rFonts w:ascii="Swis721 Th BT" w:hAnsi="Swis721 Th BT" w:cs="Arial"/>
                <w:b/>
                <w:bCs/>
                <w:color w:val="FFFFFF"/>
                <w:sz w:val="23"/>
                <w:szCs w:val="23"/>
              </w:rPr>
              <w:t>Tópico -</w:t>
            </w:r>
          </w:p>
          <w:p w14:paraId="771918C7" w14:textId="77777777" w:rsidR="00CD65C2" w:rsidRDefault="00FA41FC">
            <w:pPr>
              <w:pStyle w:val="Corpodetexto"/>
              <w:jc w:val="center"/>
              <w:rPr>
                <w:rFonts w:ascii="Swis721 Th BT" w:hAnsi="Swis721 Th BT" w:cs="Arial"/>
                <w:b/>
                <w:bCs/>
                <w:color w:val="FFFFFF"/>
                <w:sz w:val="23"/>
                <w:szCs w:val="23"/>
              </w:rPr>
            </w:pPr>
            <w:r>
              <w:rPr>
                <w:rFonts w:ascii="Swis721 Th BT" w:hAnsi="Swis721 Th BT" w:cs="Arial"/>
                <w:b/>
                <w:bCs/>
                <w:color w:val="FFFFFF"/>
                <w:sz w:val="23"/>
                <w:szCs w:val="23"/>
              </w:rPr>
              <w:t>Concentração Usual</w:t>
            </w:r>
          </w:p>
        </w:tc>
        <w:tc>
          <w:tcPr>
            <w:tcW w:w="2266" w:type="dxa"/>
            <w:tcBorders>
              <w:top w:val="single" w:sz="4" w:space="0" w:color="auto"/>
              <w:left w:val="single" w:sz="4" w:space="0" w:color="auto"/>
              <w:bottom w:val="single" w:sz="4" w:space="0" w:color="auto"/>
              <w:right w:val="single" w:sz="4" w:space="0" w:color="auto"/>
            </w:tcBorders>
            <w:shd w:val="clear" w:color="auto" w:fill="548DD4"/>
            <w:vAlign w:val="center"/>
          </w:tcPr>
          <w:p w14:paraId="18D88088" w14:textId="77777777" w:rsidR="00CD65C2" w:rsidRDefault="00FA41FC">
            <w:pPr>
              <w:pStyle w:val="Corpodetexto"/>
              <w:jc w:val="center"/>
              <w:rPr>
                <w:rFonts w:ascii="Swis721 Th BT" w:hAnsi="Swis721 Th BT" w:cs="Arial"/>
                <w:b/>
                <w:bCs/>
                <w:color w:val="FFFFFF"/>
                <w:sz w:val="23"/>
                <w:szCs w:val="23"/>
              </w:rPr>
            </w:pPr>
            <w:r>
              <w:rPr>
                <w:rFonts w:ascii="Swis721 Th BT" w:hAnsi="Swis721 Th BT" w:cs="Arial"/>
                <w:b/>
                <w:bCs/>
                <w:color w:val="FFFFFF"/>
                <w:sz w:val="23"/>
                <w:szCs w:val="23"/>
              </w:rPr>
              <w:t>Indicações/Propriedades</w:t>
            </w:r>
          </w:p>
        </w:tc>
      </w:tr>
      <w:tr w:rsidR="00CD65C2" w14:paraId="77A828A5" w14:textId="77777777">
        <w:trPr>
          <w:cantSplit/>
        </w:trPr>
        <w:tc>
          <w:tcPr>
            <w:tcW w:w="2265" w:type="dxa"/>
            <w:tcBorders>
              <w:top w:val="single" w:sz="4" w:space="0" w:color="auto"/>
              <w:left w:val="single" w:sz="4" w:space="0" w:color="auto"/>
              <w:bottom w:val="single" w:sz="4" w:space="0" w:color="auto"/>
              <w:right w:val="single" w:sz="4" w:space="0" w:color="auto"/>
            </w:tcBorders>
            <w:vAlign w:val="center"/>
          </w:tcPr>
          <w:p w14:paraId="3B4AC9DF" w14:textId="77777777" w:rsidR="00CD65C2" w:rsidRDefault="00CD65C2">
            <w:pPr>
              <w:pStyle w:val="Ttulo3"/>
              <w:spacing w:before="0"/>
              <w:jc w:val="center"/>
              <w:rPr>
                <w:rFonts w:ascii="Swis721 Th BT" w:hAnsi="Swis721 Th BT" w:cs="Arial" w:hint="eastAsia"/>
                <w:color w:val="404040"/>
                <w:sz w:val="22"/>
                <w:szCs w:val="22"/>
              </w:rPr>
            </w:pPr>
          </w:p>
          <w:p w14:paraId="3F2F50E5" w14:textId="77777777" w:rsidR="00CD65C2" w:rsidRDefault="00FA41FC">
            <w:pPr>
              <w:pStyle w:val="Ttulo3"/>
              <w:spacing w:before="0"/>
              <w:jc w:val="center"/>
              <w:rPr>
                <w:rFonts w:ascii="Swis721 Th BT" w:hAnsi="Swis721 Th BT" w:cs="Arial" w:hint="eastAsia"/>
                <w:bCs/>
                <w:color w:val="404040"/>
                <w:sz w:val="22"/>
                <w:szCs w:val="22"/>
              </w:rPr>
            </w:pPr>
            <w:bookmarkStart w:id="147" w:name="_Toc165537295"/>
            <w:r>
              <w:rPr>
                <w:rFonts w:ascii="Swis721 Th BT" w:hAnsi="Swis721 Th BT" w:cs="Arial"/>
                <w:bCs/>
                <w:color w:val="404040"/>
                <w:sz w:val="22"/>
                <w:szCs w:val="22"/>
              </w:rPr>
              <w:t>Cetoconazol</w:t>
            </w:r>
            <w:bookmarkEnd w:id="147"/>
          </w:p>
        </w:tc>
        <w:tc>
          <w:tcPr>
            <w:tcW w:w="2265" w:type="dxa"/>
            <w:tcBorders>
              <w:top w:val="single" w:sz="4" w:space="0" w:color="auto"/>
              <w:left w:val="single" w:sz="4" w:space="0" w:color="auto"/>
              <w:bottom w:val="single" w:sz="4" w:space="0" w:color="auto"/>
              <w:right w:val="single" w:sz="4" w:space="0" w:color="auto"/>
            </w:tcBorders>
            <w:vAlign w:val="center"/>
          </w:tcPr>
          <w:p w14:paraId="153F35B7" w14:textId="77777777" w:rsidR="00CD65C2" w:rsidRDefault="00FA41FC">
            <w:pPr>
              <w:spacing w:after="0"/>
              <w:jc w:val="center"/>
              <w:rPr>
                <w:rFonts w:ascii="Swis721 Th BT" w:hAnsi="Swis721 Th BT" w:cs="Arial"/>
                <w:color w:val="404040"/>
              </w:rPr>
            </w:pPr>
            <w:r>
              <w:rPr>
                <w:rFonts w:ascii="Swis721 Th BT" w:hAnsi="Swis721 Th BT" w:cs="Arial"/>
                <w:color w:val="404040"/>
              </w:rPr>
              <w:t>-Inicialmente 200 mg ao dia;</w:t>
            </w:r>
          </w:p>
          <w:p w14:paraId="34FC5CC3" w14:textId="77777777" w:rsidR="00CD65C2" w:rsidRDefault="00FA41FC">
            <w:pPr>
              <w:spacing w:after="0"/>
              <w:jc w:val="center"/>
              <w:rPr>
                <w:rFonts w:ascii="Swis721 Th BT" w:hAnsi="Swis721 Th BT" w:cs="Arial"/>
                <w:color w:val="404040"/>
              </w:rPr>
            </w:pPr>
            <w:r>
              <w:rPr>
                <w:rFonts w:ascii="Swis721 Th BT" w:hAnsi="Swis721 Th BT" w:cs="Arial"/>
                <w:color w:val="404040"/>
              </w:rPr>
              <w:t>-Em infecções muito graves, ou se a resposta clínica for insuficiente, administrar a dosagem de 400 mg uma vez ao dia.</w:t>
            </w:r>
          </w:p>
          <w:p w14:paraId="507F6FEB" w14:textId="77777777" w:rsidR="00CD65C2" w:rsidRDefault="00FA41FC">
            <w:pPr>
              <w:spacing w:after="0"/>
              <w:jc w:val="center"/>
              <w:rPr>
                <w:rFonts w:ascii="Swis721 Th BT" w:hAnsi="Swis721 Th BT" w:cs="Arial"/>
                <w:color w:val="404040"/>
              </w:rPr>
            </w:pPr>
            <w:r>
              <w:rPr>
                <w:rFonts w:ascii="Swis721 Th BT" w:hAnsi="Swis721 Th BT" w:cs="Arial"/>
                <w:color w:val="404040"/>
              </w:rPr>
              <w:t>-Candidíase vaginal crônica: 400 mg/dia, durante 5 dias.</w:t>
            </w:r>
          </w:p>
        </w:tc>
        <w:tc>
          <w:tcPr>
            <w:tcW w:w="2265" w:type="dxa"/>
            <w:tcBorders>
              <w:top w:val="single" w:sz="4" w:space="0" w:color="auto"/>
              <w:left w:val="single" w:sz="4" w:space="0" w:color="auto"/>
              <w:bottom w:val="single" w:sz="4" w:space="0" w:color="auto"/>
              <w:right w:val="single" w:sz="4" w:space="0" w:color="auto"/>
            </w:tcBorders>
            <w:vAlign w:val="center"/>
          </w:tcPr>
          <w:p w14:paraId="43F5645C" w14:textId="77777777" w:rsidR="00CD65C2" w:rsidRDefault="00CD65C2">
            <w:pPr>
              <w:spacing w:after="0"/>
              <w:jc w:val="center"/>
              <w:rPr>
                <w:rFonts w:ascii="Swis721 Th BT" w:hAnsi="Swis721 Th BT" w:cs="Arial"/>
                <w:color w:val="404040"/>
              </w:rPr>
            </w:pPr>
          </w:p>
          <w:p w14:paraId="3817FD08" w14:textId="77777777" w:rsidR="00CD65C2" w:rsidRDefault="00CD65C2">
            <w:pPr>
              <w:spacing w:after="0"/>
              <w:jc w:val="center"/>
              <w:rPr>
                <w:rFonts w:ascii="Swis721 Th BT" w:hAnsi="Swis721 Th BT" w:cs="Arial"/>
                <w:color w:val="404040"/>
              </w:rPr>
            </w:pPr>
          </w:p>
          <w:p w14:paraId="0B52ED0F" w14:textId="77777777" w:rsidR="00CD65C2" w:rsidRDefault="00FA41FC">
            <w:pPr>
              <w:spacing w:after="0"/>
              <w:jc w:val="center"/>
              <w:rPr>
                <w:rFonts w:ascii="Swis721 Th BT" w:hAnsi="Swis721 Th BT" w:cs="Arial"/>
                <w:color w:val="404040"/>
              </w:rPr>
            </w:pPr>
            <w:r>
              <w:rPr>
                <w:rFonts w:ascii="Swis721 Th BT" w:hAnsi="Swis721 Th BT" w:cs="Arial"/>
                <w:color w:val="404040"/>
              </w:rPr>
              <w:t>Cremes a 1%.</w:t>
            </w:r>
          </w:p>
          <w:p w14:paraId="075D0110" w14:textId="77777777" w:rsidR="00CD65C2" w:rsidRDefault="00CD65C2">
            <w:pPr>
              <w:spacing w:after="0"/>
              <w:jc w:val="center"/>
              <w:rPr>
                <w:rFonts w:ascii="Swis721 Th BT" w:hAnsi="Swis721 Th BT" w:cs="Arial"/>
                <w:color w:val="404040"/>
              </w:rPr>
            </w:pPr>
          </w:p>
          <w:p w14:paraId="15FE8786" w14:textId="77777777" w:rsidR="00CD65C2" w:rsidRDefault="00CD65C2">
            <w:pPr>
              <w:spacing w:after="0"/>
              <w:jc w:val="center"/>
              <w:rPr>
                <w:rFonts w:ascii="Swis721 Th BT" w:hAnsi="Swis721 Th BT" w:cs="Arial"/>
                <w:color w:val="404040"/>
              </w:rPr>
            </w:pPr>
          </w:p>
          <w:p w14:paraId="60A1E8CF" w14:textId="77777777" w:rsidR="00CD65C2" w:rsidRDefault="00CD65C2">
            <w:pPr>
              <w:spacing w:after="0"/>
              <w:jc w:val="center"/>
              <w:rPr>
                <w:rFonts w:ascii="Swis721 Th BT" w:hAnsi="Swis721 Th BT" w:cs="Arial"/>
                <w:color w:val="404040"/>
              </w:rPr>
            </w:pPr>
          </w:p>
          <w:p w14:paraId="3E6D31D4" w14:textId="77777777" w:rsidR="00CD65C2" w:rsidRDefault="00CD65C2">
            <w:pPr>
              <w:spacing w:after="0"/>
              <w:jc w:val="center"/>
              <w:rPr>
                <w:rFonts w:ascii="Swis721 Th BT" w:hAnsi="Swis721 Th BT" w:cs="Arial"/>
                <w:color w:val="404040"/>
              </w:rPr>
            </w:pPr>
          </w:p>
          <w:p w14:paraId="7E1D69AE" w14:textId="77777777" w:rsidR="00CD65C2" w:rsidRDefault="00CD65C2">
            <w:pPr>
              <w:spacing w:after="0"/>
              <w:jc w:val="center"/>
              <w:rPr>
                <w:rFonts w:ascii="Swis721 Th BT" w:hAnsi="Swis721 Th BT" w:cs="Arial"/>
                <w:color w:val="404040"/>
              </w:rPr>
            </w:pPr>
          </w:p>
          <w:p w14:paraId="496C25FB" w14:textId="77777777" w:rsidR="00CD65C2" w:rsidRDefault="00CD65C2">
            <w:pPr>
              <w:spacing w:after="0"/>
              <w:jc w:val="center"/>
              <w:rPr>
                <w:rFonts w:ascii="Swis721 Th BT" w:hAnsi="Swis721 Th BT" w:cs="Arial"/>
                <w:color w:val="404040"/>
              </w:rPr>
            </w:pPr>
          </w:p>
          <w:p w14:paraId="54F9EC11" w14:textId="77777777" w:rsidR="00CD65C2" w:rsidRDefault="00CD65C2">
            <w:pPr>
              <w:spacing w:after="0"/>
              <w:jc w:val="center"/>
              <w:rPr>
                <w:rFonts w:ascii="Swis721 Th BT" w:hAnsi="Swis721 Th BT" w:cs="Arial"/>
                <w:color w:val="404040"/>
              </w:rPr>
            </w:pPr>
          </w:p>
          <w:p w14:paraId="12E238DF" w14:textId="77777777" w:rsidR="00CD65C2" w:rsidRDefault="00CD65C2">
            <w:pPr>
              <w:spacing w:after="0"/>
              <w:jc w:val="center"/>
              <w:rPr>
                <w:rFonts w:ascii="Swis721 Th BT" w:hAnsi="Swis721 Th BT" w:cs="Arial"/>
                <w:color w:val="404040"/>
              </w:rPr>
            </w:pPr>
          </w:p>
          <w:p w14:paraId="0BAC7DAF" w14:textId="77777777" w:rsidR="00CD65C2" w:rsidRDefault="00CD65C2">
            <w:pPr>
              <w:spacing w:after="0"/>
              <w:jc w:val="center"/>
              <w:rPr>
                <w:rFonts w:ascii="Swis721 Th BT" w:hAnsi="Swis721 Th BT" w:cs="Arial"/>
                <w:color w:val="404040"/>
              </w:rPr>
            </w:pPr>
          </w:p>
        </w:tc>
        <w:tc>
          <w:tcPr>
            <w:tcW w:w="2266" w:type="dxa"/>
            <w:tcBorders>
              <w:top w:val="single" w:sz="4" w:space="0" w:color="auto"/>
              <w:left w:val="single" w:sz="4" w:space="0" w:color="auto"/>
              <w:bottom w:val="single" w:sz="4" w:space="0" w:color="auto"/>
              <w:right w:val="single" w:sz="4" w:space="0" w:color="auto"/>
            </w:tcBorders>
            <w:vAlign w:val="center"/>
          </w:tcPr>
          <w:p w14:paraId="735E5EAA" w14:textId="77777777" w:rsidR="00CD65C2" w:rsidRDefault="00FA41FC" w:rsidP="00D1428E">
            <w:pPr>
              <w:numPr>
                <w:ilvl w:val="0"/>
                <w:numId w:val="60"/>
              </w:numPr>
              <w:spacing w:after="0" w:line="240" w:lineRule="auto"/>
              <w:jc w:val="center"/>
              <w:rPr>
                <w:rFonts w:ascii="Swis721 Th BT" w:hAnsi="Swis721 Th BT" w:cs="Arial"/>
                <w:color w:val="404040"/>
              </w:rPr>
            </w:pPr>
            <w:r>
              <w:rPr>
                <w:rFonts w:ascii="Swis721 Th BT" w:hAnsi="Swis721 Th BT" w:cs="Arial"/>
                <w:color w:val="404040"/>
              </w:rPr>
              <w:t>Antifúngico de amplo espectro, com ações sistêmica e tópica;</w:t>
            </w:r>
          </w:p>
          <w:p w14:paraId="06629387" w14:textId="77777777" w:rsidR="00CD65C2" w:rsidRDefault="00FA41FC" w:rsidP="00D1428E">
            <w:pPr>
              <w:numPr>
                <w:ilvl w:val="0"/>
                <w:numId w:val="60"/>
              </w:numPr>
              <w:spacing w:after="0" w:line="240" w:lineRule="auto"/>
              <w:jc w:val="center"/>
              <w:rPr>
                <w:rFonts w:ascii="Swis721 Th BT" w:hAnsi="Swis721 Th BT" w:cs="Arial"/>
                <w:color w:val="404040"/>
              </w:rPr>
            </w:pPr>
            <w:r>
              <w:rPr>
                <w:rFonts w:ascii="Swis721 Th BT" w:hAnsi="Swis721 Th BT" w:cs="Arial"/>
                <w:color w:val="404040"/>
              </w:rPr>
              <w:t>Inibe a biossíntese do ergosterol ou de outros esteróis;</w:t>
            </w:r>
          </w:p>
          <w:p w14:paraId="0EC24796" w14:textId="77777777" w:rsidR="00CD65C2" w:rsidRDefault="00FA41FC" w:rsidP="00D1428E">
            <w:pPr>
              <w:numPr>
                <w:ilvl w:val="0"/>
                <w:numId w:val="60"/>
              </w:numPr>
              <w:spacing w:after="0" w:line="240" w:lineRule="auto"/>
              <w:jc w:val="center"/>
              <w:rPr>
                <w:rFonts w:ascii="Swis721 Th BT" w:hAnsi="Swis721 Th BT" w:cs="Arial"/>
                <w:color w:val="404040"/>
              </w:rPr>
            </w:pPr>
            <w:r>
              <w:rPr>
                <w:rFonts w:ascii="Swis721 Th BT" w:hAnsi="Swis721 Th BT" w:cs="Arial"/>
                <w:color w:val="404040"/>
              </w:rPr>
              <w:t>Inibe a biossíntese de triglicerídios e de fosfolipídios;</w:t>
            </w:r>
          </w:p>
          <w:p w14:paraId="4E40F90B" w14:textId="77777777" w:rsidR="00CD65C2" w:rsidRDefault="00FA41FC" w:rsidP="00D1428E">
            <w:pPr>
              <w:numPr>
                <w:ilvl w:val="0"/>
                <w:numId w:val="60"/>
              </w:numPr>
              <w:spacing w:after="0" w:line="240" w:lineRule="auto"/>
              <w:jc w:val="center"/>
              <w:rPr>
                <w:rFonts w:ascii="Swis721 Th BT" w:hAnsi="Swis721 Th BT" w:cs="Arial"/>
                <w:color w:val="404040"/>
                <w:vertAlign w:val="superscript"/>
              </w:rPr>
            </w:pPr>
            <w:r>
              <w:rPr>
                <w:rFonts w:ascii="Swis721 Th BT" w:hAnsi="Swis721 Th BT" w:cs="Arial"/>
                <w:color w:val="404040"/>
              </w:rPr>
              <w:t>Inibe a atividade enzimática oxidativa e  peroxidativa;</w:t>
            </w:r>
          </w:p>
          <w:p w14:paraId="2D9EF3A3" w14:textId="77777777" w:rsidR="00CD65C2" w:rsidRDefault="00FA41FC" w:rsidP="00D1428E">
            <w:pPr>
              <w:numPr>
                <w:ilvl w:val="0"/>
                <w:numId w:val="60"/>
              </w:numPr>
              <w:spacing w:after="0" w:line="240" w:lineRule="auto"/>
              <w:jc w:val="center"/>
              <w:rPr>
                <w:rFonts w:ascii="Swis721 Th BT" w:hAnsi="Swis721 Th BT" w:cs="Arial"/>
                <w:color w:val="404040"/>
                <w:vertAlign w:val="superscript"/>
              </w:rPr>
            </w:pPr>
            <w:r>
              <w:rPr>
                <w:rFonts w:ascii="Swis721 Th BT" w:hAnsi="Swis721 Th BT" w:cs="Arial"/>
                <w:color w:val="404040"/>
              </w:rPr>
              <w:t>Indicado no tratamento de infecções fúngicas da bexiga e do trato urinário;</w:t>
            </w:r>
          </w:p>
          <w:p w14:paraId="45F5897C" w14:textId="77777777" w:rsidR="00CD65C2" w:rsidRDefault="00FA41FC" w:rsidP="00D1428E">
            <w:pPr>
              <w:numPr>
                <w:ilvl w:val="0"/>
                <w:numId w:val="60"/>
              </w:numPr>
              <w:spacing w:after="0" w:line="240" w:lineRule="auto"/>
              <w:jc w:val="center"/>
              <w:rPr>
                <w:rFonts w:ascii="Swis721 Th BT" w:hAnsi="Swis721 Th BT" w:cs="Arial"/>
                <w:color w:val="404040"/>
                <w:vertAlign w:val="superscript"/>
              </w:rPr>
            </w:pPr>
            <w:r>
              <w:rPr>
                <w:rFonts w:ascii="Swis721 Th BT" w:hAnsi="Swis721 Th BT" w:cs="Arial"/>
                <w:color w:val="404040"/>
              </w:rPr>
              <w:t>Tratamento da candidíase mucocutânea crônica, candidíase orofaríngea e candidíase vulvovaginal.</w:t>
            </w:r>
          </w:p>
        </w:tc>
      </w:tr>
      <w:tr w:rsidR="00CD65C2" w14:paraId="54D3D301" w14:textId="77777777">
        <w:trPr>
          <w:cantSplit/>
        </w:trPr>
        <w:tc>
          <w:tcPr>
            <w:tcW w:w="2265" w:type="dxa"/>
            <w:tcBorders>
              <w:top w:val="single" w:sz="4" w:space="0" w:color="auto"/>
              <w:left w:val="single" w:sz="4" w:space="0" w:color="auto"/>
              <w:bottom w:val="single" w:sz="4" w:space="0" w:color="auto"/>
              <w:right w:val="single" w:sz="4" w:space="0" w:color="auto"/>
            </w:tcBorders>
            <w:vAlign w:val="center"/>
          </w:tcPr>
          <w:p w14:paraId="092C308A" w14:textId="77777777" w:rsidR="00CD65C2" w:rsidRDefault="00CD65C2">
            <w:pPr>
              <w:spacing w:after="0"/>
              <w:jc w:val="center"/>
              <w:rPr>
                <w:rFonts w:ascii="Swis721 Th BT" w:hAnsi="Swis721 Th BT" w:cs="Arial"/>
                <w:color w:val="404040"/>
              </w:rPr>
            </w:pPr>
          </w:p>
          <w:p w14:paraId="7F4ED580" w14:textId="77777777" w:rsidR="00CD65C2" w:rsidRDefault="00FA41FC">
            <w:pPr>
              <w:pStyle w:val="Ttulo3"/>
              <w:spacing w:before="0"/>
              <w:jc w:val="center"/>
              <w:rPr>
                <w:rFonts w:ascii="Swis721 Th BT" w:hAnsi="Swis721 Th BT" w:cs="Arial" w:hint="eastAsia"/>
                <w:bCs/>
                <w:color w:val="404040"/>
                <w:sz w:val="22"/>
                <w:szCs w:val="22"/>
              </w:rPr>
            </w:pPr>
            <w:bookmarkStart w:id="148" w:name="_Toc165537296"/>
            <w:r>
              <w:rPr>
                <w:rFonts w:ascii="Swis721 Th BT" w:hAnsi="Swis721 Th BT" w:cs="Arial"/>
                <w:bCs/>
                <w:color w:val="404040"/>
                <w:sz w:val="22"/>
                <w:szCs w:val="22"/>
              </w:rPr>
              <w:t>Clotrimazol</w:t>
            </w:r>
            <w:bookmarkEnd w:id="148"/>
          </w:p>
        </w:tc>
        <w:tc>
          <w:tcPr>
            <w:tcW w:w="2265" w:type="dxa"/>
            <w:tcBorders>
              <w:top w:val="single" w:sz="4" w:space="0" w:color="auto"/>
              <w:left w:val="single" w:sz="4" w:space="0" w:color="auto"/>
              <w:bottom w:val="single" w:sz="4" w:space="0" w:color="auto"/>
              <w:right w:val="single" w:sz="4" w:space="0" w:color="auto"/>
            </w:tcBorders>
            <w:vAlign w:val="center"/>
          </w:tcPr>
          <w:p w14:paraId="0E61989F" w14:textId="77777777" w:rsidR="00CD65C2" w:rsidRDefault="00FA41FC">
            <w:pPr>
              <w:spacing w:after="0"/>
              <w:jc w:val="center"/>
              <w:rPr>
                <w:rFonts w:ascii="Swis721 Th BT" w:hAnsi="Swis721 Th BT" w:cs="Arial"/>
                <w:color w:val="404040"/>
              </w:rPr>
            </w:pPr>
            <w:r>
              <w:rPr>
                <w:rFonts w:ascii="Swis721 Th BT" w:hAnsi="Swis721 Th BT" w:cs="Arial"/>
                <w:color w:val="404040"/>
              </w:rPr>
              <w:t>________</w:t>
            </w:r>
          </w:p>
        </w:tc>
        <w:tc>
          <w:tcPr>
            <w:tcW w:w="2265" w:type="dxa"/>
            <w:tcBorders>
              <w:top w:val="single" w:sz="4" w:space="0" w:color="auto"/>
              <w:left w:val="single" w:sz="4" w:space="0" w:color="auto"/>
              <w:bottom w:val="single" w:sz="4" w:space="0" w:color="auto"/>
              <w:right w:val="single" w:sz="4" w:space="0" w:color="auto"/>
            </w:tcBorders>
            <w:vAlign w:val="center"/>
          </w:tcPr>
          <w:p w14:paraId="5128CED2" w14:textId="77777777" w:rsidR="00CD65C2" w:rsidRDefault="00CD65C2">
            <w:pPr>
              <w:spacing w:after="0"/>
              <w:jc w:val="center"/>
              <w:rPr>
                <w:rFonts w:ascii="Swis721 Th BT" w:hAnsi="Swis721 Th BT" w:cs="Arial"/>
                <w:b/>
                <w:bCs/>
                <w:color w:val="404040"/>
              </w:rPr>
            </w:pPr>
          </w:p>
          <w:p w14:paraId="25933DEF" w14:textId="77777777" w:rsidR="00CD65C2" w:rsidRDefault="00CD65C2">
            <w:pPr>
              <w:spacing w:after="0"/>
              <w:jc w:val="center"/>
              <w:rPr>
                <w:rFonts w:ascii="Swis721 Th BT" w:hAnsi="Swis721 Th BT" w:cs="Arial"/>
                <w:color w:val="404040"/>
              </w:rPr>
            </w:pPr>
          </w:p>
          <w:p w14:paraId="1CBBC607" w14:textId="77777777" w:rsidR="00CD65C2" w:rsidRDefault="00FA41FC">
            <w:pPr>
              <w:spacing w:after="0"/>
              <w:jc w:val="center"/>
              <w:rPr>
                <w:rFonts w:ascii="Swis721 Th BT" w:hAnsi="Swis721 Th BT" w:cs="Arial"/>
                <w:color w:val="404040"/>
              </w:rPr>
            </w:pPr>
            <w:r>
              <w:rPr>
                <w:rFonts w:ascii="Swis721 Th BT" w:hAnsi="Swis721 Th BT" w:cs="Arial"/>
                <w:color w:val="404040"/>
              </w:rPr>
              <w:t>- Óvulos: 100 mg durante 6 dias; ou 200 mg durante 3 dias; ou dose única de 500 mg inseridos na vagina, à noite, durante 7 dias.</w:t>
            </w:r>
          </w:p>
          <w:p w14:paraId="6AA8C9F7" w14:textId="77777777" w:rsidR="00CD65C2" w:rsidRDefault="00CD65C2">
            <w:pPr>
              <w:spacing w:after="0"/>
              <w:jc w:val="center"/>
              <w:rPr>
                <w:rFonts w:ascii="Swis721 Th BT" w:hAnsi="Swis721 Th BT" w:cs="Arial"/>
                <w:color w:val="404040"/>
              </w:rPr>
            </w:pPr>
          </w:p>
          <w:p w14:paraId="6858F73F" w14:textId="77777777" w:rsidR="00CD65C2" w:rsidRDefault="00FA41FC">
            <w:pPr>
              <w:spacing w:after="0"/>
              <w:jc w:val="center"/>
              <w:rPr>
                <w:rFonts w:ascii="Swis721 Th BT" w:hAnsi="Swis721 Th BT" w:cs="Arial"/>
                <w:color w:val="404040"/>
                <w:vertAlign w:val="superscript"/>
              </w:rPr>
            </w:pPr>
            <w:r>
              <w:rPr>
                <w:rFonts w:ascii="Swis721 Th BT" w:hAnsi="Swis721 Th BT" w:cs="Arial"/>
                <w:color w:val="404040"/>
              </w:rPr>
              <w:t>- Creme vaginal: doses similares são administradas a 1, 2 ou 10%.</w:t>
            </w:r>
          </w:p>
          <w:p w14:paraId="38122905" w14:textId="77777777" w:rsidR="00CD65C2" w:rsidRDefault="00CD65C2">
            <w:pPr>
              <w:spacing w:after="0"/>
              <w:jc w:val="center"/>
              <w:rPr>
                <w:rFonts w:ascii="Swis721 Th BT" w:hAnsi="Swis721 Th BT" w:cs="Arial"/>
                <w:color w:val="404040"/>
                <w:vertAlign w:val="superscript"/>
              </w:rPr>
            </w:pPr>
          </w:p>
        </w:tc>
        <w:tc>
          <w:tcPr>
            <w:tcW w:w="2266" w:type="dxa"/>
            <w:tcBorders>
              <w:top w:val="single" w:sz="4" w:space="0" w:color="auto"/>
              <w:left w:val="single" w:sz="4" w:space="0" w:color="auto"/>
              <w:bottom w:val="single" w:sz="4" w:space="0" w:color="auto"/>
              <w:right w:val="single" w:sz="4" w:space="0" w:color="auto"/>
            </w:tcBorders>
            <w:vAlign w:val="center"/>
          </w:tcPr>
          <w:p w14:paraId="2BBC6555" w14:textId="77777777" w:rsidR="00CD65C2" w:rsidRDefault="00FA41FC" w:rsidP="00D1428E">
            <w:pPr>
              <w:numPr>
                <w:ilvl w:val="0"/>
                <w:numId w:val="61"/>
              </w:numPr>
              <w:spacing w:after="0" w:line="240" w:lineRule="auto"/>
              <w:jc w:val="center"/>
              <w:rPr>
                <w:rFonts w:ascii="Swis721 Th BT" w:hAnsi="Swis721 Th BT" w:cs="Arial"/>
                <w:color w:val="404040"/>
              </w:rPr>
            </w:pPr>
            <w:r>
              <w:rPr>
                <w:rFonts w:ascii="Swis721 Th BT" w:hAnsi="Swis721 Th BT" w:cs="Arial"/>
                <w:color w:val="404040"/>
              </w:rPr>
              <w:t>Antifúngico de amplo espectro, com ação tópica, que apresenta moderada atividade antibacteriana;</w:t>
            </w:r>
          </w:p>
          <w:p w14:paraId="7588306A" w14:textId="77777777" w:rsidR="00CD65C2" w:rsidRDefault="00FA41FC" w:rsidP="00D1428E">
            <w:pPr>
              <w:numPr>
                <w:ilvl w:val="0"/>
                <w:numId w:val="61"/>
              </w:numPr>
              <w:spacing w:after="0" w:line="240" w:lineRule="auto"/>
              <w:jc w:val="center"/>
              <w:rPr>
                <w:rFonts w:ascii="Swis721 Th BT" w:hAnsi="Swis721 Th BT" w:cs="Arial"/>
                <w:i/>
                <w:iCs/>
                <w:color w:val="404040"/>
              </w:rPr>
            </w:pPr>
            <w:r>
              <w:rPr>
                <w:rFonts w:ascii="Swis721 Th BT" w:hAnsi="Swis721 Th BT" w:cs="Arial"/>
                <w:color w:val="404040"/>
              </w:rPr>
              <w:t xml:space="preserve">Inibe o crescimento de dermatófitos patogênicos, leveduras e </w:t>
            </w:r>
            <w:r>
              <w:rPr>
                <w:rFonts w:ascii="Swis721 Th BT" w:hAnsi="Swis721 Th BT" w:cs="Arial"/>
                <w:i/>
                <w:iCs/>
                <w:color w:val="404040"/>
              </w:rPr>
              <w:t>Pityrosporum orbiculare;</w:t>
            </w:r>
          </w:p>
          <w:p w14:paraId="04B637BD" w14:textId="77777777" w:rsidR="00CD65C2" w:rsidRDefault="00FA41FC" w:rsidP="00D1428E">
            <w:pPr>
              <w:numPr>
                <w:ilvl w:val="0"/>
                <w:numId w:val="61"/>
              </w:numPr>
              <w:spacing w:after="0" w:line="240" w:lineRule="auto"/>
              <w:jc w:val="center"/>
              <w:rPr>
                <w:rFonts w:ascii="Swis721 Th BT" w:hAnsi="Swis721 Th BT" w:cs="Arial"/>
                <w:i/>
                <w:iCs/>
                <w:color w:val="404040"/>
              </w:rPr>
            </w:pPr>
            <w:r>
              <w:rPr>
                <w:rFonts w:ascii="Swis721 Th BT" w:hAnsi="Swis721 Th BT" w:cs="Arial"/>
                <w:i/>
                <w:iCs/>
                <w:color w:val="404040"/>
              </w:rPr>
              <w:t>In vitro,</w:t>
            </w:r>
            <w:r>
              <w:rPr>
                <w:rFonts w:ascii="Swis721 Th BT" w:hAnsi="Swis721 Th BT" w:cs="Arial"/>
                <w:color w:val="404040"/>
              </w:rPr>
              <w:t xml:space="preserve"> manifesta atividade fungicida contra </w:t>
            </w:r>
            <w:r>
              <w:rPr>
                <w:rFonts w:ascii="Swis721 Th BT" w:hAnsi="Swis721 Th BT" w:cs="Arial"/>
                <w:i/>
                <w:iCs/>
                <w:color w:val="404040"/>
              </w:rPr>
              <w:t>Trichophyton rubrum, T. mentagrophytes, Epidermophyton floccosum, Microsporum canis e Candida albicans;</w:t>
            </w:r>
          </w:p>
          <w:p w14:paraId="5D85106B" w14:textId="77777777" w:rsidR="00CD65C2" w:rsidRDefault="00FA41FC" w:rsidP="00D1428E">
            <w:pPr>
              <w:numPr>
                <w:ilvl w:val="0"/>
                <w:numId w:val="61"/>
              </w:numPr>
              <w:spacing w:after="0" w:line="240" w:lineRule="auto"/>
              <w:jc w:val="center"/>
              <w:rPr>
                <w:rFonts w:ascii="Swis721 Th BT" w:hAnsi="Swis721 Th BT" w:cs="Arial"/>
                <w:color w:val="404040"/>
                <w:vertAlign w:val="superscript"/>
              </w:rPr>
            </w:pPr>
            <w:r>
              <w:rPr>
                <w:rFonts w:ascii="Swis721 Th BT" w:hAnsi="Swis721 Th BT" w:cs="Arial"/>
                <w:color w:val="404040"/>
              </w:rPr>
              <w:t xml:space="preserve">É indicado no tratamento das seguintes formas de candidíase: </w:t>
            </w:r>
            <w:r>
              <w:rPr>
                <w:rFonts w:ascii="Swis721 Th BT" w:hAnsi="Swis721 Th BT" w:cs="Arial"/>
                <w:i/>
                <w:color w:val="404040"/>
              </w:rPr>
              <w:t>barbae, capitis, corporis, cruris</w:t>
            </w:r>
            <w:r>
              <w:rPr>
                <w:rFonts w:ascii="Swis721 Th BT" w:hAnsi="Swis721 Th BT" w:cs="Arial"/>
                <w:color w:val="404040"/>
              </w:rPr>
              <w:t xml:space="preserve">, cutânea orofaringiana, </w:t>
            </w:r>
            <w:r>
              <w:rPr>
                <w:rFonts w:ascii="Swis721 Th BT" w:hAnsi="Swis721 Th BT" w:cs="Arial"/>
                <w:i/>
                <w:color w:val="404040"/>
              </w:rPr>
              <w:t>pedis</w:t>
            </w:r>
            <w:r>
              <w:rPr>
                <w:rFonts w:ascii="Swis721 Th BT" w:hAnsi="Swis721 Th BT" w:cs="Arial"/>
                <w:color w:val="404040"/>
              </w:rPr>
              <w:t>, versicolor e vulvovaginal.</w:t>
            </w:r>
          </w:p>
        </w:tc>
      </w:tr>
      <w:tr w:rsidR="00CD65C2" w14:paraId="2BC68BAD" w14:textId="77777777">
        <w:trPr>
          <w:cantSplit/>
        </w:trPr>
        <w:tc>
          <w:tcPr>
            <w:tcW w:w="2265" w:type="dxa"/>
            <w:tcBorders>
              <w:top w:val="single" w:sz="4" w:space="0" w:color="auto"/>
              <w:left w:val="single" w:sz="4" w:space="0" w:color="auto"/>
              <w:bottom w:val="single" w:sz="4" w:space="0" w:color="auto"/>
              <w:right w:val="single" w:sz="4" w:space="0" w:color="auto"/>
            </w:tcBorders>
            <w:vAlign w:val="center"/>
          </w:tcPr>
          <w:p w14:paraId="5D52AA0C" w14:textId="77777777" w:rsidR="00CD65C2" w:rsidRDefault="00CD65C2">
            <w:pPr>
              <w:spacing w:after="0"/>
              <w:jc w:val="center"/>
              <w:rPr>
                <w:rFonts w:ascii="Swis721 Th BT" w:hAnsi="Swis721 Th BT" w:cs="Arial"/>
                <w:b/>
                <w:bCs/>
                <w:color w:val="404040"/>
              </w:rPr>
            </w:pPr>
          </w:p>
          <w:p w14:paraId="475282A6" w14:textId="77777777" w:rsidR="00CD65C2" w:rsidRDefault="00FA41FC">
            <w:pPr>
              <w:pStyle w:val="Ttulo3"/>
              <w:spacing w:before="0"/>
              <w:jc w:val="center"/>
              <w:rPr>
                <w:rFonts w:ascii="Swis721 Th BT" w:hAnsi="Swis721 Th BT" w:cs="Arial" w:hint="eastAsia"/>
                <w:bCs/>
                <w:color w:val="404040"/>
                <w:sz w:val="22"/>
                <w:szCs w:val="22"/>
              </w:rPr>
            </w:pPr>
            <w:bookmarkStart w:id="149" w:name="_Toc165537297"/>
            <w:r>
              <w:rPr>
                <w:rFonts w:ascii="Swis721 Th BT" w:hAnsi="Swis721 Th BT" w:cs="Arial"/>
                <w:bCs/>
                <w:color w:val="404040"/>
                <w:sz w:val="22"/>
                <w:szCs w:val="22"/>
              </w:rPr>
              <w:t>Econazol</w:t>
            </w:r>
            <w:bookmarkEnd w:id="149"/>
          </w:p>
          <w:p w14:paraId="436AF08C" w14:textId="77777777" w:rsidR="00CD65C2" w:rsidRDefault="00FA41FC">
            <w:pPr>
              <w:pStyle w:val="Ttulo3"/>
              <w:spacing w:before="0"/>
              <w:jc w:val="center"/>
              <w:rPr>
                <w:rFonts w:ascii="Swis721 Th BT" w:hAnsi="Swis721 Th BT" w:cs="Arial" w:hint="eastAsia"/>
                <w:bCs/>
                <w:color w:val="404040"/>
                <w:sz w:val="22"/>
                <w:szCs w:val="22"/>
              </w:rPr>
            </w:pPr>
            <w:bookmarkStart w:id="150" w:name="_Toc165537298"/>
            <w:r>
              <w:rPr>
                <w:rFonts w:ascii="Swis721 Th BT" w:hAnsi="Swis721 Th BT" w:cs="Arial"/>
                <w:bCs/>
                <w:color w:val="404040"/>
                <w:sz w:val="22"/>
                <w:szCs w:val="22"/>
              </w:rPr>
              <w:t>(nitrato)</w:t>
            </w:r>
            <w:bookmarkEnd w:id="150"/>
          </w:p>
          <w:p w14:paraId="789B0751" w14:textId="77777777" w:rsidR="00CD65C2" w:rsidRDefault="00CD65C2">
            <w:pPr>
              <w:spacing w:after="0"/>
              <w:jc w:val="center"/>
              <w:rPr>
                <w:rFonts w:ascii="Swis721 Th BT" w:hAnsi="Swis721 Th BT" w:cs="Arial"/>
                <w:b/>
                <w:bCs/>
                <w:color w:val="404040"/>
              </w:rPr>
            </w:pPr>
          </w:p>
        </w:tc>
        <w:tc>
          <w:tcPr>
            <w:tcW w:w="2265" w:type="dxa"/>
            <w:tcBorders>
              <w:top w:val="single" w:sz="4" w:space="0" w:color="auto"/>
              <w:left w:val="single" w:sz="4" w:space="0" w:color="auto"/>
              <w:bottom w:val="single" w:sz="4" w:space="0" w:color="auto"/>
              <w:right w:val="single" w:sz="4" w:space="0" w:color="auto"/>
            </w:tcBorders>
            <w:vAlign w:val="center"/>
          </w:tcPr>
          <w:p w14:paraId="6E74B42C" w14:textId="77777777" w:rsidR="00CD65C2" w:rsidRDefault="00CD65C2">
            <w:pPr>
              <w:spacing w:after="0"/>
              <w:jc w:val="center"/>
              <w:rPr>
                <w:rFonts w:ascii="Swis721 Th BT" w:hAnsi="Swis721 Th BT" w:cs="Arial"/>
                <w:color w:val="404040"/>
              </w:rPr>
            </w:pPr>
          </w:p>
          <w:p w14:paraId="0E30DEAB" w14:textId="77777777" w:rsidR="00CD65C2" w:rsidRDefault="00FA41FC">
            <w:pPr>
              <w:spacing w:after="0"/>
              <w:jc w:val="center"/>
              <w:rPr>
                <w:rFonts w:ascii="Swis721 Th BT" w:hAnsi="Swis721 Th BT" w:cs="Arial"/>
                <w:color w:val="404040"/>
              </w:rPr>
            </w:pPr>
            <w:r>
              <w:rPr>
                <w:rFonts w:ascii="Swis721 Th BT" w:hAnsi="Swis721 Th BT" w:cs="Arial"/>
                <w:color w:val="404040"/>
              </w:rPr>
              <w:t>______</w:t>
            </w:r>
          </w:p>
          <w:p w14:paraId="03DB0225" w14:textId="77777777" w:rsidR="00CD65C2" w:rsidRDefault="00CD65C2">
            <w:pPr>
              <w:spacing w:after="0"/>
              <w:jc w:val="center"/>
              <w:rPr>
                <w:rFonts w:ascii="Swis721 Th BT" w:hAnsi="Swis721 Th BT" w:cs="Arial"/>
                <w:color w:val="404040"/>
              </w:rPr>
            </w:pPr>
          </w:p>
        </w:tc>
        <w:tc>
          <w:tcPr>
            <w:tcW w:w="2265" w:type="dxa"/>
            <w:tcBorders>
              <w:top w:val="single" w:sz="4" w:space="0" w:color="auto"/>
              <w:left w:val="single" w:sz="4" w:space="0" w:color="auto"/>
              <w:bottom w:val="single" w:sz="4" w:space="0" w:color="auto"/>
              <w:right w:val="single" w:sz="4" w:space="0" w:color="auto"/>
            </w:tcBorders>
            <w:vAlign w:val="center"/>
          </w:tcPr>
          <w:p w14:paraId="03EDE584" w14:textId="77777777" w:rsidR="00CD65C2" w:rsidRDefault="00FA41FC">
            <w:pPr>
              <w:spacing w:after="0"/>
              <w:jc w:val="center"/>
              <w:rPr>
                <w:rFonts w:ascii="Swis721 Th BT" w:hAnsi="Swis721 Th BT" w:cs="Arial"/>
                <w:color w:val="404040"/>
                <w:vertAlign w:val="superscript"/>
              </w:rPr>
            </w:pPr>
            <w:r>
              <w:rPr>
                <w:rFonts w:ascii="Swis721 Th BT" w:hAnsi="Swis721 Th BT" w:cs="Arial"/>
                <w:color w:val="404040"/>
              </w:rPr>
              <w:t>-Óvulo: 150 mg, uma vez ao dia, ao deitar, durante 3 dias, repetindo a dose, se necessário.</w:t>
            </w:r>
          </w:p>
        </w:tc>
        <w:tc>
          <w:tcPr>
            <w:tcW w:w="2266" w:type="dxa"/>
            <w:tcBorders>
              <w:top w:val="single" w:sz="4" w:space="0" w:color="auto"/>
              <w:left w:val="single" w:sz="4" w:space="0" w:color="auto"/>
              <w:bottom w:val="single" w:sz="4" w:space="0" w:color="auto"/>
              <w:right w:val="single" w:sz="4" w:space="0" w:color="auto"/>
            </w:tcBorders>
            <w:vAlign w:val="center"/>
          </w:tcPr>
          <w:p w14:paraId="588AA28A" w14:textId="77777777" w:rsidR="00CD65C2" w:rsidRDefault="00FA41FC" w:rsidP="00D1428E">
            <w:pPr>
              <w:numPr>
                <w:ilvl w:val="0"/>
                <w:numId w:val="62"/>
              </w:numPr>
              <w:spacing w:after="0" w:line="240" w:lineRule="auto"/>
              <w:jc w:val="center"/>
              <w:rPr>
                <w:rFonts w:ascii="Swis721 Th BT" w:hAnsi="Swis721 Th BT" w:cs="Arial"/>
                <w:color w:val="404040"/>
              </w:rPr>
            </w:pPr>
            <w:r>
              <w:rPr>
                <w:rFonts w:ascii="Swis721 Th BT" w:hAnsi="Swis721 Th BT" w:cs="Arial"/>
                <w:color w:val="404040"/>
              </w:rPr>
              <w:t>Antifúngico imidazólico de amplo espectro, com ação similar à do cetoconazol;</w:t>
            </w:r>
          </w:p>
          <w:p w14:paraId="598A5AB4" w14:textId="77777777" w:rsidR="00CD65C2" w:rsidRDefault="00FA41FC" w:rsidP="00D1428E">
            <w:pPr>
              <w:numPr>
                <w:ilvl w:val="0"/>
                <w:numId w:val="62"/>
              </w:numPr>
              <w:spacing w:after="0" w:line="240" w:lineRule="auto"/>
              <w:jc w:val="center"/>
              <w:rPr>
                <w:rFonts w:ascii="Swis721 Th BT" w:hAnsi="Swis721 Th BT" w:cs="Arial"/>
                <w:color w:val="404040"/>
              </w:rPr>
            </w:pPr>
            <w:r>
              <w:rPr>
                <w:rFonts w:ascii="Swis721 Th BT" w:hAnsi="Swis721 Th BT" w:cs="Arial"/>
                <w:color w:val="404040"/>
              </w:rPr>
              <w:t>É usado para o tratamento de infecções fúngicas, como a candidíase.</w:t>
            </w:r>
          </w:p>
        </w:tc>
      </w:tr>
      <w:tr w:rsidR="00CD65C2" w14:paraId="417F52C3" w14:textId="77777777">
        <w:trPr>
          <w:cantSplit/>
        </w:trPr>
        <w:tc>
          <w:tcPr>
            <w:tcW w:w="2265" w:type="dxa"/>
            <w:tcBorders>
              <w:top w:val="single" w:sz="4" w:space="0" w:color="auto"/>
              <w:left w:val="single" w:sz="4" w:space="0" w:color="auto"/>
              <w:bottom w:val="single" w:sz="4" w:space="0" w:color="auto"/>
              <w:right w:val="single" w:sz="4" w:space="0" w:color="auto"/>
            </w:tcBorders>
            <w:vAlign w:val="center"/>
          </w:tcPr>
          <w:p w14:paraId="7AE92EFB" w14:textId="77777777" w:rsidR="00CD65C2" w:rsidRDefault="00CD65C2">
            <w:pPr>
              <w:pStyle w:val="Ttulo3"/>
              <w:spacing w:before="0"/>
              <w:jc w:val="center"/>
              <w:rPr>
                <w:rFonts w:ascii="Swis721 Th BT" w:hAnsi="Swis721 Th BT" w:cs="Arial" w:hint="eastAsia"/>
                <w:color w:val="404040"/>
                <w:sz w:val="22"/>
                <w:szCs w:val="22"/>
              </w:rPr>
            </w:pPr>
          </w:p>
          <w:p w14:paraId="5EBC49CB" w14:textId="77777777" w:rsidR="00CD65C2" w:rsidRDefault="00FA41FC">
            <w:pPr>
              <w:pStyle w:val="Ttulo3"/>
              <w:spacing w:before="0"/>
              <w:jc w:val="center"/>
              <w:rPr>
                <w:rFonts w:ascii="Swis721 Th BT" w:hAnsi="Swis721 Th BT" w:cs="Arial" w:hint="eastAsia"/>
                <w:bCs/>
                <w:color w:val="404040"/>
                <w:sz w:val="22"/>
                <w:szCs w:val="22"/>
              </w:rPr>
            </w:pPr>
            <w:bookmarkStart w:id="151" w:name="_Toc165537299"/>
            <w:r>
              <w:rPr>
                <w:rFonts w:ascii="Swis721 Th BT" w:hAnsi="Swis721 Th BT" w:cs="Arial"/>
                <w:bCs/>
                <w:color w:val="404040"/>
                <w:sz w:val="22"/>
                <w:szCs w:val="22"/>
              </w:rPr>
              <w:t>Fluconazol</w:t>
            </w:r>
            <w:bookmarkEnd w:id="151"/>
          </w:p>
          <w:p w14:paraId="7867DF43" w14:textId="77777777" w:rsidR="00CD65C2" w:rsidRDefault="00CD65C2">
            <w:pPr>
              <w:pStyle w:val="Ttulo3"/>
              <w:spacing w:before="0"/>
              <w:jc w:val="center"/>
              <w:rPr>
                <w:rFonts w:ascii="Swis721 Th BT" w:hAnsi="Swis721 Th BT" w:cs="Arial" w:hint="eastAsia"/>
                <w:color w:val="404040"/>
                <w:sz w:val="22"/>
                <w:szCs w:val="22"/>
              </w:rPr>
            </w:pPr>
          </w:p>
          <w:p w14:paraId="43ED0A78" w14:textId="77777777" w:rsidR="00CD65C2" w:rsidRDefault="00CD65C2">
            <w:pPr>
              <w:pStyle w:val="Ttulo3"/>
              <w:spacing w:before="0"/>
              <w:jc w:val="center"/>
              <w:rPr>
                <w:rFonts w:ascii="Swis721 Th BT" w:hAnsi="Swis721 Th BT" w:cs="Arial" w:hint="eastAsia"/>
                <w:bCs/>
                <w:color w:val="404040"/>
                <w:sz w:val="22"/>
                <w:szCs w:val="22"/>
              </w:rPr>
            </w:pPr>
          </w:p>
          <w:p w14:paraId="77B7849E" w14:textId="77777777" w:rsidR="00CD65C2" w:rsidRDefault="00CD65C2">
            <w:pPr>
              <w:pStyle w:val="Ttulo3"/>
              <w:spacing w:before="0"/>
              <w:jc w:val="center"/>
              <w:rPr>
                <w:rFonts w:ascii="Swis721 Th BT" w:hAnsi="Swis721 Th BT" w:cs="Arial" w:hint="eastAsia"/>
                <w:bCs/>
                <w:color w:val="404040"/>
                <w:sz w:val="22"/>
                <w:szCs w:val="22"/>
              </w:rPr>
            </w:pPr>
          </w:p>
          <w:p w14:paraId="5667983C" w14:textId="77777777" w:rsidR="00CD65C2" w:rsidRDefault="00CD65C2">
            <w:pPr>
              <w:pStyle w:val="Ttulo3"/>
              <w:spacing w:before="0"/>
              <w:jc w:val="center"/>
              <w:rPr>
                <w:rFonts w:ascii="Swis721 Th BT" w:hAnsi="Swis721 Th BT" w:cs="Arial" w:hint="eastAsia"/>
                <w:color w:val="404040"/>
                <w:sz w:val="22"/>
                <w:szCs w:val="22"/>
              </w:rPr>
            </w:pPr>
          </w:p>
        </w:tc>
        <w:tc>
          <w:tcPr>
            <w:tcW w:w="2265" w:type="dxa"/>
            <w:tcBorders>
              <w:top w:val="single" w:sz="4" w:space="0" w:color="auto"/>
              <w:left w:val="single" w:sz="4" w:space="0" w:color="auto"/>
              <w:bottom w:val="single" w:sz="4" w:space="0" w:color="auto"/>
              <w:right w:val="single" w:sz="4" w:space="0" w:color="auto"/>
            </w:tcBorders>
            <w:vAlign w:val="center"/>
          </w:tcPr>
          <w:p w14:paraId="5F4812EE" w14:textId="77777777" w:rsidR="00CD65C2" w:rsidRDefault="00FA41FC">
            <w:pPr>
              <w:spacing w:after="0"/>
              <w:jc w:val="center"/>
              <w:rPr>
                <w:rFonts w:ascii="Swis721 Th BT" w:hAnsi="Swis721 Th BT" w:cs="Arial"/>
                <w:color w:val="404040"/>
              </w:rPr>
            </w:pPr>
            <w:r>
              <w:rPr>
                <w:rFonts w:ascii="Swis721 Th BT" w:hAnsi="Swis721 Th BT" w:cs="Arial"/>
                <w:color w:val="404040"/>
              </w:rPr>
              <w:t>150 mg, dose única.</w:t>
            </w:r>
          </w:p>
          <w:p w14:paraId="6B0B2C32" w14:textId="77777777" w:rsidR="00CD65C2" w:rsidRDefault="00CD65C2">
            <w:pPr>
              <w:spacing w:after="0"/>
              <w:jc w:val="center"/>
              <w:rPr>
                <w:rFonts w:ascii="Swis721 Th BT" w:hAnsi="Swis721 Th BT" w:cs="Arial"/>
                <w:color w:val="404040"/>
              </w:rPr>
            </w:pPr>
          </w:p>
        </w:tc>
        <w:tc>
          <w:tcPr>
            <w:tcW w:w="2265" w:type="dxa"/>
            <w:tcBorders>
              <w:top w:val="single" w:sz="4" w:space="0" w:color="auto"/>
              <w:left w:val="single" w:sz="4" w:space="0" w:color="auto"/>
              <w:bottom w:val="single" w:sz="4" w:space="0" w:color="auto"/>
              <w:right w:val="single" w:sz="4" w:space="0" w:color="auto"/>
            </w:tcBorders>
            <w:vAlign w:val="center"/>
          </w:tcPr>
          <w:p w14:paraId="26AB5E0C" w14:textId="77777777" w:rsidR="00CD65C2" w:rsidRDefault="00CD65C2">
            <w:pPr>
              <w:spacing w:after="0"/>
              <w:jc w:val="center"/>
              <w:rPr>
                <w:rFonts w:ascii="Swis721 Th BT" w:hAnsi="Swis721 Th BT" w:cs="Arial"/>
                <w:color w:val="404040"/>
              </w:rPr>
            </w:pPr>
          </w:p>
          <w:p w14:paraId="1743AAC8" w14:textId="77777777" w:rsidR="00CD65C2" w:rsidRDefault="00FA41FC">
            <w:pPr>
              <w:spacing w:after="0"/>
              <w:jc w:val="center"/>
              <w:rPr>
                <w:rFonts w:ascii="Swis721 Th BT" w:hAnsi="Swis721 Th BT" w:cs="Arial"/>
                <w:color w:val="404040"/>
              </w:rPr>
            </w:pPr>
            <w:r>
              <w:rPr>
                <w:rFonts w:ascii="Swis721 Th BT" w:hAnsi="Swis721 Th BT" w:cs="Arial"/>
                <w:color w:val="404040"/>
              </w:rPr>
              <w:t>______</w:t>
            </w:r>
          </w:p>
        </w:tc>
        <w:tc>
          <w:tcPr>
            <w:tcW w:w="2266" w:type="dxa"/>
            <w:tcBorders>
              <w:top w:val="single" w:sz="4" w:space="0" w:color="auto"/>
              <w:left w:val="single" w:sz="4" w:space="0" w:color="auto"/>
              <w:bottom w:val="single" w:sz="4" w:space="0" w:color="auto"/>
              <w:right w:val="single" w:sz="4" w:space="0" w:color="auto"/>
            </w:tcBorders>
            <w:vAlign w:val="center"/>
          </w:tcPr>
          <w:p w14:paraId="19FB8BE2" w14:textId="77777777" w:rsidR="00CD65C2" w:rsidRDefault="00FA41FC" w:rsidP="00D1428E">
            <w:pPr>
              <w:numPr>
                <w:ilvl w:val="0"/>
                <w:numId w:val="63"/>
              </w:numPr>
              <w:spacing w:after="0" w:line="240" w:lineRule="auto"/>
              <w:jc w:val="center"/>
              <w:rPr>
                <w:rFonts w:ascii="Swis721 Th BT" w:hAnsi="Swis721 Th BT" w:cs="Arial"/>
                <w:color w:val="404040"/>
              </w:rPr>
            </w:pPr>
            <w:r>
              <w:rPr>
                <w:rFonts w:ascii="Swis721 Th BT" w:hAnsi="Swis721 Th BT" w:cs="Arial"/>
                <w:color w:val="404040"/>
              </w:rPr>
              <w:t>Antifúngico sistêmico de amplo espectro;</w:t>
            </w:r>
          </w:p>
          <w:p w14:paraId="62320CAE" w14:textId="77777777" w:rsidR="00CD65C2" w:rsidRDefault="00FA41FC" w:rsidP="00D1428E">
            <w:pPr>
              <w:numPr>
                <w:ilvl w:val="0"/>
                <w:numId w:val="63"/>
              </w:numPr>
              <w:spacing w:after="0" w:line="240" w:lineRule="auto"/>
              <w:jc w:val="center"/>
              <w:rPr>
                <w:rFonts w:ascii="Swis721 Th BT" w:hAnsi="Swis721 Th BT" w:cs="Arial"/>
                <w:color w:val="404040"/>
              </w:rPr>
            </w:pPr>
            <w:r>
              <w:rPr>
                <w:rFonts w:ascii="Swis721 Th BT" w:hAnsi="Swis721 Th BT" w:cs="Arial"/>
                <w:color w:val="404040"/>
              </w:rPr>
              <w:t>Apresenta atividade sobre várias espécies de fungos, causadores de micoses profundas e mucocutâneas;</w:t>
            </w:r>
          </w:p>
          <w:p w14:paraId="351D562A" w14:textId="77777777" w:rsidR="00CD65C2" w:rsidRDefault="00FA41FC" w:rsidP="00D1428E">
            <w:pPr>
              <w:numPr>
                <w:ilvl w:val="0"/>
                <w:numId w:val="63"/>
              </w:numPr>
              <w:spacing w:after="0" w:line="240" w:lineRule="auto"/>
              <w:jc w:val="center"/>
              <w:rPr>
                <w:rFonts w:ascii="Swis721 Th BT" w:hAnsi="Swis721 Th BT" w:cs="Arial"/>
                <w:color w:val="404040"/>
                <w:vertAlign w:val="superscript"/>
              </w:rPr>
            </w:pPr>
            <w:r>
              <w:rPr>
                <w:rFonts w:ascii="Swis721 Th BT" w:hAnsi="Swis721 Th BT" w:cs="Arial"/>
                <w:color w:val="404040"/>
              </w:rPr>
              <w:t>Indicado para o tratamento de candidíase.</w:t>
            </w:r>
          </w:p>
        </w:tc>
      </w:tr>
      <w:tr w:rsidR="00CD65C2" w14:paraId="6280CD7E" w14:textId="77777777">
        <w:trPr>
          <w:cantSplit/>
        </w:trPr>
        <w:tc>
          <w:tcPr>
            <w:tcW w:w="2265" w:type="dxa"/>
            <w:tcBorders>
              <w:top w:val="single" w:sz="4" w:space="0" w:color="auto"/>
              <w:left w:val="single" w:sz="4" w:space="0" w:color="auto"/>
              <w:bottom w:val="single" w:sz="4" w:space="0" w:color="auto"/>
              <w:right w:val="single" w:sz="4" w:space="0" w:color="auto"/>
            </w:tcBorders>
            <w:vAlign w:val="center"/>
          </w:tcPr>
          <w:p w14:paraId="4C96E3F2" w14:textId="77777777" w:rsidR="00CD65C2" w:rsidRDefault="00CD65C2">
            <w:pPr>
              <w:pStyle w:val="Ttulo3"/>
              <w:spacing w:before="0"/>
              <w:jc w:val="center"/>
              <w:rPr>
                <w:rFonts w:ascii="Swis721 Th BT" w:hAnsi="Swis721 Th BT" w:cs="Arial" w:hint="eastAsia"/>
                <w:color w:val="404040"/>
                <w:sz w:val="22"/>
                <w:szCs w:val="22"/>
              </w:rPr>
            </w:pPr>
          </w:p>
          <w:p w14:paraId="53B3A456" w14:textId="77777777" w:rsidR="00CD65C2" w:rsidRDefault="00FA41FC">
            <w:pPr>
              <w:pStyle w:val="Ttulo3"/>
              <w:spacing w:before="0"/>
              <w:jc w:val="center"/>
              <w:rPr>
                <w:rFonts w:ascii="Swis721 Th BT" w:hAnsi="Swis721 Th BT" w:cs="Arial" w:hint="eastAsia"/>
                <w:color w:val="404040"/>
                <w:sz w:val="22"/>
                <w:szCs w:val="22"/>
              </w:rPr>
            </w:pPr>
            <w:bookmarkStart w:id="152" w:name="_Toc165537300"/>
            <w:r>
              <w:rPr>
                <w:rFonts w:ascii="Swis721 Th BT" w:hAnsi="Swis721 Th BT" w:cs="Arial"/>
                <w:bCs/>
                <w:color w:val="404040"/>
                <w:sz w:val="22"/>
                <w:szCs w:val="22"/>
              </w:rPr>
              <w:t>Isoconazol (nitrato)</w:t>
            </w:r>
            <w:bookmarkEnd w:id="152"/>
          </w:p>
          <w:p w14:paraId="2DB466E3" w14:textId="77777777" w:rsidR="00CD65C2" w:rsidRDefault="00CD65C2">
            <w:pPr>
              <w:spacing w:after="0"/>
              <w:jc w:val="center"/>
              <w:rPr>
                <w:rFonts w:ascii="Swis721 Th BT" w:hAnsi="Swis721 Th BT" w:cs="Arial"/>
                <w:b/>
                <w:color w:val="404040"/>
              </w:rPr>
            </w:pPr>
          </w:p>
        </w:tc>
        <w:tc>
          <w:tcPr>
            <w:tcW w:w="2265" w:type="dxa"/>
            <w:tcBorders>
              <w:top w:val="single" w:sz="4" w:space="0" w:color="auto"/>
              <w:left w:val="single" w:sz="4" w:space="0" w:color="auto"/>
              <w:bottom w:val="single" w:sz="4" w:space="0" w:color="auto"/>
              <w:right w:val="single" w:sz="4" w:space="0" w:color="auto"/>
            </w:tcBorders>
            <w:vAlign w:val="center"/>
          </w:tcPr>
          <w:p w14:paraId="7CDBDEAA" w14:textId="77777777" w:rsidR="00CD65C2" w:rsidRDefault="00CD65C2">
            <w:pPr>
              <w:spacing w:after="0"/>
              <w:jc w:val="center"/>
              <w:rPr>
                <w:rFonts w:ascii="Swis721 Th BT" w:hAnsi="Swis721 Th BT" w:cs="Arial"/>
                <w:color w:val="404040"/>
              </w:rPr>
            </w:pPr>
          </w:p>
          <w:p w14:paraId="19FA158C" w14:textId="77777777" w:rsidR="00CD65C2" w:rsidRDefault="00FA41FC">
            <w:pPr>
              <w:spacing w:after="0"/>
              <w:jc w:val="center"/>
              <w:rPr>
                <w:rFonts w:ascii="Swis721 Th BT" w:hAnsi="Swis721 Th BT" w:cs="Arial"/>
                <w:color w:val="404040"/>
              </w:rPr>
            </w:pPr>
            <w:r>
              <w:rPr>
                <w:rFonts w:ascii="Swis721 Th BT" w:hAnsi="Swis721 Th BT" w:cs="Arial"/>
                <w:color w:val="404040"/>
              </w:rPr>
              <w:t>_______</w:t>
            </w:r>
          </w:p>
        </w:tc>
        <w:tc>
          <w:tcPr>
            <w:tcW w:w="2265" w:type="dxa"/>
            <w:tcBorders>
              <w:top w:val="single" w:sz="4" w:space="0" w:color="auto"/>
              <w:left w:val="single" w:sz="4" w:space="0" w:color="auto"/>
              <w:bottom w:val="single" w:sz="4" w:space="0" w:color="auto"/>
              <w:right w:val="single" w:sz="4" w:space="0" w:color="auto"/>
            </w:tcBorders>
            <w:vAlign w:val="center"/>
          </w:tcPr>
          <w:p w14:paraId="2A196404" w14:textId="77777777" w:rsidR="00CD65C2" w:rsidRDefault="00FA41FC">
            <w:pPr>
              <w:spacing w:after="0"/>
              <w:jc w:val="center"/>
              <w:rPr>
                <w:rFonts w:ascii="Swis721 Th BT" w:hAnsi="Swis721 Th BT" w:cs="Arial"/>
                <w:color w:val="404040"/>
              </w:rPr>
            </w:pPr>
            <w:r>
              <w:rPr>
                <w:rFonts w:ascii="Swis721 Th BT" w:hAnsi="Swis721 Th BT" w:cs="Arial"/>
                <w:color w:val="404040"/>
              </w:rPr>
              <w:t>- Creme vaginal a 1% durante 7 dias.</w:t>
            </w:r>
          </w:p>
          <w:p w14:paraId="2B1EC439" w14:textId="77777777" w:rsidR="00CD65C2" w:rsidRDefault="00CD65C2">
            <w:pPr>
              <w:spacing w:after="0"/>
              <w:jc w:val="center"/>
              <w:rPr>
                <w:rFonts w:ascii="Swis721 Th BT" w:hAnsi="Swis721 Th BT" w:cs="Arial"/>
                <w:color w:val="404040"/>
              </w:rPr>
            </w:pPr>
          </w:p>
          <w:p w14:paraId="565A7F38" w14:textId="77777777" w:rsidR="00CD65C2" w:rsidRDefault="00FA41FC">
            <w:pPr>
              <w:spacing w:after="0"/>
              <w:jc w:val="center"/>
              <w:rPr>
                <w:rFonts w:ascii="Swis721 Th BT" w:hAnsi="Swis721 Th BT" w:cs="Arial"/>
                <w:color w:val="404040"/>
              </w:rPr>
            </w:pPr>
            <w:r>
              <w:rPr>
                <w:rFonts w:ascii="Swis721 Th BT" w:hAnsi="Swis721 Th BT" w:cs="Arial"/>
                <w:color w:val="404040"/>
              </w:rPr>
              <w:t>- Óvulo: 600 mg como dose única ou 300 mg por 3 dias.</w:t>
            </w:r>
          </w:p>
          <w:p w14:paraId="68CF703E" w14:textId="77777777" w:rsidR="00CD65C2" w:rsidRDefault="00CD65C2">
            <w:pPr>
              <w:spacing w:after="0"/>
              <w:jc w:val="center"/>
              <w:rPr>
                <w:rFonts w:ascii="Swis721 Th BT" w:hAnsi="Swis721 Th BT" w:cs="Arial"/>
                <w:color w:val="404040"/>
              </w:rPr>
            </w:pPr>
          </w:p>
          <w:p w14:paraId="7911DFC0" w14:textId="2F93B108" w:rsidR="00CD65C2" w:rsidRDefault="00FA41FC">
            <w:pPr>
              <w:spacing w:after="0"/>
              <w:jc w:val="center"/>
              <w:rPr>
                <w:rFonts w:ascii="Swis721 Th BT" w:hAnsi="Swis721 Th BT" w:cs="Arial"/>
                <w:color w:val="404040"/>
                <w:vertAlign w:val="superscript"/>
              </w:rPr>
            </w:pPr>
            <w:r>
              <w:rPr>
                <w:rFonts w:ascii="Swis721 Th BT" w:hAnsi="Swis721 Th BT" w:cs="Arial"/>
                <w:b/>
                <w:bCs/>
                <w:color w:val="404040"/>
              </w:rPr>
              <w:t>Obs.:</w:t>
            </w:r>
            <w:r>
              <w:rPr>
                <w:rFonts w:ascii="Swis721 Th BT" w:hAnsi="Swis721 Th BT" w:cs="Arial"/>
                <w:color w:val="404040"/>
              </w:rPr>
              <w:t xml:space="preserve"> no caso de tratamento do parceiro sexual com fim profilático, o creme deve ser aplicado sobre a glande e o prepúcio, duas vezes ao dia, durante 1 semana.</w:t>
            </w:r>
          </w:p>
        </w:tc>
        <w:tc>
          <w:tcPr>
            <w:tcW w:w="2266" w:type="dxa"/>
            <w:tcBorders>
              <w:top w:val="single" w:sz="4" w:space="0" w:color="auto"/>
              <w:left w:val="single" w:sz="4" w:space="0" w:color="auto"/>
              <w:bottom w:val="single" w:sz="4" w:space="0" w:color="auto"/>
              <w:right w:val="single" w:sz="4" w:space="0" w:color="auto"/>
            </w:tcBorders>
            <w:vAlign w:val="center"/>
          </w:tcPr>
          <w:p w14:paraId="3DC1B1CD" w14:textId="77777777" w:rsidR="00CD65C2" w:rsidRDefault="00CD65C2">
            <w:pPr>
              <w:spacing w:after="0"/>
              <w:jc w:val="center"/>
              <w:rPr>
                <w:rFonts w:ascii="Swis721 Th BT" w:hAnsi="Swis721 Th BT" w:cs="Arial"/>
                <w:color w:val="404040"/>
              </w:rPr>
            </w:pPr>
          </w:p>
          <w:p w14:paraId="4ACED26C" w14:textId="77777777" w:rsidR="00CD65C2" w:rsidRDefault="00FA41FC" w:rsidP="00D1428E">
            <w:pPr>
              <w:numPr>
                <w:ilvl w:val="0"/>
                <w:numId w:val="64"/>
              </w:numPr>
              <w:spacing w:after="0" w:line="240" w:lineRule="auto"/>
              <w:jc w:val="center"/>
              <w:rPr>
                <w:rFonts w:ascii="Swis721 Th BT" w:hAnsi="Swis721 Th BT" w:cs="Arial"/>
                <w:color w:val="404040"/>
                <w:vertAlign w:val="superscript"/>
              </w:rPr>
            </w:pPr>
            <w:r>
              <w:rPr>
                <w:rFonts w:ascii="Swis721 Th BT" w:hAnsi="Swis721 Th BT" w:cs="Arial"/>
                <w:color w:val="404040"/>
              </w:rPr>
              <w:t>Antifúngico de amplo espectro e bactericida ativo sobre os microrganismos Gram-positivos.</w:t>
            </w:r>
          </w:p>
          <w:p w14:paraId="7B6B67FA" w14:textId="77777777" w:rsidR="00CD65C2" w:rsidRDefault="00CD65C2">
            <w:pPr>
              <w:spacing w:after="0"/>
              <w:jc w:val="center"/>
              <w:rPr>
                <w:rFonts w:ascii="Swis721 Th BT" w:hAnsi="Swis721 Th BT" w:cs="Arial"/>
                <w:color w:val="404040"/>
                <w:vertAlign w:val="superscript"/>
              </w:rPr>
            </w:pPr>
          </w:p>
        </w:tc>
      </w:tr>
      <w:tr w:rsidR="00CD65C2" w14:paraId="22DB2789" w14:textId="77777777">
        <w:trPr>
          <w:cantSplit/>
        </w:trPr>
        <w:tc>
          <w:tcPr>
            <w:tcW w:w="2265" w:type="dxa"/>
            <w:tcBorders>
              <w:top w:val="single" w:sz="4" w:space="0" w:color="auto"/>
              <w:left w:val="single" w:sz="4" w:space="0" w:color="auto"/>
              <w:bottom w:val="single" w:sz="4" w:space="0" w:color="auto"/>
              <w:right w:val="single" w:sz="4" w:space="0" w:color="auto"/>
            </w:tcBorders>
            <w:vAlign w:val="center"/>
          </w:tcPr>
          <w:p w14:paraId="0258355E" w14:textId="77777777" w:rsidR="00CD65C2" w:rsidRDefault="00CD65C2">
            <w:pPr>
              <w:spacing w:after="0"/>
              <w:jc w:val="center"/>
              <w:rPr>
                <w:rFonts w:ascii="Swis721 Th BT" w:hAnsi="Swis721 Th BT" w:cs="Arial"/>
                <w:color w:val="404040"/>
              </w:rPr>
            </w:pPr>
          </w:p>
          <w:p w14:paraId="0D03FB6B" w14:textId="77777777" w:rsidR="00CD65C2" w:rsidRDefault="00FA41FC">
            <w:pPr>
              <w:pStyle w:val="Ttulo3"/>
              <w:spacing w:before="0"/>
              <w:jc w:val="center"/>
              <w:rPr>
                <w:rFonts w:ascii="Swis721 Th BT" w:hAnsi="Swis721 Th BT" w:cs="Arial" w:hint="eastAsia"/>
                <w:bCs/>
                <w:color w:val="404040"/>
                <w:sz w:val="22"/>
                <w:szCs w:val="22"/>
              </w:rPr>
            </w:pPr>
            <w:bookmarkStart w:id="153" w:name="_Toc165537301"/>
            <w:r>
              <w:rPr>
                <w:rFonts w:ascii="Swis721 Th BT" w:hAnsi="Swis721 Th BT" w:cs="Arial"/>
                <w:bCs/>
                <w:color w:val="404040"/>
                <w:sz w:val="22"/>
                <w:szCs w:val="22"/>
              </w:rPr>
              <w:t>Itraconazol</w:t>
            </w:r>
            <w:bookmarkEnd w:id="153"/>
          </w:p>
        </w:tc>
        <w:tc>
          <w:tcPr>
            <w:tcW w:w="2265" w:type="dxa"/>
            <w:tcBorders>
              <w:top w:val="single" w:sz="4" w:space="0" w:color="auto"/>
              <w:left w:val="single" w:sz="4" w:space="0" w:color="auto"/>
              <w:bottom w:val="single" w:sz="4" w:space="0" w:color="auto"/>
              <w:right w:val="single" w:sz="4" w:space="0" w:color="auto"/>
            </w:tcBorders>
            <w:vAlign w:val="center"/>
          </w:tcPr>
          <w:p w14:paraId="6CD0E80D" w14:textId="77777777" w:rsidR="00CD65C2" w:rsidRDefault="00CD65C2">
            <w:pPr>
              <w:spacing w:after="0"/>
              <w:jc w:val="center"/>
              <w:rPr>
                <w:rFonts w:ascii="Swis721 Th BT" w:hAnsi="Swis721 Th BT" w:cs="Arial"/>
                <w:color w:val="404040"/>
              </w:rPr>
            </w:pPr>
          </w:p>
          <w:p w14:paraId="256323B1" w14:textId="77777777" w:rsidR="00CD65C2" w:rsidRDefault="00FA41FC">
            <w:pPr>
              <w:spacing w:after="0"/>
              <w:jc w:val="center"/>
              <w:rPr>
                <w:rFonts w:ascii="Swis721 Th BT" w:hAnsi="Swis721 Th BT" w:cs="Arial"/>
                <w:color w:val="404040"/>
              </w:rPr>
            </w:pPr>
            <w:r>
              <w:rPr>
                <w:rFonts w:ascii="Swis721 Th BT" w:hAnsi="Swis721 Th BT" w:cs="Arial"/>
                <w:color w:val="404040"/>
              </w:rPr>
              <w:t>200 mg pela manhã  e  à noite, por um dia.</w:t>
            </w:r>
          </w:p>
        </w:tc>
        <w:tc>
          <w:tcPr>
            <w:tcW w:w="2265" w:type="dxa"/>
            <w:tcBorders>
              <w:top w:val="single" w:sz="4" w:space="0" w:color="auto"/>
              <w:left w:val="single" w:sz="4" w:space="0" w:color="auto"/>
              <w:bottom w:val="single" w:sz="4" w:space="0" w:color="auto"/>
              <w:right w:val="single" w:sz="4" w:space="0" w:color="auto"/>
            </w:tcBorders>
            <w:vAlign w:val="center"/>
          </w:tcPr>
          <w:p w14:paraId="675CF3EC" w14:textId="77777777" w:rsidR="00CD65C2" w:rsidRDefault="00CD65C2">
            <w:pPr>
              <w:spacing w:after="0"/>
              <w:jc w:val="center"/>
              <w:rPr>
                <w:rFonts w:ascii="Swis721 Th BT" w:hAnsi="Swis721 Th BT" w:cs="Arial"/>
                <w:color w:val="404040"/>
              </w:rPr>
            </w:pPr>
          </w:p>
          <w:p w14:paraId="74068E88" w14:textId="77777777" w:rsidR="00CD65C2" w:rsidRDefault="00FA41FC">
            <w:pPr>
              <w:spacing w:after="0"/>
              <w:jc w:val="center"/>
              <w:rPr>
                <w:rFonts w:ascii="Swis721 Th BT" w:hAnsi="Swis721 Th BT" w:cs="Arial"/>
                <w:color w:val="404040"/>
              </w:rPr>
            </w:pPr>
            <w:r>
              <w:rPr>
                <w:rFonts w:ascii="Swis721 Th BT" w:hAnsi="Swis721 Th BT" w:cs="Arial"/>
                <w:color w:val="404040"/>
              </w:rPr>
              <w:t>______</w:t>
            </w:r>
          </w:p>
        </w:tc>
        <w:tc>
          <w:tcPr>
            <w:tcW w:w="2266" w:type="dxa"/>
            <w:tcBorders>
              <w:top w:val="single" w:sz="4" w:space="0" w:color="auto"/>
              <w:left w:val="single" w:sz="4" w:space="0" w:color="auto"/>
              <w:bottom w:val="single" w:sz="4" w:space="0" w:color="auto"/>
              <w:right w:val="single" w:sz="4" w:space="0" w:color="auto"/>
            </w:tcBorders>
            <w:vAlign w:val="center"/>
          </w:tcPr>
          <w:p w14:paraId="3A96E387" w14:textId="77777777" w:rsidR="00CD65C2" w:rsidRDefault="00FA41FC" w:rsidP="00D1428E">
            <w:pPr>
              <w:numPr>
                <w:ilvl w:val="0"/>
                <w:numId w:val="64"/>
              </w:numPr>
              <w:spacing w:after="0" w:line="240" w:lineRule="auto"/>
              <w:jc w:val="center"/>
              <w:rPr>
                <w:rFonts w:ascii="Swis721 Th BT" w:hAnsi="Swis721 Th BT" w:cs="Arial"/>
                <w:color w:val="404040"/>
              </w:rPr>
            </w:pPr>
            <w:r>
              <w:rPr>
                <w:rFonts w:ascii="Swis721 Th BT" w:hAnsi="Swis721 Th BT" w:cs="Arial"/>
                <w:color w:val="404040"/>
              </w:rPr>
              <w:t>Antifúngico sistêmico;</w:t>
            </w:r>
          </w:p>
          <w:p w14:paraId="49A39014" w14:textId="77777777" w:rsidR="00CD65C2" w:rsidRDefault="00FA41FC" w:rsidP="00D1428E">
            <w:pPr>
              <w:numPr>
                <w:ilvl w:val="0"/>
                <w:numId w:val="64"/>
              </w:numPr>
              <w:spacing w:after="0" w:line="240" w:lineRule="auto"/>
              <w:jc w:val="center"/>
              <w:rPr>
                <w:rFonts w:ascii="Swis721 Th BT" w:hAnsi="Swis721 Th BT" w:cs="Arial"/>
                <w:color w:val="404040"/>
                <w:vertAlign w:val="superscript"/>
              </w:rPr>
            </w:pPr>
            <w:r>
              <w:rPr>
                <w:rFonts w:ascii="Swis721 Th BT" w:hAnsi="Swis721 Th BT" w:cs="Arial"/>
                <w:color w:val="404040"/>
              </w:rPr>
              <w:t>Indicado para candidíase vulvovaginal.</w:t>
            </w:r>
          </w:p>
        </w:tc>
      </w:tr>
      <w:tr w:rsidR="00CD65C2" w14:paraId="26910C3F" w14:textId="77777777">
        <w:trPr>
          <w:cantSplit/>
        </w:trPr>
        <w:tc>
          <w:tcPr>
            <w:tcW w:w="2265" w:type="dxa"/>
            <w:tcBorders>
              <w:top w:val="single" w:sz="4" w:space="0" w:color="auto"/>
              <w:left w:val="single" w:sz="4" w:space="0" w:color="auto"/>
              <w:bottom w:val="single" w:sz="4" w:space="0" w:color="auto"/>
              <w:right w:val="single" w:sz="4" w:space="0" w:color="auto"/>
            </w:tcBorders>
            <w:vAlign w:val="center"/>
          </w:tcPr>
          <w:p w14:paraId="4C886532" w14:textId="77777777" w:rsidR="00CD65C2" w:rsidRDefault="00CD65C2">
            <w:pPr>
              <w:spacing w:after="0"/>
              <w:jc w:val="center"/>
              <w:rPr>
                <w:rFonts w:ascii="Swis721 Th BT" w:hAnsi="Swis721 Th BT" w:cs="Arial"/>
                <w:b/>
                <w:i/>
                <w:iCs/>
                <w:color w:val="404040"/>
                <w:u w:val="single" w:color="008000"/>
              </w:rPr>
            </w:pPr>
          </w:p>
          <w:p w14:paraId="279F125F" w14:textId="77777777" w:rsidR="00CD65C2" w:rsidRDefault="00FA41FC">
            <w:pPr>
              <w:spacing w:after="0"/>
              <w:jc w:val="center"/>
              <w:rPr>
                <w:rFonts w:ascii="Swis721 Th BT" w:hAnsi="Swis721 Th BT" w:cs="Arial"/>
                <w:b/>
                <w:color w:val="404040"/>
                <w:u w:color="339966"/>
              </w:rPr>
            </w:pPr>
            <w:r>
              <w:rPr>
                <w:rFonts w:ascii="Swis721 Th BT" w:hAnsi="Swis721 Th BT" w:cs="Arial"/>
                <w:b/>
                <w:color w:val="404040"/>
                <w:u w:color="339966"/>
              </w:rPr>
              <w:t>Miconazol (nitrato)</w:t>
            </w:r>
          </w:p>
        </w:tc>
        <w:tc>
          <w:tcPr>
            <w:tcW w:w="2265" w:type="dxa"/>
            <w:tcBorders>
              <w:top w:val="single" w:sz="4" w:space="0" w:color="auto"/>
              <w:left w:val="single" w:sz="4" w:space="0" w:color="auto"/>
              <w:bottom w:val="single" w:sz="4" w:space="0" w:color="auto"/>
              <w:right w:val="single" w:sz="4" w:space="0" w:color="auto"/>
            </w:tcBorders>
            <w:vAlign w:val="center"/>
          </w:tcPr>
          <w:p w14:paraId="1C908CDF" w14:textId="77777777" w:rsidR="00CD65C2" w:rsidRDefault="00CD65C2">
            <w:pPr>
              <w:spacing w:after="0"/>
              <w:jc w:val="center"/>
              <w:rPr>
                <w:rFonts w:ascii="Swis721 Th BT" w:hAnsi="Swis721 Th BT" w:cs="Arial"/>
                <w:b/>
                <w:bCs/>
                <w:color w:val="404040"/>
              </w:rPr>
            </w:pPr>
          </w:p>
          <w:p w14:paraId="70790FFD" w14:textId="77777777" w:rsidR="00CD65C2" w:rsidRDefault="00FA41FC">
            <w:pPr>
              <w:spacing w:after="0"/>
              <w:jc w:val="center"/>
              <w:rPr>
                <w:rFonts w:ascii="Swis721 Th BT" w:hAnsi="Swis721 Th BT" w:cs="Arial"/>
                <w:color w:val="404040"/>
              </w:rPr>
            </w:pPr>
            <w:r>
              <w:rPr>
                <w:rFonts w:ascii="Swis721 Th BT" w:hAnsi="Swis721 Th BT" w:cs="Arial"/>
                <w:b/>
                <w:bCs/>
                <w:color w:val="404040"/>
              </w:rPr>
              <w:t>______</w:t>
            </w:r>
          </w:p>
        </w:tc>
        <w:tc>
          <w:tcPr>
            <w:tcW w:w="2265" w:type="dxa"/>
            <w:tcBorders>
              <w:top w:val="single" w:sz="4" w:space="0" w:color="auto"/>
              <w:left w:val="single" w:sz="4" w:space="0" w:color="auto"/>
              <w:bottom w:val="single" w:sz="4" w:space="0" w:color="auto"/>
              <w:right w:val="single" w:sz="4" w:space="0" w:color="auto"/>
            </w:tcBorders>
            <w:vAlign w:val="center"/>
          </w:tcPr>
          <w:p w14:paraId="6F6759F7" w14:textId="77777777" w:rsidR="00CD65C2" w:rsidRDefault="00FA41FC">
            <w:pPr>
              <w:spacing w:after="0"/>
              <w:jc w:val="center"/>
              <w:rPr>
                <w:rFonts w:ascii="Swis721 Th BT" w:hAnsi="Swis721 Th BT" w:cs="Arial"/>
                <w:color w:val="404040"/>
              </w:rPr>
            </w:pPr>
            <w:r>
              <w:rPr>
                <w:rFonts w:ascii="Swis721 Th BT" w:hAnsi="Swis721 Th BT" w:cs="Arial"/>
                <w:color w:val="404040"/>
              </w:rPr>
              <w:t>5 g de creme vaginal a 2% uma vez ao dia durante 10 a 14 dias ou duas vezes ao dia durante 7 dias.</w:t>
            </w:r>
          </w:p>
          <w:p w14:paraId="6AF338B6" w14:textId="77777777" w:rsidR="00CD65C2" w:rsidRDefault="00CD65C2">
            <w:pPr>
              <w:spacing w:after="0"/>
              <w:jc w:val="center"/>
              <w:rPr>
                <w:rFonts w:ascii="Swis721 Th BT" w:hAnsi="Swis721 Th BT" w:cs="Arial"/>
                <w:color w:val="404040"/>
              </w:rPr>
            </w:pPr>
          </w:p>
          <w:p w14:paraId="0FD3922F" w14:textId="77777777" w:rsidR="00CD65C2" w:rsidRDefault="00FA41FC">
            <w:pPr>
              <w:spacing w:after="0"/>
              <w:jc w:val="center"/>
              <w:rPr>
                <w:rFonts w:ascii="Swis721 Th BT" w:hAnsi="Swis721 Th BT" w:cs="Arial"/>
                <w:color w:val="404040"/>
                <w:vertAlign w:val="superscript"/>
              </w:rPr>
            </w:pPr>
            <w:r>
              <w:rPr>
                <w:rFonts w:ascii="Swis721 Th BT" w:hAnsi="Swis721 Th BT" w:cs="Arial"/>
                <w:color w:val="404040"/>
              </w:rPr>
              <w:t>Óvulo: 100 mg ao dia por 7 ou 14 dias; ou 100 mg, duas vezes ao dia, por 7 dias; ou 200 ou 400 mg ao dia, por 3 dias; ou dose única de 1200 mg.</w:t>
            </w:r>
          </w:p>
        </w:tc>
        <w:tc>
          <w:tcPr>
            <w:tcW w:w="2266" w:type="dxa"/>
            <w:tcBorders>
              <w:top w:val="single" w:sz="4" w:space="0" w:color="auto"/>
              <w:left w:val="single" w:sz="4" w:space="0" w:color="auto"/>
              <w:bottom w:val="single" w:sz="4" w:space="0" w:color="auto"/>
              <w:right w:val="single" w:sz="4" w:space="0" w:color="auto"/>
            </w:tcBorders>
            <w:vAlign w:val="center"/>
          </w:tcPr>
          <w:p w14:paraId="429BD67D" w14:textId="77777777" w:rsidR="00CD65C2" w:rsidRDefault="00FA41FC" w:rsidP="00D1428E">
            <w:pPr>
              <w:numPr>
                <w:ilvl w:val="0"/>
                <w:numId w:val="65"/>
              </w:numPr>
              <w:spacing w:after="0" w:line="240" w:lineRule="auto"/>
              <w:jc w:val="center"/>
              <w:rPr>
                <w:rFonts w:ascii="Swis721 Th BT" w:hAnsi="Swis721 Th BT" w:cs="Arial"/>
                <w:color w:val="404040"/>
              </w:rPr>
            </w:pPr>
            <w:r>
              <w:rPr>
                <w:rFonts w:ascii="Swis721 Th BT" w:hAnsi="Swis721 Th BT" w:cs="Arial"/>
                <w:color w:val="404040"/>
              </w:rPr>
              <w:t>Antifúngico de amplo espectro, ativo por via sistêmica e tópica;</w:t>
            </w:r>
          </w:p>
          <w:p w14:paraId="6F8042D6" w14:textId="77777777" w:rsidR="00CD65C2" w:rsidRDefault="00FA41FC" w:rsidP="00D1428E">
            <w:pPr>
              <w:numPr>
                <w:ilvl w:val="0"/>
                <w:numId w:val="65"/>
              </w:numPr>
              <w:spacing w:after="0" w:line="240" w:lineRule="auto"/>
              <w:jc w:val="center"/>
              <w:rPr>
                <w:rFonts w:ascii="Swis721 Th BT" w:hAnsi="Swis721 Th BT" w:cs="Arial"/>
                <w:color w:val="404040"/>
                <w:vertAlign w:val="superscript"/>
              </w:rPr>
            </w:pPr>
            <w:r>
              <w:rPr>
                <w:rFonts w:ascii="Swis721 Th BT" w:hAnsi="Swis721 Th BT" w:cs="Arial"/>
                <w:color w:val="404040"/>
              </w:rPr>
              <w:t>Seu mecanismo de ação está relacionado com as mudanças na permeabilidade da membrana celular dos fungos.</w:t>
            </w:r>
          </w:p>
        </w:tc>
      </w:tr>
      <w:tr w:rsidR="00CD65C2" w14:paraId="32FCBBBC" w14:textId="77777777">
        <w:trPr>
          <w:cantSplit/>
        </w:trPr>
        <w:tc>
          <w:tcPr>
            <w:tcW w:w="2265" w:type="dxa"/>
            <w:tcBorders>
              <w:top w:val="single" w:sz="4" w:space="0" w:color="auto"/>
              <w:left w:val="single" w:sz="4" w:space="0" w:color="auto"/>
              <w:bottom w:val="single" w:sz="4" w:space="0" w:color="auto"/>
              <w:right w:val="single" w:sz="4" w:space="0" w:color="auto"/>
            </w:tcBorders>
            <w:vAlign w:val="center"/>
          </w:tcPr>
          <w:p w14:paraId="258F9425" w14:textId="77777777" w:rsidR="00CD65C2" w:rsidRDefault="00FA41FC">
            <w:pPr>
              <w:pStyle w:val="Ttulo3"/>
              <w:spacing w:before="0"/>
              <w:jc w:val="center"/>
              <w:rPr>
                <w:rFonts w:ascii="Swis721 Th BT" w:hAnsi="Swis721 Th BT" w:cs="Arial" w:hint="eastAsia"/>
                <w:bCs/>
                <w:color w:val="404040"/>
                <w:sz w:val="22"/>
                <w:szCs w:val="22"/>
              </w:rPr>
            </w:pPr>
            <w:bookmarkStart w:id="154" w:name="_Toc165537302"/>
            <w:r>
              <w:rPr>
                <w:rFonts w:ascii="Swis721 Th BT" w:hAnsi="Swis721 Th BT" w:cs="Arial"/>
                <w:bCs/>
                <w:color w:val="404040"/>
                <w:sz w:val="22"/>
                <w:szCs w:val="22"/>
              </w:rPr>
              <w:t>Nistatina</w:t>
            </w:r>
            <w:bookmarkEnd w:id="154"/>
          </w:p>
        </w:tc>
        <w:tc>
          <w:tcPr>
            <w:tcW w:w="2265" w:type="dxa"/>
            <w:tcBorders>
              <w:top w:val="single" w:sz="4" w:space="0" w:color="auto"/>
              <w:left w:val="single" w:sz="4" w:space="0" w:color="auto"/>
              <w:bottom w:val="single" w:sz="4" w:space="0" w:color="auto"/>
              <w:right w:val="single" w:sz="4" w:space="0" w:color="auto"/>
            </w:tcBorders>
            <w:vAlign w:val="center"/>
          </w:tcPr>
          <w:p w14:paraId="10331F51" w14:textId="77777777" w:rsidR="00CD65C2" w:rsidRDefault="00CD65C2">
            <w:pPr>
              <w:spacing w:after="0"/>
              <w:jc w:val="center"/>
              <w:rPr>
                <w:rFonts w:ascii="Swis721 Th BT" w:hAnsi="Swis721 Th BT" w:cs="Arial"/>
                <w:color w:val="404040"/>
              </w:rPr>
            </w:pPr>
          </w:p>
          <w:p w14:paraId="14453208" w14:textId="77777777" w:rsidR="00CD65C2" w:rsidRDefault="00FA41FC">
            <w:pPr>
              <w:spacing w:after="0"/>
              <w:jc w:val="center"/>
              <w:rPr>
                <w:rFonts w:ascii="Swis721 Th BT" w:hAnsi="Swis721 Th BT" w:cs="Arial"/>
                <w:color w:val="404040"/>
              </w:rPr>
            </w:pPr>
            <w:r>
              <w:rPr>
                <w:rFonts w:ascii="Swis721 Th BT" w:hAnsi="Swis721 Th BT" w:cs="Arial"/>
                <w:color w:val="404040"/>
              </w:rPr>
              <w:t>______</w:t>
            </w:r>
          </w:p>
          <w:p w14:paraId="3D9D1AF3" w14:textId="77777777" w:rsidR="00CD65C2" w:rsidRDefault="00CD65C2">
            <w:pPr>
              <w:spacing w:after="0"/>
              <w:jc w:val="center"/>
              <w:rPr>
                <w:rFonts w:ascii="Swis721 Th BT" w:hAnsi="Swis721 Th BT" w:cs="Arial"/>
                <w:color w:val="404040"/>
              </w:rPr>
            </w:pPr>
          </w:p>
          <w:p w14:paraId="4F1F9F0A" w14:textId="77777777" w:rsidR="00CD65C2" w:rsidRDefault="00CD65C2">
            <w:pPr>
              <w:spacing w:after="0"/>
              <w:jc w:val="center"/>
              <w:rPr>
                <w:rFonts w:ascii="Swis721 Th BT" w:hAnsi="Swis721 Th BT" w:cs="Arial"/>
                <w:color w:val="404040"/>
              </w:rPr>
            </w:pPr>
          </w:p>
        </w:tc>
        <w:tc>
          <w:tcPr>
            <w:tcW w:w="2265" w:type="dxa"/>
            <w:tcBorders>
              <w:top w:val="single" w:sz="4" w:space="0" w:color="auto"/>
              <w:left w:val="single" w:sz="4" w:space="0" w:color="auto"/>
              <w:bottom w:val="single" w:sz="4" w:space="0" w:color="auto"/>
              <w:right w:val="single" w:sz="4" w:space="0" w:color="auto"/>
            </w:tcBorders>
            <w:vAlign w:val="center"/>
          </w:tcPr>
          <w:p w14:paraId="0B251668" w14:textId="77777777" w:rsidR="00CD65C2" w:rsidRDefault="00FA41FC">
            <w:pPr>
              <w:spacing w:after="0"/>
              <w:jc w:val="center"/>
              <w:rPr>
                <w:rFonts w:ascii="Swis721 Th BT" w:hAnsi="Swis721 Th BT" w:cs="Arial"/>
                <w:color w:val="404040"/>
                <w:vertAlign w:val="superscript"/>
              </w:rPr>
            </w:pPr>
            <w:r>
              <w:rPr>
                <w:rFonts w:ascii="Swis721 Th BT" w:hAnsi="Swis721 Th BT" w:cs="Arial"/>
                <w:color w:val="404040"/>
              </w:rPr>
              <w:t>100.000 a 200.000 UI/4 g ao dia durante duas semanas.</w:t>
            </w:r>
          </w:p>
        </w:tc>
        <w:tc>
          <w:tcPr>
            <w:tcW w:w="2266" w:type="dxa"/>
            <w:tcBorders>
              <w:top w:val="single" w:sz="4" w:space="0" w:color="auto"/>
              <w:left w:val="single" w:sz="4" w:space="0" w:color="auto"/>
              <w:bottom w:val="single" w:sz="4" w:space="0" w:color="auto"/>
              <w:right w:val="single" w:sz="4" w:space="0" w:color="auto"/>
            </w:tcBorders>
            <w:vAlign w:val="center"/>
          </w:tcPr>
          <w:p w14:paraId="28D94A1B" w14:textId="77777777" w:rsidR="00CD65C2" w:rsidRDefault="00FA41FC" w:rsidP="00D1428E">
            <w:pPr>
              <w:numPr>
                <w:ilvl w:val="0"/>
                <w:numId w:val="66"/>
              </w:numPr>
              <w:spacing w:after="0" w:line="240" w:lineRule="auto"/>
              <w:jc w:val="center"/>
              <w:rPr>
                <w:rFonts w:ascii="Swis721 Th BT" w:hAnsi="Swis721 Th BT" w:cs="Arial"/>
                <w:color w:val="404040"/>
                <w:vertAlign w:val="superscript"/>
              </w:rPr>
            </w:pPr>
            <w:r>
              <w:rPr>
                <w:rFonts w:ascii="Swis721 Th BT" w:hAnsi="Swis721 Th BT" w:cs="Arial"/>
                <w:color w:val="404040"/>
              </w:rPr>
              <w:t xml:space="preserve">Antifúngico com ação predominante sobre várias espécies de </w:t>
            </w:r>
            <w:r>
              <w:rPr>
                <w:rFonts w:ascii="Swis721 Th BT" w:hAnsi="Swis721 Th BT" w:cs="Arial"/>
                <w:i/>
                <w:iCs/>
                <w:color w:val="404040"/>
              </w:rPr>
              <w:t>Candida.</w:t>
            </w:r>
          </w:p>
        </w:tc>
      </w:tr>
    </w:tbl>
    <w:p w14:paraId="24BAF18B" w14:textId="77777777" w:rsidR="00CD65C2" w:rsidRDefault="00CD65C2">
      <w:pPr>
        <w:pStyle w:val="Corpo"/>
        <w:jc w:val="center"/>
        <w:rPr>
          <w:rFonts w:hint="eastAsia"/>
          <w:b/>
          <w:i/>
          <w:color w:val="404040" w:themeColor="text1" w:themeTint="BF"/>
        </w:rPr>
      </w:pPr>
    </w:p>
    <w:p w14:paraId="32D11798" w14:textId="77777777" w:rsidR="00CD65C2" w:rsidRDefault="00CD65C2">
      <w:pPr>
        <w:pStyle w:val="Corpo"/>
        <w:jc w:val="center"/>
        <w:rPr>
          <w:rFonts w:hint="eastAsia"/>
          <w:b/>
          <w:i/>
          <w:color w:val="404040" w:themeColor="text1" w:themeTint="BF"/>
        </w:rPr>
      </w:pPr>
    </w:p>
    <w:p w14:paraId="1A83019B" w14:textId="77777777" w:rsidR="00CD65C2" w:rsidRDefault="00CD65C2">
      <w:pPr>
        <w:pStyle w:val="SemEspaamento"/>
      </w:pPr>
    </w:p>
    <w:p w14:paraId="2EE1538D" w14:textId="77777777" w:rsidR="00CD65C2" w:rsidRDefault="00CD65C2">
      <w:pPr>
        <w:pStyle w:val="SemEspaamento"/>
      </w:pPr>
    </w:p>
    <w:p w14:paraId="154F2390" w14:textId="77777777" w:rsidR="00CD65C2" w:rsidRDefault="00CD65C2">
      <w:pPr>
        <w:pStyle w:val="SemEspaamento"/>
      </w:pPr>
    </w:p>
    <w:p w14:paraId="18140EE7" w14:textId="77777777" w:rsidR="00CD65C2" w:rsidRDefault="00CD65C2">
      <w:pPr>
        <w:pStyle w:val="SemEspaamento"/>
      </w:pPr>
    </w:p>
    <w:p w14:paraId="548C6140" w14:textId="77777777" w:rsidR="00CD65C2" w:rsidRDefault="00CD65C2">
      <w:pPr>
        <w:pStyle w:val="SemEspaamento"/>
      </w:pPr>
    </w:p>
    <w:p w14:paraId="287BA9F8" w14:textId="77777777" w:rsidR="00CD65C2" w:rsidRDefault="00CD65C2">
      <w:pPr>
        <w:pStyle w:val="SemEspaamento"/>
      </w:pPr>
    </w:p>
    <w:p w14:paraId="2B346124" w14:textId="77777777" w:rsidR="00CD65C2" w:rsidRDefault="00CD65C2">
      <w:pPr>
        <w:pStyle w:val="SemEspaamento"/>
      </w:pPr>
    </w:p>
    <w:p w14:paraId="137F77F3" w14:textId="77777777" w:rsidR="00CD65C2" w:rsidRDefault="00CD65C2">
      <w:pPr>
        <w:pStyle w:val="SemEspaamento"/>
      </w:pPr>
    </w:p>
    <w:p w14:paraId="1C295EE6" w14:textId="77777777" w:rsidR="00CD65C2" w:rsidRDefault="00CD65C2">
      <w:pPr>
        <w:pStyle w:val="SemEspaamento"/>
      </w:pPr>
    </w:p>
    <w:p w14:paraId="7A2A6B2D" w14:textId="77777777" w:rsidR="00CD65C2" w:rsidRDefault="00CD65C2">
      <w:pPr>
        <w:pStyle w:val="SemEspaamento"/>
      </w:pPr>
    </w:p>
    <w:p w14:paraId="485EA471" w14:textId="77777777" w:rsidR="00CD65C2" w:rsidRDefault="00CD65C2">
      <w:pPr>
        <w:pStyle w:val="SemEspaamento"/>
      </w:pPr>
    </w:p>
    <w:p w14:paraId="71D77012" w14:textId="77777777" w:rsidR="00CD65C2" w:rsidRDefault="00FA41FC">
      <w:pPr>
        <w:rPr>
          <w:lang w:eastAsia="pt-BR"/>
        </w:rPr>
      </w:pPr>
      <w:r>
        <w:rPr>
          <w:noProof/>
          <w:lang w:eastAsia="pt-BR"/>
        </w:rPr>
        <w:drawing>
          <wp:anchor distT="0" distB="0" distL="114300" distR="114300" simplePos="0" relativeHeight="252043264" behindDoc="1" locked="0" layoutInCell="1" allowOverlap="1">
            <wp:simplePos x="0" y="0"/>
            <wp:positionH relativeFrom="column">
              <wp:posOffset>-2394585</wp:posOffset>
            </wp:positionH>
            <wp:positionV relativeFrom="paragraph">
              <wp:posOffset>-903605</wp:posOffset>
            </wp:positionV>
            <wp:extent cx="10639425" cy="7092950"/>
            <wp:effectExtent l="0" t="0" r="9525" b="0"/>
            <wp:wrapNone/>
            <wp:docPr id="739657979" name="Imagem 739657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657979" name="Imagem 739657979"/>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639425" cy="7092950"/>
                    </a:xfrm>
                    <a:prstGeom prst="rect">
                      <a:avLst/>
                    </a:prstGeom>
                    <a:noFill/>
                    <a:ln>
                      <a:noFill/>
                    </a:ln>
                  </pic:spPr>
                </pic:pic>
              </a:graphicData>
            </a:graphic>
          </wp:anchor>
        </w:drawing>
      </w:r>
    </w:p>
    <w:p w14:paraId="70F34764" w14:textId="77777777" w:rsidR="00CD65C2" w:rsidRDefault="00CD65C2">
      <w:pPr>
        <w:rPr>
          <w:lang w:eastAsia="pt-BR"/>
        </w:rPr>
      </w:pPr>
    </w:p>
    <w:p w14:paraId="4006B40D" w14:textId="77777777" w:rsidR="00CD65C2" w:rsidRDefault="00CD65C2">
      <w:pPr>
        <w:rPr>
          <w:lang w:eastAsia="pt-BR"/>
        </w:rPr>
      </w:pPr>
    </w:p>
    <w:p w14:paraId="5C361FC7" w14:textId="77777777" w:rsidR="00CD65C2" w:rsidRDefault="00CD65C2">
      <w:pPr>
        <w:rPr>
          <w:lang w:eastAsia="pt-BR"/>
        </w:rPr>
      </w:pPr>
    </w:p>
    <w:p w14:paraId="236DF2F5" w14:textId="77777777" w:rsidR="00CD65C2" w:rsidRDefault="00CD65C2">
      <w:pPr>
        <w:rPr>
          <w:lang w:eastAsia="pt-BR"/>
        </w:rPr>
      </w:pPr>
    </w:p>
    <w:p w14:paraId="4C0E566D" w14:textId="77777777" w:rsidR="00CD65C2" w:rsidRDefault="00CD65C2">
      <w:pPr>
        <w:rPr>
          <w:lang w:eastAsia="pt-BR"/>
        </w:rPr>
      </w:pPr>
    </w:p>
    <w:p w14:paraId="5D1680FE" w14:textId="77777777" w:rsidR="00CD65C2" w:rsidRDefault="00CD65C2">
      <w:pPr>
        <w:rPr>
          <w:lang w:eastAsia="pt-BR"/>
        </w:rPr>
      </w:pPr>
    </w:p>
    <w:p w14:paraId="435F719B" w14:textId="77777777" w:rsidR="00CD65C2" w:rsidRDefault="00CD65C2">
      <w:pPr>
        <w:rPr>
          <w:lang w:eastAsia="pt-BR"/>
        </w:rPr>
      </w:pPr>
    </w:p>
    <w:p w14:paraId="3F961F46" w14:textId="77777777" w:rsidR="00CD65C2" w:rsidRDefault="00CD65C2">
      <w:pPr>
        <w:rPr>
          <w:lang w:eastAsia="pt-BR"/>
        </w:rPr>
      </w:pPr>
    </w:p>
    <w:p w14:paraId="7D3AA3B5" w14:textId="77777777" w:rsidR="00CD65C2" w:rsidRDefault="00CD65C2">
      <w:pPr>
        <w:rPr>
          <w:lang w:eastAsia="pt-BR"/>
        </w:rPr>
      </w:pPr>
    </w:p>
    <w:p w14:paraId="4DA74A71" w14:textId="77777777" w:rsidR="00CD65C2" w:rsidRDefault="00CD65C2">
      <w:pPr>
        <w:rPr>
          <w:lang w:eastAsia="pt-BR"/>
        </w:rPr>
      </w:pPr>
    </w:p>
    <w:p w14:paraId="25DFBC46" w14:textId="77777777" w:rsidR="00CD65C2" w:rsidRDefault="00CD65C2">
      <w:pPr>
        <w:rPr>
          <w:lang w:eastAsia="pt-BR"/>
        </w:rPr>
      </w:pPr>
    </w:p>
    <w:p w14:paraId="1346A080" w14:textId="77777777" w:rsidR="00CD65C2" w:rsidRDefault="00CD65C2">
      <w:pPr>
        <w:rPr>
          <w:lang w:eastAsia="pt-BR"/>
        </w:rPr>
      </w:pPr>
    </w:p>
    <w:p w14:paraId="17880487" w14:textId="77777777" w:rsidR="00CD65C2" w:rsidRDefault="00CD65C2">
      <w:pPr>
        <w:rPr>
          <w:lang w:eastAsia="pt-BR"/>
        </w:rPr>
      </w:pPr>
    </w:p>
    <w:p w14:paraId="58226118" w14:textId="77777777" w:rsidR="00CD65C2" w:rsidRDefault="00CD65C2">
      <w:pPr>
        <w:rPr>
          <w:lang w:eastAsia="pt-BR"/>
        </w:rPr>
      </w:pPr>
    </w:p>
    <w:p w14:paraId="39F3BC72" w14:textId="77777777" w:rsidR="00CD65C2" w:rsidRDefault="00CD65C2">
      <w:pPr>
        <w:rPr>
          <w:lang w:eastAsia="pt-BR"/>
        </w:rPr>
      </w:pPr>
    </w:p>
    <w:p w14:paraId="56913C60" w14:textId="77777777" w:rsidR="00CD65C2" w:rsidRDefault="00CD65C2">
      <w:pPr>
        <w:rPr>
          <w:lang w:eastAsia="pt-BR"/>
        </w:rPr>
      </w:pPr>
    </w:p>
    <w:p w14:paraId="1CC61C59" w14:textId="77777777" w:rsidR="00CD65C2" w:rsidRDefault="00CD65C2">
      <w:pPr>
        <w:rPr>
          <w:lang w:eastAsia="pt-BR"/>
        </w:rPr>
      </w:pPr>
    </w:p>
    <w:p w14:paraId="773A4444" w14:textId="77777777" w:rsidR="00CD65C2" w:rsidRDefault="00CD65C2">
      <w:pPr>
        <w:rPr>
          <w:lang w:eastAsia="pt-BR"/>
        </w:rPr>
      </w:pPr>
    </w:p>
    <w:p w14:paraId="1159DEEA" w14:textId="77777777" w:rsidR="00CD65C2" w:rsidRDefault="00CD65C2">
      <w:pPr>
        <w:rPr>
          <w:lang w:eastAsia="pt-BR"/>
        </w:rPr>
      </w:pPr>
    </w:p>
    <w:p w14:paraId="3FC97460" w14:textId="77777777" w:rsidR="00CD65C2" w:rsidRDefault="00CD65C2">
      <w:pPr>
        <w:rPr>
          <w:lang w:eastAsia="pt-BR"/>
        </w:rPr>
      </w:pPr>
    </w:p>
    <w:p w14:paraId="2E8257A6" w14:textId="77777777" w:rsidR="00CD65C2" w:rsidRDefault="00CD65C2"/>
    <w:p w14:paraId="59694DCD" w14:textId="77777777" w:rsidR="00CD65C2" w:rsidRDefault="00CD65C2"/>
    <w:p w14:paraId="37DA8ACA" w14:textId="77777777" w:rsidR="00CD65C2" w:rsidRDefault="00CD65C2"/>
    <w:p w14:paraId="560B2EA3" w14:textId="77777777" w:rsidR="00CD65C2" w:rsidRDefault="00FA41FC">
      <w:pPr>
        <w:pStyle w:val="Ttulo1"/>
        <w:jc w:val="center"/>
        <w:rPr>
          <w:rFonts w:hint="eastAsia"/>
        </w:rPr>
      </w:pPr>
      <w:bookmarkStart w:id="155" w:name="_Toc165537303"/>
      <w:r>
        <w:t>Infecção do Trato Urinário</w:t>
      </w:r>
      <w:bookmarkEnd w:id="155"/>
    </w:p>
    <w:p w14:paraId="06091975" w14:textId="77777777" w:rsidR="00CD65C2" w:rsidRDefault="00CD65C2">
      <w:pPr>
        <w:pStyle w:val="SemEspaamento"/>
      </w:pPr>
    </w:p>
    <w:p w14:paraId="262242BF" w14:textId="77777777" w:rsidR="00CD65C2" w:rsidRDefault="00CD65C2">
      <w:pPr>
        <w:pStyle w:val="SemEspaamento"/>
      </w:pPr>
    </w:p>
    <w:p w14:paraId="0B67576E" w14:textId="77777777" w:rsidR="00CD65C2" w:rsidRDefault="00CD65C2">
      <w:pPr>
        <w:pStyle w:val="SemEspaamento"/>
      </w:pPr>
    </w:p>
    <w:p w14:paraId="1691D9BA" w14:textId="77777777" w:rsidR="00CD65C2" w:rsidRDefault="00CD65C2">
      <w:pPr>
        <w:pStyle w:val="SemEspaamento"/>
      </w:pPr>
    </w:p>
    <w:p w14:paraId="745A61F9" w14:textId="77777777" w:rsidR="00CD65C2" w:rsidRDefault="00FA41FC">
      <w:pPr>
        <w:pStyle w:val="Ttulo1"/>
        <w:jc w:val="center"/>
        <w:rPr>
          <w:rFonts w:hint="eastAsia"/>
        </w:rPr>
      </w:pPr>
      <w:bookmarkStart w:id="156" w:name="_Toc165537304"/>
      <w:r>
        <w:rPr>
          <w:szCs w:val="23"/>
        </w:rPr>
        <w:t>D-manose</w:t>
      </w:r>
      <w:bookmarkEnd w:id="156"/>
    </w:p>
    <w:p w14:paraId="4A6D9082" w14:textId="77777777" w:rsidR="00CD65C2" w:rsidRPr="00D1428E" w:rsidRDefault="00FA41FC">
      <w:pPr>
        <w:pStyle w:val="Corpo"/>
        <w:spacing w:after="120"/>
        <w:jc w:val="center"/>
        <w:rPr>
          <w:rFonts w:hint="eastAsia"/>
          <w:color w:val="0070C0"/>
          <w:sz w:val="24"/>
        </w:rPr>
      </w:pPr>
      <w:r w:rsidRPr="00D1428E">
        <w:rPr>
          <w:b/>
          <w:color w:val="0070C0"/>
          <w:sz w:val="40"/>
          <w:szCs w:val="22"/>
        </w:rPr>
        <w:t>Eficazes na Candidíase Vulvovaginal</w:t>
      </w:r>
    </w:p>
    <w:p w14:paraId="684D993A" w14:textId="77777777" w:rsidR="00CD65C2" w:rsidRDefault="00CD65C2">
      <w:pPr>
        <w:pStyle w:val="Corpo"/>
        <w:spacing w:after="120"/>
        <w:rPr>
          <w:rFonts w:hint="eastAsia"/>
          <w:color w:val="404040" w:themeColor="text1" w:themeTint="BF"/>
          <w:sz w:val="24"/>
        </w:rPr>
      </w:pPr>
    </w:p>
    <w:p w14:paraId="03FC2349" w14:textId="77777777" w:rsidR="00CD65C2" w:rsidRDefault="00CD65C2">
      <w:pPr>
        <w:pStyle w:val="Corpo"/>
        <w:spacing w:after="120"/>
        <w:rPr>
          <w:rFonts w:hint="eastAsia"/>
          <w:color w:val="404040" w:themeColor="text1" w:themeTint="BF"/>
          <w:sz w:val="24"/>
        </w:rPr>
      </w:pPr>
    </w:p>
    <w:p w14:paraId="7AE2597E" w14:textId="77777777" w:rsidR="00CD65C2" w:rsidRDefault="00FA41FC">
      <w:pPr>
        <w:spacing w:after="20" w:line="276" w:lineRule="auto"/>
        <w:jc w:val="both"/>
        <w:rPr>
          <w:rFonts w:ascii="Swis721 Th BT" w:eastAsia="MS Mincho" w:hAnsi="Swis721 Th BT" w:cs="Times New Roman" w:hint="eastAsia"/>
          <w:color w:val="404040"/>
          <w:sz w:val="24"/>
          <w:szCs w:val="24"/>
        </w:rPr>
      </w:pPr>
      <w:r>
        <w:rPr>
          <w:rFonts w:ascii="Swis721 Th BT" w:eastAsia="MS Mincho" w:hAnsi="Swis721 Th BT" w:cs="Times New Roman"/>
          <w:color w:val="404040"/>
          <w:sz w:val="23"/>
          <w:szCs w:val="24"/>
        </w:rPr>
        <w:t xml:space="preserve">Pesquisadores realizaram uma revisão sistemática para avaliar o efeito da D-manose na prevenção de ITUs recorrentes </w:t>
      </w:r>
      <w:r>
        <w:rPr>
          <w:rFonts w:ascii="Swis721 Th BT" w:eastAsia="MS Mincho" w:hAnsi="Swis721 Th BT" w:cs="Times New Roman"/>
          <w:color w:val="404040"/>
          <w:sz w:val="23"/>
          <w:szCs w:val="24"/>
        </w:rPr>
        <w:fldChar w:fldCharType="begin"/>
      </w:r>
      <w:r>
        <w:rPr>
          <w:rFonts w:ascii="Swis721 Th BT" w:eastAsia="MS Mincho" w:hAnsi="Swis721 Th BT" w:cs="Times New Roman"/>
          <w:color w:val="404040"/>
          <w:sz w:val="23"/>
          <w:szCs w:val="24"/>
        </w:rPr>
        <w:instrText xml:space="preserve"> ADDIN EN.CITE &lt;EndNote&gt;&lt;Cite&gt;&lt;Author&gt;Kyriakides&lt;/Author&gt;&lt;Year&gt;2021&lt;/Year&gt;&lt;IDText&gt;Role of D-Mannose in the Prevention of Recurrent Urinary Tract Infections: Evidence from a Systematic Review of the Literature&lt;/IDText&gt;&lt;DisplayText&gt;(KYRIAKIDES; JONES; SOMANI, 2021)&lt;/DisplayText&gt;&lt;record&gt;&lt;dates&gt;&lt;pub-dates&gt;&lt;date&gt;Sep&lt;/date&gt;&lt;/pub-dates&gt;&lt;year&gt;2021&lt;/year&gt;&lt;/dates&gt;&lt;keywords&gt;&lt;keyword&gt;Antimicrobial resistance&lt;/keyword&gt;&lt;keyword&gt;D-Mannose&lt;/keyword&gt;&lt;keyword&gt;Recurrent&lt;/keyword&gt;&lt;keyword&gt;Sugar&lt;/keyword&gt;&lt;keyword&gt;Urinary tract infection&lt;/keyword&gt;&lt;/keywords&gt;&lt;isbn&gt;2405-4569&lt;/isbn&gt;&lt;titles&gt;&lt;title&gt;Role of D-Mannose in the Prevention of Recurrent Urinary Tract Infections: Evidence from a Systematic Review of the Literature&lt;/title&gt;&lt;secondary-title&gt;Eur Urol Focus&lt;/secondary-title&gt;&lt;/titles&gt;&lt;pages&gt;1166-1169&lt;/pages&gt;&lt;number&gt;5&lt;/number&gt;&lt;contributors&gt;&lt;authors&gt;&lt;author&gt;Kyriakides, R.&lt;/author&gt;&lt;author&gt;Jones, P.&lt;/author&gt;&lt;author&gt;Somani, B. K.&lt;/author&gt;&lt;/authors&gt;&lt;/contributors&gt;&lt;edition&gt;20200922&lt;/edition&gt;&lt;language&gt;eng&lt;/language&gt;&lt;added-date format="utc"&gt;1642427779&lt;/added-date&gt;&lt;ref-type name="Journal Article"&gt;17&lt;/ref-type&gt;&lt;auth-address&gt;Department of Urology, University Hospital Southampton NHS Trust, Southampton, UK.&amp;#xD;Department of Urology, University Hospital Southampton NHS Trust, Southampton, UK. Electronic address: b.k.somani@soton.ac.uk.&lt;/auth-address&gt;&lt;remote-database-provider&gt;NLM&lt;/remote-database-provider&gt;&lt;rec-number&gt;2146&lt;/rec-number&gt;&lt;last-updated-date format="utc"&gt;1642427779&lt;/last-updated-date&gt;&lt;accession-num&gt;32972899&lt;/accession-num&gt;&lt;electronic-resource-num&gt;10.1016/j.euf.2020.09.004&lt;/electronic-resource-num&gt;&lt;volume&gt;7&lt;/volume&gt;&lt;/record&gt;&lt;/Cite&gt;&lt;/EndNote&gt;</w:instrText>
      </w:r>
      <w:r>
        <w:rPr>
          <w:rFonts w:ascii="Swis721 Th BT" w:eastAsia="MS Mincho" w:hAnsi="Swis721 Th BT" w:cs="Times New Roman"/>
          <w:color w:val="404040"/>
          <w:sz w:val="23"/>
          <w:szCs w:val="24"/>
        </w:rPr>
        <w:fldChar w:fldCharType="separate"/>
      </w:r>
      <w:r>
        <w:rPr>
          <w:rFonts w:ascii="Swis721 Th BT" w:eastAsia="MS Mincho" w:hAnsi="Swis721 Th BT" w:cs="Times New Roman"/>
          <w:color w:val="404040"/>
          <w:sz w:val="23"/>
          <w:szCs w:val="24"/>
        </w:rPr>
        <w:t>(KYRIAKIDES; JONES; SOMANI, 2021)</w:t>
      </w:r>
      <w:r>
        <w:rPr>
          <w:rFonts w:ascii="Swis721 Th BT" w:eastAsia="MS Mincho" w:hAnsi="Swis721 Th BT" w:cs="Times New Roman"/>
          <w:color w:val="404040"/>
          <w:sz w:val="23"/>
          <w:szCs w:val="24"/>
        </w:rPr>
        <w:fldChar w:fldCharType="end"/>
      </w:r>
      <w:r>
        <w:rPr>
          <w:rFonts w:ascii="Swis721 Th BT" w:eastAsia="MS Mincho" w:hAnsi="Swis721 Th BT" w:cs="Times New Roman"/>
          <w:color w:val="404040"/>
          <w:sz w:val="23"/>
          <w:szCs w:val="24"/>
        </w:rPr>
        <w:t>. Para isso, foram selecionados oito estudos, dos quais seis eram estudos clínicos e incluíam 695 indivíduos.</w:t>
      </w:r>
      <w:r>
        <w:rPr>
          <w:rFonts w:ascii="Swis721 Th BT" w:eastAsia="MS Mincho" w:hAnsi="Swis721 Th BT" w:cs="Times New Roman"/>
          <w:bCs/>
          <w:color w:val="404040"/>
          <w:sz w:val="24"/>
          <w:szCs w:val="24"/>
        </w:rPr>
        <w:t xml:space="preserve"> Trê</w:t>
      </w:r>
      <w:r>
        <w:rPr>
          <w:rFonts w:ascii="Swis721 Th BT" w:eastAsia="MS Mincho" w:hAnsi="Swis721 Th BT" w:cs="Times New Roman" w:hint="eastAsia"/>
          <w:bCs/>
          <w:color w:val="404040"/>
          <w:sz w:val="24"/>
          <w:szCs w:val="24"/>
        </w:rPr>
        <w:t>s</w:t>
      </w:r>
      <w:r>
        <w:rPr>
          <w:rFonts w:ascii="Swis721 Th BT" w:eastAsia="MS Mincho" w:hAnsi="Swis721 Th BT" w:cs="Times New Roman"/>
          <w:bCs/>
          <w:color w:val="404040"/>
          <w:sz w:val="24"/>
          <w:szCs w:val="24"/>
        </w:rPr>
        <w:t xml:space="preserve"> estudos relataram que o tempo de recorrência das ITUs foi maior com D-manose. Essa substância reduziu significativamente as ITUs recorrentes em usuários ou não de cateter e foi eficaz na redução da incidência de ITUs recorrentes e no prolongamento dos períodos livres de ITU, o que consequentemente aumentou a qualidade de vida. </w:t>
      </w:r>
      <w:r>
        <w:rPr>
          <w:rFonts w:ascii="Swis721 Th BT" w:eastAsia="MS Mincho" w:hAnsi="Swis721 Th BT" w:cs="Times New Roman"/>
          <w:color w:val="404040"/>
          <w:sz w:val="24"/>
          <w:szCs w:val="24"/>
        </w:rPr>
        <w:t>A D-manose pode ser usada como tratamento complementar ou alternativo para infecções recorrentes do trato urinário.</w:t>
      </w:r>
    </w:p>
    <w:p w14:paraId="58903CE5" w14:textId="77777777" w:rsidR="00CD65C2" w:rsidRDefault="00CD65C2">
      <w:pPr>
        <w:spacing w:after="20" w:line="276" w:lineRule="auto"/>
        <w:jc w:val="both"/>
        <w:rPr>
          <w:rFonts w:ascii="Swis721 Th BT" w:eastAsia="MS Mincho" w:hAnsi="Swis721 Th BT" w:cs="Times New Roman" w:hint="eastAsia"/>
          <w:color w:val="404040"/>
          <w:sz w:val="24"/>
          <w:szCs w:val="24"/>
        </w:rPr>
      </w:pPr>
    </w:p>
    <w:p w14:paraId="307CFC6D" w14:textId="77777777" w:rsidR="00CD65C2" w:rsidRPr="00D1428E" w:rsidRDefault="00FA41FC">
      <w:pPr>
        <w:spacing w:after="0"/>
        <w:jc w:val="both"/>
        <w:rPr>
          <w:rFonts w:ascii="Swis721 Th BT" w:eastAsia="Calibri" w:hAnsi="Swis721 Th BT" w:cs="Times New Roman"/>
          <w:b/>
          <w:bCs/>
          <w:sz w:val="24"/>
          <w:szCs w:val="24"/>
        </w:rPr>
      </w:pPr>
      <w:r w:rsidRPr="00D1428E">
        <w:rPr>
          <w:rFonts w:ascii="Swis721 Th BT" w:eastAsia="Calibri" w:hAnsi="Swis721 Th BT" w:cs="Times New Roman"/>
          <w:b/>
          <w:bCs/>
          <w:sz w:val="24"/>
          <w:szCs w:val="24"/>
        </w:rPr>
        <w:t>Outro Estudo Comprovou:</w:t>
      </w:r>
      <w:r w:rsidRPr="00D1428E">
        <w:rPr>
          <w:rFonts w:ascii="Swis721 Th BT" w:eastAsia="Calibri" w:hAnsi="Swis721 Th BT" w:cs="Times New Roman"/>
          <w:b/>
          <w:bCs/>
          <w:i/>
          <w:iCs/>
          <w:sz w:val="24"/>
          <w:szCs w:val="24"/>
        </w:rPr>
        <w:t xml:space="preserve"> </w:t>
      </w:r>
      <w:r w:rsidRPr="00D1428E">
        <w:rPr>
          <w:rFonts w:ascii="Swis721 Th BT" w:eastAsia="Calibri" w:hAnsi="Swis721 Th BT" w:cs="Times New Roman"/>
          <w:b/>
          <w:bCs/>
          <w:sz w:val="24"/>
          <w:szCs w:val="24"/>
        </w:rPr>
        <w:t xml:space="preserve"> D-Manose Apresenta Eficácia Similar a Nitrofurantoína nas ITUs</w:t>
      </w:r>
    </w:p>
    <w:p w14:paraId="45ECB644" w14:textId="77777777" w:rsidR="00CD65C2" w:rsidRDefault="00CD65C2">
      <w:pPr>
        <w:spacing w:after="20" w:line="276" w:lineRule="auto"/>
        <w:jc w:val="both"/>
        <w:rPr>
          <w:rFonts w:ascii="Swis721 Th BT" w:eastAsia="MS Mincho" w:hAnsi="Swis721 Th BT" w:cs="Times New Roman" w:hint="eastAsia"/>
          <w:color w:val="404040"/>
          <w:sz w:val="16"/>
          <w:szCs w:val="16"/>
        </w:rPr>
      </w:pPr>
    </w:p>
    <w:p w14:paraId="25193249" w14:textId="4FFB4028" w:rsidR="00CD65C2" w:rsidRDefault="00FA41FC">
      <w:pPr>
        <w:spacing w:after="20" w:line="276" w:lineRule="auto"/>
        <w:jc w:val="both"/>
        <w:rPr>
          <w:rFonts w:ascii="Swis721 Th BT" w:eastAsia="MS Mincho" w:hAnsi="Swis721 Th BT" w:cs="Times New Roman" w:hint="eastAsia"/>
          <w:color w:val="404040"/>
          <w:sz w:val="23"/>
          <w:szCs w:val="24"/>
        </w:rPr>
      </w:pPr>
      <w:r>
        <w:rPr>
          <w:rFonts w:ascii="Swis721 Th BT" w:eastAsia="MS Mincho" w:hAnsi="Swis721 Th BT" w:cs="Times New Roman"/>
          <w:color w:val="404040"/>
          <w:sz w:val="23"/>
          <w:szCs w:val="24"/>
        </w:rPr>
        <w:t xml:space="preserve">Este estudo, publicado no periódico </w:t>
      </w:r>
      <w:r>
        <w:rPr>
          <w:rFonts w:ascii="Swis721 Th BT" w:eastAsia="MS Mincho" w:hAnsi="Swis721 Th BT" w:cs="Times New Roman"/>
          <w:i/>
          <w:iCs/>
          <w:color w:val="404040"/>
          <w:sz w:val="23"/>
          <w:szCs w:val="24"/>
        </w:rPr>
        <w:t>World Journal of Urology,</w:t>
      </w:r>
      <w:r>
        <w:rPr>
          <w:rFonts w:ascii="Swis721 Th BT" w:eastAsia="MS Mincho" w:hAnsi="Swis721 Th BT" w:cs="Times New Roman"/>
          <w:color w:val="404040"/>
          <w:sz w:val="23"/>
          <w:szCs w:val="24"/>
        </w:rPr>
        <w:t xml:space="preserve"> teve como objetivo avaliar se o uso da D-manose seria efetivo na prevenção de ITUs recorrente. Para isso, 98 mulheres que apresentavam histórico de ITUs recorrente participaram desse estudo clínico. </w:t>
      </w:r>
    </w:p>
    <w:p w14:paraId="52AADD5B" w14:textId="77777777" w:rsidR="00CD65C2" w:rsidRDefault="00FA41FC">
      <w:pPr>
        <w:spacing w:after="20" w:line="276" w:lineRule="auto"/>
        <w:jc w:val="both"/>
        <w:rPr>
          <w:rFonts w:ascii="Swis721 Th BT" w:eastAsia="MS Mincho" w:hAnsi="Swis721 Th BT" w:cs="Times New Roman" w:hint="eastAsia"/>
          <w:color w:val="404040"/>
          <w:sz w:val="23"/>
          <w:szCs w:val="24"/>
        </w:rPr>
      </w:pPr>
      <w:r>
        <w:rPr>
          <w:noProof/>
          <w:lang w:eastAsia="pt-BR"/>
        </w:rPr>
        <mc:AlternateContent>
          <mc:Choice Requires="wps">
            <w:drawing>
              <wp:anchor distT="0" distB="0" distL="114300" distR="114300" simplePos="0" relativeHeight="251960320" behindDoc="0" locked="0" layoutInCell="1" allowOverlap="1">
                <wp:simplePos x="0" y="0"/>
                <wp:positionH relativeFrom="margin">
                  <wp:posOffset>-3810</wp:posOffset>
                </wp:positionH>
                <wp:positionV relativeFrom="paragraph">
                  <wp:posOffset>96520</wp:posOffset>
                </wp:positionV>
                <wp:extent cx="5724525" cy="571500"/>
                <wp:effectExtent l="0" t="0" r="28575" b="19050"/>
                <wp:wrapNone/>
                <wp:docPr id="739657875" name="Caixa de texto 7396578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71500"/>
                        </a:xfrm>
                        <a:prstGeom prst="rect">
                          <a:avLst/>
                        </a:prstGeom>
                        <a:solidFill>
                          <a:schemeClr val="bg1">
                            <a:lumMod val="100000"/>
                            <a:lumOff val="0"/>
                          </a:schemeClr>
                        </a:solidFill>
                        <a:ln w="9525">
                          <a:solidFill>
                            <a:srgbClr val="0070C0"/>
                          </a:solidFill>
                          <a:miter lim="800000"/>
                        </a:ln>
                      </wps:spPr>
                      <wps:txbx>
                        <w:txbxContent>
                          <w:p w14:paraId="45BBB34C" w14:textId="77777777" w:rsidR="00FA41FC" w:rsidRDefault="00FA41FC">
                            <w:pPr>
                              <w:jc w:val="center"/>
                              <w:rPr>
                                <w:rFonts w:ascii="Swis721 Th BT" w:hAnsi="Swis721 Th BT"/>
                                <w:bCs/>
                                <w:sz w:val="23"/>
                                <w:szCs w:val="23"/>
                              </w:rPr>
                            </w:pPr>
                            <w:r>
                              <w:rPr>
                                <w:rFonts w:ascii="Swis721 Th BT" w:hAnsi="Swis721 Th BT"/>
                                <w:bCs/>
                                <w:sz w:val="23"/>
                                <w:szCs w:val="23"/>
                              </w:rPr>
                              <w:t>Elas foram alocadas em três grupos para receberem a seguinte posologia: grupo 1, D-manose 2 g ao dia por seis meses; grupo 2, nitrofurantoína; grupo 3, controle.</w:t>
                            </w:r>
                          </w:p>
                          <w:p w14:paraId="4CDA4B44"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875" o:spid="_x0000_s1228" type="#_x0000_t202" style="position:absolute;left:0;text-align:left;margin-left:-.3pt;margin-top:7.6pt;width:450.75pt;height:45pt;z-index:2519603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" fillcolor="white [3212]" strokecolor="#0070c0">
                <v:textbox>
                  <w:txbxContent>
                    <w:p w14:paraId="45BBB34C" w14:textId="77777777" w:rsidR="00FA41FC" w:rsidRDefault="00FA41FC">
                      <w:pPr>
                        <w:jc w:val="center"/>
                        <w:rPr>
                          <w:rFonts w:ascii="Swis721 Th BT" w:hAnsi="Swis721 Th BT"/>
                          <w:bCs/>
                          <w:sz w:val="23"/>
                          <w:szCs w:val="23"/>
                        </w:rPr>
                      </w:pPr>
                      <w:r>
                        <w:rPr>
                          <w:rFonts w:ascii="Swis721 Th BT" w:hAnsi="Swis721 Th BT"/>
                          <w:bCs/>
                          <w:sz w:val="23"/>
                          <w:szCs w:val="23"/>
                        </w:rPr>
                        <w:t>Elas foram alocadas em três grupos para receberem a seguinte posologia: grupo 1, D-manose 2 g ao dia por seis meses; grupo 2, nitrofurantoína; grupo 3, controle.</w:t>
                      </w:r>
                    </w:p>
                    <w:p w14:paraId="4CDA4B44" w14:textId="77777777" w:rsidR="00FA41FC" w:rsidRDefault="00FA41FC">
                      <w:pPr>
                        <w:jc w:val="center"/>
                        <w:rPr>
                          <w:rFonts w:ascii="Swis721 Th BT" w:hAnsi="Swis721 Th BT"/>
                          <w:sz w:val="23"/>
                          <w:szCs w:val="23"/>
                        </w:rPr>
                      </w:pPr>
                    </w:p>
                  </w:txbxContent>
                </v:textbox>
                <w10:wrap anchorx="margin"/>
              </v:shape>
            </w:pict>
          </mc:Fallback>
        </mc:AlternateContent>
      </w:r>
    </w:p>
    <w:p w14:paraId="6D8655AE" w14:textId="77777777" w:rsidR="00CD65C2" w:rsidRDefault="00FA41FC">
      <w:pPr>
        <w:pStyle w:val="Corpo"/>
        <w:rPr>
          <w:rFonts w:hint="eastAsia"/>
          <w:color w:val="404040" w:themeColor="text1" w:themeTint="BF"/>
          <w:sz w:val="24"/>
        </w:rPr>
      </w:pPr>
      <w:r>
        <w:rPr>
          <w:color w:val="404040" w:themeColor="text1" w:themeTint="BF"/>
          <w:sz w:val="24"/>
        </w:rPr>
        <w:br/>
      </w:r>
    </w:p>
    <w:p w14:paraId="5591D637" w14:textId="77777777" w:rsidR="00CD65C2" w:rsidRDefault="00CD65C2">
      <w:pPr>
        <w:pStyle w:val="Corpo"/>
        <w:rPr>
          <w:rFonts w:hint="eastAsia"/>
          <w:color w:val="404040" w:themeColor="text1" w:themeTint="BF"/>
        </w:rPr>
      </w:pPr>
    </w:p>
    <w:p w14:paraId="56D3EC4C"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1B1D042A"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 e Conclusão:</w:t>
      </w:r>
    </w:p>
    <w:p w14:paraId="43358FF5" w14:textId="77777777" w:rsidR="00CD65C2" w:rsidRDefault="00CD65C2">
      <w:pPr>
        <w:pStyle w:val="Corpo"/>
        <w:rPr>
          <w:rFonts w:hint="eastAsia"/>
          <w:color w:val="404040" w:themeColor="text1" w:themeTint="BF"/>
          <w:sz w:val="16"/>
          <w:szCs w:val="16"/>
        </w:rPr>
      </w:pPr>
    </w:p>
    <w:p w14:paraId="78E07587" w14:textId="77777777" w:rsidR="00CD65C2" w:rsidRDefault="00FA41FC" w:rsidP="00D1428E">
      <w:pPr>
        <w:pStyle w:val="Corpo"/>
        <w:numPr>
          <w:ilvl w:val="0"/>
          <w:numId w:val="67"/>
        </w:numPr>
        <w:spacing w:after="120"/>
        <w:rPr>
          <w:rFonts w:hint="eastAsia"/>
          <w:iCs/>
          <w:color w:val="404040" w:themeColor="text1" w:themeTint="BF"/>
          <w:sz w:val="24"/>
        </w:rPr>
      </w:pPr>
      <w:r>
        <w:rPr>
          <w:bCs/>
          <w:color w:val="404040" w:themeColor="text1" w:themeTint="BF"/>
          <w:sz w:val="24"/>
        </w:rPr>
        <w:t xml:space="preserve">As pacientes do grupo 1 e 2 apresentaram baixo risco de desenvolver episódios de ITUs recorrente (p &lt; 0,0001). O grupo 1 apresentou menos efeitos adversos quando comparado aos pacientes do grupo 2 (p &lt; 0,0001). </w:t>
      </w:r>
      <w:r>
        <w:rPr>
          <w:iCs/>
          <w:color w:val="404040" w:themeColor="text1" w:themeTint="BF"/>
          <w:sz w:val="24"/>
        </w:rPr>
        <w:t>A D-manose apresentou efeitos significativos na diminuição do risco de se desenvolver ITUs recorrentes e resultados semelhantes ao grupo 2, porém com menos efeitos adversos.</w:t>
      </w:r>
    </w:p>
    <w:p w14:paraId="5609BFD7" w14:textId="77777777" w:rsidR="00CD65C2" w:rsidRDefault="00CD65C2">
      <w:pPr>
        <w:pStyle w:val="Corpo"/>
        <w:spacing w:after="120"/>
        <w:rPr>
          <w:rFonts w:hint="eastAsia"/>
          <w:iCs/>
          <w:color w:val="404040" w:themeColor="text1" w:themeTint="BF"/>
          <w:sz w:val="24"/>
        </w:rPr>
      </w:pPr>
    </w:p>
    <w:p w14:paraId="4F11886D" w14:textId="77777777" w:rsidR="00CD65C2" w:rsidRDefault="00CD65C2">
      <w:pPr>
        <w:pStyle w:val="Corpo"/>
        <w:spacing w:after="120"/>
        <w:rPr>
          <w:rFonts w:hint="eastAsia"/>
          <w:iCs/>
          <w:color w:val="404040" w:themeColor="text1" w:themeTint="BF"/>
          <w:sz w:val="24"/>
        </w:rPr>
      </w:pPr>
    </w:p>
    <w:p w14:paraId="6EAB97F5" w14:textId="77777777" w:rsidR="00CD65C2" w:rsidRDefault="00CD65C2">
      <w:pPr>
        <w:pStyle w:val="Corpo"/>
        <w:spacing w:after="120"/>
        <w:ind w:left="786"/>
        <w:rPr>
          <w:rFonts w:hint="eastAsia"/>
          <w:color w:val="404040" w:themeColor="text1" w:themeTint="BF"/>
          <w:sz w:val="24"/>
        </w:rPr>
      </w:pPr>
    </w:p>
    <w:p w14:paraId="47F19474" w14:textId="77777777" w:rsidR="00CD65C2" w:rsidRDefault="00FA41FC">
      <w:pPr>
        <w:pStyle w:val="Ttulo1"/>
        <w:jc w:val="center"/>
        <w:rPr>
          <w:rFonts w:hint="eastAsia"/>
        </w:rPr>
      </w:pPr>
      <w:bookmarkStart w:id="157" w:name="_Toc165537305"/>
      <w:r>
        <w:t>Formulário</w:t>
      </w:r>
      <w:bookmarkEnd w:id="157"/>
    </w:p>
    <w:p w14:paraId="19D90920" w14:textId="77777777" w:rsidR="00CD65C2" w:rsidRDefault="00CD65C2">
      <w:pPr>
        <w:pStyle w:val="Corpo"/>
        <w:rPr>
          <w:rFonts w:hint="eastAsia"/>
          <w:b/>
          <w:i/>
          <w:color w:val="404040" w:themeColor="text1" w:themeTint="BF"/>
        </w:rPr>
      </w:pPr>
    </w:p>
    <w:p w14:paraId="363FC214" w14:textId="77777777" w:rsidR="00CD65C2" w:rsidRDefault="00CD65C2">
      <w:pPr>
        <w:pStyle w:val="Corpo"/>
        <w:rPr>
          <w:rFonts w:hint="eastAsia"/>
          <w:b/>
          <w:i/>
          <w:color w:val="404040" w:themeColor="text1" w:themeTint="BF"/>
        </w:rPr>
      </w:pPr>
    </w:p>
    <w:p w14:paraId="47054E9C" w14:textId="77777777" w:rsidR="00CD65C2" w:rsidRDefault="00FA41FC">
      <w:pPr>
        <w:pStyle w:val="Corpo"/>
        <w:rPr>
          <w:rFonts w:hint="eastAsia"/>
          <w:b/>
          <w:i/>
          <w:color w:val="404040" w:themeColor="text1" w:themeTint="BF"/>
          <w:sz w:val="10"/>
          <w:szCs w:val="10"/>
        </w:rPr>
      </w:pPr>
      <w:bookmarkStart w:id="158" w:name="_Hlk127519743"/>
      <w:r>
        <w:rPr>
          <w:b/>
          <w:i/>
          <w:color w:val="404040" w:themeColor="text1" w:themeTint="BF"/>
          <w:sz w:val="24"/>
        </w:rPr>
        <w:t>D-Manose Reduz o Quadro de Severidade e Frequência das ITUs</w:t>
      </w:r>
    </w:p>
    <w:bookmarkEnd w:id="158"/>
    <w:p w14:paraId="31A58C3E" w14:textId="77777777" w:rsidR="00CD65C2" w:rsidRDefault="00CD65C2">
      <w:pPr>
        <w:pStyle w:val="Corpo"/>
        <w:rPr>
          <w:rFonts w:hint="eastAsia"/>
          <w:b/>
          <w:i/>
          <w:color w:val="404040" w:themeColor="text1" w:themeTint="BF"/>
          <w:sz w:val="10"/>
          <w:szCs w:val="10"/>
        </w:rPr>
      </w:pPr>
    </w:p>
    <w:p w14:paraId="3701EAA2" w14:textId="77777777" w:rsidR="00CD65C2" w:rsidRDefault="00CD65C2">
      <w:pPr>
        <w:pStyle w:val="Corpo"/>
        <w:rPr>
          <w:rFonts w:hint="eastAsia"/>
          <w:b/>
          <w:i/>
          <w:color w:val="404040" w:themeColor="text1" w:themeTint="BF"/>
          <w:sz w:val="10"/>
          <w:szCs w:val="10"/>
        </w:rPr>
      </w:pPr>
    </w:p>
    <w:p w14:paraId="5F9326F6" w14:textId="77777777" w:rsidR="00CD65C2" w:rsidRDefault="00CD65C2">
      <w:pPr>
        <w:pStyle w:val="Corpo"/>
        <w:rPr>
          <w:rFonts w:hint="eastAsia"/>
          <w:b/>
          <w:i/>
          <w:color w:val="404040" w:themeColor="text1" w:themeTint="BF"/>
          <w:sz w:val="4"/>
          <w:szCs w:val="4"/>
        </w:rPr>
      </w:pPr>
    </w:p>
    <w:tbl>
      <w:tblPr>
        <w:tblStyle w:val="Tabelacomgrade"/>
        <w:tblpPr w:leftFromText="141" w:rightFromText="141" w:vertAnchor="text" w:tblpY="1"/>
        <w:tblOverlap w:val="never"/>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65B40A9D"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2B4A8A9A" w14:textId="77777777" w:rsidR="00CD65C2" w:rsidRDefault="00FA41FC">
            <w:pPr>
              <w:pStyle w:val="Corpo"/>
              <w:jc w:val="center"/>
              <w:rPr>
                <w:rFonts w:hint="eastAsia"/>
                <w:b/>
                <w:color w:val="FFFFFF" w:themeColor="background1"/>
                <w:szCs w:val="23"/>
              </w:rPr>
            </w:pPr>
            <w:r>
              <w:rPr>
                <w:b/>
                <w:color w:val="FFFFFF" w:themeColor="background1"/>
                <w:szCs w:val="23"/>
              </w:rPr>
              <w:t>Sachês de D-manose</w:t>
            </w:r>
          </w:p>
        </w:tc>
      </w:tr>
      <w:tr w:rsidR="00CD65C2" w14:paraId="1AD8CC3D"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7080C9D" w14:textId="77777777" w:rsidR="00CD65C2" w:rsidRDefault="00FA41FC">
            <w:pPr>
              <w:pStyle w:val="Corpo"/>
              <w:jc w:val="center"/>
              <w:rPr>
                <w:rFonts w:hint="eastAsia"/>
                <w:color w:val="404040" w:themeColor="text1" w:themeTint="BF"/>
              </w:rPr>
            </w:pPr>
            <w:r>
              <w:rPr>
                <w:color w:val="404040" w:themeColor="text1" w:themeTint="BF"/>
              </w:rPr>
              <w:t>D-Manose ...........................................2 g</w:t>
            </w:r>
          </w:p>
        </w:tc>
      </w:tr>
      <w:tr w:rsidR="00CD65C2" w14:paraId="06F50457"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A1FF48A" w14:textId="77777777" w:rsidR="00CD65C2" w:rsidRDefault="00FA41FC">
            <w:pPr>
              <w:pStyle w:val="Corpo"/>
              <w:jc w:val="center"/>
              <w:rPr>
                <w:rFonts w:hint="eastAsia"/>
                <w:iCs/>
                <w:color w:val="404040" w:themeColor="text1" w:themeTint="BF"/>
              </w:rPr>
            </w:pPr>
            <w:r>
              <w:rPr>
                <w:color w:val="404040" w:themeColor="text1" w:themeTint="BF"/>
              </w:rPr>
              <w:t>Excipiente q.s.p. ...........................1 Sachê</w:t>
            </w:r>
          </w:p>
        </w:tc>
      </w:tr>
    </w:tbl>
    <w:p w14:paraId="00B4258C" w14:textId="77777777" w:rsidR="00CD65C2" w:rsidRDefault="00FA41FC">
      <w:pPr>
        <w:pStyle w:val="Corpo"/>
        <w:ind w:right="4818"/>
        <w:jc w:val="center"/>
        <w:rPr>
          <w:rFonts w:hint="eastAsia"/>
          <w:color w:val="404040" w:themeColor="text1" w:themeTint="BF"/>
          <w:sz w:val="22"/>
          <w:szCs w:val="22"/>
        </w:rPr>
      </w:pPr>
      <w:r>
        <w:rPr>
          <w:color w:val="404040" w:themeColor="text1" w:themeTint="BF"/>
          <w:sz w:val="22"/>
          <w:szCs w:val="22"/>
        </w:rPr>
        <w:t>Administrar 1 sachê ao dia ou conforme a orientação médica.</w:t>
      </w:r>
    </w:p>
    <w:p w14:paraId="1A111838" w14:textId="77777777" w:rsidR="00CD65C2" w:rsidRDefault="00CD65C2">
      <w:pPr>
        <w:pStyle w:val="SemEspaamento"/>
      </w:pPr>
    </w:p>
    <w:p w14:paraId="1CDAE434" w14:textId="77777777" w:rsidR="00CD65C2" w:rsidRDefault="00CD65C2">
      <w:pPr>
        <w:pStyle w:val="SemEspaamento"/>
      </w:pPr>
    </w:p>
    <w:p w14:paraId="1471654A" w14:textId="77777777" w:rsidR="00CD65C2" w:rsidRDefault="00CD65C2">
      <w:pPr>
        <w:pStyle w:val="SemEspaamento"/>
      </w:pPr>
    </w:p>
    <w:p w14:paraId="5D47812A" w14:textId="77777777" w:rsidR="00CD65C2" w:rsidRDefault="00CD65C2">
      <w:pPr>
        <w:pStyle w:val="SemEspaamento"/>
      </w:pPr>
    </w:p>
    <w:p w14:paraId="1B331013" w14:textId="77777777" w:rsidR="00CD65C2" w:rsidRDefault="00CD65C2">
      <w:pPr>
        <w:pStyle w:val="SemEspaamento"/>
      </w:pPr>
    </w:p>
    <w:p w14:paraId="10FC629A" w14:textId="77777777" w:rsidR="00CD65C2" w:rsidRDefault="00CD65C2">
      <w:pPr>
        <w:pStyle w:val="SemEspaamento"/>
      </w:pPr>
    </w:p>
    <w:p w14:paraId="3D5F5C2D" w14:textId="77777777" w:rsidR="00CD65C2" w:rsidRDefault="00CD65C2">
      <w:pPr>
        <w:pStyle w:val="SemEspaamento"/>
      </w:pPr>
    </w:p>
    <w:p w14:paraId="0E6006F6" w14:textId="77777777" w:rsidR="00CD65C2" w:rsidRDefault="00CD65C2">
      <w:pPr>
        <w:pStyle w:val="SemEspaamento"/>
      </w:pPr>
    </w:p>
    <w:p w14:paraId="14F7D254" w14:textId="77777777" w:rsidR="00CD65C2" w:rsidRDefault="00CD65C2">
      <w:pPr>
        <w:pStyle w:val="SemEspaamento"/>
      </w:pPr>
    </w:p>
    <w:p w14:paraId="024C9485" w14:textId="77777777" w:rsidR="00CD65C2" w:rsidRDefault="00CD65C2">
      <w:pPr>
        <w:pStyle w:val="SemEspaamento"/>
      </w:pPr>
    </w:p>
    <w:p w14:paraId="4EEA680A" w14:textId="77777777" w:rsidR="00CD65C2" w:rsidRDefault="00CD65C2">
      <w:pPr>
        <w:pStyle w:val="SemEspaamento"/>
      </w:pPr>
    </w:p>
    <w:p w14:paraId="11A62A8B" w14:textId="77777777" w:rsidR="00CD65C2" w:rsidRDefault="00CD65C2">
      <w:pPr>
        <w:pStyle w:val="SemEspaamento"/>
      </w:pPr>
    </w:p>
    <w:p w14:paraId="2EBAD7FC" w14:textId="77777777" w:rsidR="00CD65C2" w:rsidRDefault="00CD65C2">
      <w:pPr>
        <w:pStyle w:val="SemEspaamento"/>
      </w:pPr>
    </w:p>
    <w:p w14:paraId="50FCAEF2" w14:textId="77777777" w:rsidR="00CD65C2" w:rsidRDefault="00CD65C2">
      <w:pPr>
        <w:pStyle w:val="SemEspaamento"/>
      </w:pPr>
    </w:p>
    <w:p w14:paraId="08D04FEF" w14:textId="77777777" w:rsidR="00CD65C2" w:rsidRDefault="00CD65C2">
      <w:pPr>
        <w:pStyle w:val="SemEspaamento"/>
      </w:pPr>
    </w:p>
    <w:p w14:paraId="3A974B62" w14:textId="77777777" w:rsidR="00CD65C2" w:rsidRDefault="00CD65C2">
      <w:pPr>
        <w:pStyle w:val="SemEspaamento"/>
      </w:pPr>
    </w:p>
    <w:p w14:paraId="5933B3FC" w14:textId="77777777" w:rsidR="00CD65C2" w:rsidRDefault="00CD65C2">
      <w:pPr>
        <w:pStyle w:val="SemEspaamento"/>
      </w:pPr>
    </w:p>
    <w:p w14:paraId="2F8CAC08" w14:textId="77777777" w:rsidR="00CD65C2" w:rsidRDefault="00CD65C2">
      <w:pPr>
        <w:pStyle w:val="SemEspaamento"/>
      </w:pPr>
    </w:p>
    <w:p w14:paraId="42B06E72" w14:textId="77777777" w:rsidR="00CD65C2" w:rsidRDefault="00CD65C2">
      <w:pPr>
        <w:pStyle w:val="SemEspaamento"/>
      </w:pPr>
    </w:p>
    <w:p w14:paraId="0589E675" w14:textId="77777777" w:rsidR="00CD65C2" w:rsidRDefault="00CD65C2">
      <w:pPr>
        <w:pStyle w:val="SemEspaamento"/>
      </w:pPr>
    </w:p>
    <w:p w14:paraId="165ABE38" w14:textId="77777777" w:rsidR="00CD65C2" w:rsidRDefault="00CD65C2">
      <w:pPr>
        <w:pStyle w:val="SemEspaamento"/>
      </w:pPr>
    </w:p>
    <w:p w14:paraId="32402829" w14:textId="77777777" w:rsidR="00CD65C2" w:rsidRDefault="00CD65C2">
      <w:pPr>
        <w:pStyle w:val="SemEspaamento"/>
      </w:pPr>
    </w:p>
    <w:p w14:paraId="6251811D" w14:textId="77777777" w:rsidR="00CD65C2" w:rsidRDefault="00CD65C2">
      <w:pPr>
        <w:pStyle w:val="SemEspaamento"/>
      </w:pPr>
    </w:p>
    <w:p w14:paraId="6BD315AA" w14:textId="77777777" w:rsidR="00CD65C2" w:rsidRDefault="00CD65C2">
      <w:pPr>
        <w:pStyle w:val="SemEspaamento"/>
      </w:pPr>
    </w:p>
    <w:p w14:paraId="1BF31CB0" w14:textId="77777777" w:rsidR="00CD65C2" w:rsidRDefault="00CD65C2">
      <w:pPr>
        <w:pStyle w:val="SemEspaamento"/>
      </w:pPr>
    </w:p>
    <w:p w14:paraId="58A03E37" w14:textId="77777777" w:rsidR="00CD65C2" w:rsidRDefault="00CD65C2">
      <w:pPr>
        <w:pStyle w:val="SemEspaamento"/>
      </w:pPr>
    </w:p>
    <w:p w14:paraId="167F9940" w14:textId="77777777" w:rsidR="00CD65C2" w:rsidRDefault="00CD65C2">
      <w:pPr>
        <w:pStyle w:val="SemEspaamento"/>
      </w:pPr>
    </w:p>
    <w:p w14:paraId="3826FADA" w14:textId="77777777" w:rsidR="00CD65C2" w:rsidRDefault="00CD65C2">
      <w:pPr>
        <w:pStyle w:val="SemEspaamento"/>
      </w:pPr>
    </w:p>
    <w:p w14:paraId="4A72456D" w14:textId="77777777" w:rsidR="00CD65C2" w:rsidRDefault="00CD65C2">
      <w:pPr>
        <w:pStyle w:val="SemEspaamento"/>
      </w:pPr>
    </w:p>
    <w:p w14:paraId="1CDE4456" w14:textId="77777777" w:rsidR="00CD65C2" w:rsidRDefault="00CD65C2">
      <w:pPr>
        <w:pStyle w:val="SemEspaamento"/>
      </w:pPr>
    </w:p>
    <w:p w14:paraId="15F053A3" w14:textId="77777777" w:rsidR="00CD65C2" w:rsidRDefault="00CD65C2">
      <w:pPr>
        <w:pStyle w:val="SemEspaamento"/>
      </w:pPr>
    </w:p>
    <w:p w14:paraId="3FC55720" w14:textId="77777777" w:rsidR="00CD65C2" w:rsidRDefault="00CD65C2">
      <w:pPr>
        <w:pStyle w:val="SemEspaamento"/>
      </w:pPr>
    </w:p>
    <w:p w14:paraId="10AC4856" w14:textId="77777777" w:rsidR="00CD65C2" w:rsidRDefault="00FA41FC">
      <w:pPr>
        <w:pStyle w:val="Ttulo1"/>
        <w:jc w:val="center"/>
        <w:rPr>
          <w:rFonts w:hint="eastAsia"/>
        </w:rPr>
      </w:pPr>
      <w:bookmarkStart w:id="159" w:name="_Toc165537306"/>
      <w:r>
        <w:rPr>
          <w:bCs/>
          <w:iCs/>
        </w:rPr>
        <w:t>D-manose e Cranberry</w:t>
      </w:r>
      <w:bookmarkEnd w:id="159"/>
    </w:p>
    <w:p w14:paraId="3C5FB953" w14:textId="77777777" w:rsidR="00CD65C2" w:rsidRPr="00D1428E" w:rsidRDefault="00FA41FC">
      <w:pPr>
        <w:pStyle w:val="Corpo"/>
        <w:spacing w:after="120"/>
        <w:jc w:val="center"/>
        <w:rPr>
          <w:rFonts w:hint="eastAsia"/>
          <w:color w:val="0070C0"/>
          <w:sz w:val="24"/>
        </w:rPr>
      </w:pPr>
      <w:r w:rsidRPr="00D1428E">
        <w:rPr>
          <w:b/>
          <w:color w:val="0070C0"/>
          <w:sz w:val="40"/>
        </w:rPr>
        <w:t>Auxiliam no Tratamento das Infecções do Trato Urinário</w:t>
      </w:r>
    </w:p>
    <w:p w14:paraId="3F5573D4" w14:textId="77777777" w:rsidR="00CD65C2" w:rsidRDefault="00CD65C2">
      <w:pPr>
        <w:pStyle w:val="Corpo"/>
        <w:rPr>
          <w:rFonts w:hint="eastAsia"/>
          <w:color w:val="404040" w:themeColor="text1" w:themeTint="BF"/>
          <w:sz w:val="24"/>
        </w:rPr>
      </w:pPr>
    </w:p>
    <w:p w14:paraId="4C495B37" w14:textId="74D92238" w:rsidR="00CD65C2" w:rsidRDefault="00FA41FC">
      <w:pPr>
        <w:pStyle w:val="Corpo"/>
        <w:rPr>
          <w:rFonts w:hint="eastAsia"/>
          <w:color w:val="404040" w:themeColor="text1" w:themeTint="BF"/>
          <w:sz w:val="24"/>
        </w:rPr>
      </w:pPr>
      <w:r>
        <w:rPr>
          <w:color w:val="404040" w:themeColor="text1" w:themeTint="BF"/>
          <w:sz w:val="24"/>
        </w:rPr>
        <w:t>Um estudo conduzido por R</w:t>
      </w:r>
      <w:r>
        <w:rPr>
          <w:rFonts w:ascii="Calibri" w:hAnsi="Calibri" w:cs="Calibri"/>
          <w:color w:val="404040" w:themeColor="text1" w:themeTint="BF"/>
          <w:sz w:val="24"/>
        </w:rPr>
        <w:t>ă</w:t>
      </w:r>
      <w:r>
        <w:rPr>
          <w:color w:val="404040" w:themeColor="text1" w:themeTint="BF"/>
          <w:sz w:val="24"/>
        </w:rPr>
        <w:t xml:space="preserve">dulescu </w:t>
      </w:r>
      <w:r>
        <w:rPr>
          <w:i/>
          <w:iCs/>
          <w:color w:val="404040" w:themeColor="text1" w:themeTint="BF"/>
          <w:sz w:val="24"/>
        </w:rPr>
        <w:t>et al</w:t>
      </w:r>
      <w:r>
        <w:rPr>
          <w:color w:val="404040" w:themeColor="text1" w:themeTint="BF"/>
          <w:sz w:val="24"/>
        </w:rPr>
        <w:t>. (2020) avaliou os efeitos da combinação de cranberry e D-manose em pacientes com infecção aguda do trato urinário.</w:t>
      </w:r>
    </w:p>
    <w:p w14:paraId="353D2698"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968512" behindDoc="0" locked="0" layoutInCell="1" allowOverlap="1">
                <wp:simplePos x="0" y="0"/>
                <wp:positionH relativeFrom="margin">
                  <wp:posOffset>-3810</wp:posOffset>
                </wp:positionH>
                <wp:positionV relativeFrom="paragraph">
                  <wp:posOffset>143510</wp:posOffset>
                </wp:positionV>
                <wp:extent cx="5735955" cy="1524000"/>
                <wp:effectExtent l="0" t="0" r="17780" b="19050"/>
                <wp:wrapNone/>
                <wp:docPr id="739657884" name="Caixa de texto 739657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781" cy="1524000"/>
                        </a:xfrm>
                        <a:prstGeom prst="rect">
                          <a:avLst/>
                        </a:prstGeom>
                        <a:solidFill>
                          <a:schemeClr val="bg1">
                            <a:lumMod val="100000"/>
                            <a:lumOff val="0"/>
                          </a:schemeClr>
                        </a:solidFill>
                        <a:ln w="9525">
                          <a:solidFill>
                            <a:srgbClr val="0070C0"/>
                          </a:solidFill>
                          <a:miter lim="800000"/>
                        </a:ln>
                      </wps:spPr>
                      <wps:txbx>
                        <w:txbxContent>
                          <w:p w14:paraId="73E41D17" w14:textId="22E489C1" w:rsidR="00FA41FC" w:rsidRDefault="00FA41FC">
                            <w:pPr>
                              <w:jc w:val="center"/>
                              <w:rPr>
                                <w:rFonts w:ascii="Swis721 Th BT" w:hAnsi="Swis721 Th BT"/>
                              </w:rPr>
                            </w:pPr>
                            <w:r>
                              <w:rPr>
                                <w:rFonts w:ascii="Swis721 Th BT" w:hAnsi="Swis721 Th BT"/>
                              </w:rPr>
                              <w:t>Assim, 39 mulheres com média de idade de 39,77 anos diagnosticadas com infecção do trato urinário inferior foram selecionadas para participarem deste estudo clínico de duas fases.</w:t>
                            </w:r>
                          </w:p>
                          <w:p w14:paraId="113CF80A" w14:textId="34856D82" w:rsidR="00FA41FC" w:rsidRDefault="00FA41FC">
                            <w:pPr>
                              <w:jc w:val="center"/>
                              <w:rPr>
                                <w:rFonts w:ascii="Swis721 Th BT" w:hAnsi="Swis721 Th BT"/>
                              </w:rPr>
                            </w:pPr>
                            <w:r>
                              <w:rPr>
                                <w:rFonts w:ascii="Swis721 Th BT" w:hAnsi="Swis721 Th BT"/>
                              </w:rPr>
                              <w:t xml:space="preserve">Na primeira fase do estudo, o tratamento com antibiótico seguiu o recomendado nos </w:t>
                            </w:r>
                            <w:r w:rsidRPr="00D1428E">
                              <w:rPr>
                                <w:rFonts w:ascii="Swis721 Th BT" w:hAnsi="Swis721 Th BT"/>
                                <w:i/>
                                <w:iCs/>
                              </w:rPr>
                              <w:t xml:space="preserve">guidelines </w:t>
                            </w:r>
                            <w:r>
                              <w:rPr>
                                <w:rFonts w:ascii="Swis721 Th BT" w:hAnsi="Swis721 Th BT"/>
                              </w:rPr>
                              <w:t>em associação ou não com o cranberry e a D-manose por sete dias. Todas os pacientes curadas ou com quadro de melhoras significativa participaram de uma segunda fase do estudo. Nessa fase, o estudo foi realizado de maneira duplo-cega e placebo-controlada por mais 21 dias.</w:t>
                            </w:r>
                          </w:p>
                          <w:p w14:paraId="6B0454B2" w14:textId="77777777" w:rsidR="00FA41FC" w:rsidRDefault="00FA41FC">
                            <w:pPr>
                              <w:jc w:val="center"/>
                              <w:rPr>
                                <w:rFonts w:ascii="Swis721 Th BT" w:hAnsi="Swis721 Th BT"/>
                              </w:rPr>
                            </w:pPr>
                          </w:p>
                          <w:p w14:paraId="2032324B"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884" o:spid="_x0000_s1229" type="#_x0000_t202" style="position:absolute;left:0;text-align:left;margin-left:-.3pt;margin-top:11.3pt;width:451.65pt;height:120pt;z-index:2519685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" fillcolor="white [3212]" strokecolor="#0070c0">
                <v:textbox>
                  <w:txbxContent>
                    <w:p w14:paraId="73E41D17" w14:textId="22E489C1" w:rsidR="00FA41FC" w:rsidRDefault="00FA41FC">
                      <w:pPr>
                        <w:jc w:val="center"/>
                        <w:rPr>
                          <w:rFonts w:ascii="Swis721 Th BT" w:hAnsi="Swis721 Th BT"/>
                        </w:rPr>
                      </w:pPr>
                      <w:r>
                        <w:rPr>
                          <w:rFonts w:ascii="Swis721 Th BT" w:hAnsi="Swis721 Th BT"/>
                        </w:rPr>
                        <w:t>Assim, 39 mulheres com média de idade de 39,77 anos diagnosticadas com infecção do trato urinário inferior foram selecionadas para participarem deste estudo clínico de duas fases.</w:t>
                      </w:r>
                    </w:p>
                    <w:p w14:paraId="113CF80A" w14:textId="34856D82" w:rsidR="00FA41FC" w:rsidRDefault="00FA41FC">
                      <w:pPr>
                        <w:jc w:val="center"/>
                        <w:rPr>
                          <w:rFonts w:ascii="Swis721 Th BT" w:hAnsi="Swis721 Th BT"/>
                        </w:rPr>
                      </w:pPr>
                      <w:r>
                        <w:rPr>
                          <w:rFonts w:ascii="Swis721 Th BT" w:hAnsi="Swis721 Th BT"/>
                        </w:rPr>
                        <w:t xml:space="preserve">Na primeira fase do estudo, o tratamento com antibiótico seguiu o recomendado nos </w:t>
                      </w:r>
                      <w:r w:rsidRPr="00D1428E">
                        <w:rPr>
                          <w:rFonts w:ascii="Swis721 Th BT" w:hAnsi="Swis721 Th BT"/>
                          <w:i/>
                          <w:iCs/>
                        </w:rPr>
                        <w:t xml:space="preserve">guidelines </w:t>
                      </w:r>
                      <w:r>
                        <w:rPr>
                          <w:rFonts w:ascii="Swis721 Th BT" w:hAnsi="Swis721 Th BT"/>
                        </w:rPr>
                        <w:t>em associação ou não com o cranberry e a D-manose por sete dias. Todas os pacientes curadas ou com quadro de melhoras significativa participaram de uma segunda fase do estudo. Nessa fase, o estudo foi realizado de maneira duplo-cega e placebo-controlada por mais 21 dias.</w:t>
                      </w:r>
                    </w:p>
                    <w:p w14:paraId="6B0454B2" w14:textId="77777777" w:rsidR="00FA41FC" w:rsidRDefault="00FA41FC">
                      <w:pPr>
                        <w:jc w:val="center"/>
                        <w:rPr>
                          <w:rFonts w:ascii="Swis721 Th BT" w:hAnsi="Swis721 Th BT"/>
                        </w:rPr>
                      </w:pPr>
                    </w:p>
                    <w:p w14:paraId="2032324B"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40C02403" w14:textId="77777777" w:rsidR="00CD65C2" w:rsidRDefault="00CD65C2">
      <w:pPr>
        <w:pStyle w:val="Corpo"/>
        <w:rPr>
          <w:rFonts w:hint="eastAsia"/>
          <w:color w:val="404040" w:themeColor="text1" w:themeTint="BF"/>
          <w:sz w:val="24"/>
        </w:rPr>
      </w:pPr>
    </w:p>
    <w:p w14:paraId="26326CD8" w14:textId="77777777" w:rsidR="00CD65C2" w:rsidRDefault="00CD65C2">
      <w:pPr>
        <w:pStyle w:val="Corpo"/>
        <w:rPr>
          <w:rFonts w:hint="eastAsia"/>
          <w:color w:val="404040" w:themeColor="text1" w:themeTint="BF"/>
          <w:sz w:val="24"/>
        </w:rPr>
      </w:pPr>
    </w:p>
    <w:p w14:paraId="77866791" w14:textId="77777777" w:rsidR="00CD65C2" w:rsidRDefault="00CD65C2">
      <w:pPr>
        <w:pStyle w:val="Corpo"/>
        <w:rPr>
          <w:rFonts w:hint="eastAsia"/>
          <w:color w:val="404040" w:themeColor="text1" w:themeTint="BF"/>
          <w:sz w:val="24"/>
        </w:rPr>
      </w:pPr>
    </w:p>
    <w:p w14:paraId="7A40225A" w14:textId="77777777" w:rsidR="00CD65C2" w:rsidRDefault="00CD65C2">
      <w:pPr>
        <w:pStyle w:val="Corpo"/>
        <w:rPr>
          <w:rFonts w:hint="eastAsia"/>
          <w:color w:val="404040" w:themeColor="text1" w:themeTint="BF"/>
          <w:sz w:val="24"/>
        </w:rPr>
      </w:pPr>
    </w:p>
    <w:p w14:paraId="0972E07E" w14:textId="77777777" w:rsidR="00CD65C2" w:rsidRDefault="00CD65C2">
      <w:pPr>
        <w:pStyle w:val="Corpo"/>
        <w:rPr>
          <w:rFonts w:hint="eastAsia"/>
          <w:color w:val="404040" w:themeColor="text1" w:themeTint="BF"/>
          <w:sz w:val="24"/>
        </w:rPr>
      </w:pPr>
    </w:p>
    <w:p w14:paraId="171AF6C0" w14:textId="77777777" w:rsidR="00CD65C2" w:rsidRDefault="00CD65C2">
      <w:pPr>
        <w:pStyle w:val="Corpo"/>
        <w:rPr>
          <w:rFonts w:hint="eastAsia"/>
          <w:color w:val="404040" w:themeColor="text1" w:themeTint="BF"/>
          <w:sz w:val="24"/>
        </w:rPr>
      </w:pPr>
    </w:p>
    <w:p w14:paraId="0078E757"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969536" behindDoc="0" locked="0" layoutInCell="1" allowOverlap="1">
                <wp:simplePos x="0" y="0"/>
                <wp:positionH relativeFrom="column">
                  <wp:posOffset>4423410</wp:posOffset>
                </wp:positionH>
                <wp:positionV relativeFrom="paragraph">
                  <wp:posOffset>169545</wp:posOffset>
                </wp:positionV>
                <wp:extent cx="226695" cy="138430"/>
                <wp:effectExtent l="0" t="0" r="1905" b="0"/>
                <wp:wrapNone/>
                <wp:docPr id="739657885" name="Triângulo isósceles 7396578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885" o:spid="_x0000_s1026" o:spt="5" type="#_x0000_t5" style="position:absolute;left:0pt;flip:y;margin-left:348.3pt;margin-top:13.35pt;height:10.9pt;width:17.85pt;z-index:251969536;mso-width-relative:page;mso-height-relative:page;" fillcolor="#D9D9D9 [3212]" filled="t" stroked="f" coordsize="21600,21600" o:gfxdata="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GqRgjHZAAAACQEAAA8AAAAAAAAAAQAgAAAAIgAAAGRycy9kb3ducmV2LnhtbFBLAQIUABQA&#10;AAAIAIdO4kADpW/uYQIAALMEAAAOAAAAAAAAAAEAIAAAACgBAABkcnMvZTJvRG9jLnhtbFBLBQYA&#10;AAAABgAGAFkBAAD7BQ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970560" behindDoc="0" locked="0" layoutInCell="1" allowOverlap="1">
                <wp:simplePos x="0" y="0"/>
                <wp:positionH relativeFrom="column">
                  <wp:posOffset>1031875</wp:posOffset>
                </wp:positionH>
                <wp:positionV relativeFrom="paragraph">
                  <wp:posOffset>169545</wp:posOffset>
                </wp:positionV>
                <wp:extent cx="226695" cy="138430"/>
                <wp:effectExtent l="0" t="0" r="1905" b="0"/>
                <wp:wrapNone/>
                <wp:docPr id="739657886" name="Triângulo isósceles 7396578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886" o:spid="_x0000_s1026" o:spt="5" type="#_x0000_t5" style="position:absolute;left:0pt;flip:y;margin-left:81.25pt;margin-top:13.35pt;height:10.9pt;width:17.85pt;z-index:251970560;mso-width-relative:page;mso-height-relative:page;" fillcolor="#D9D9D9 [3212]" filled="t" stroked="f" coordsize="21600,21600" o:gfxdata="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mRVBNgAAAAJAQAADwAAAAAAAAABACAAAAAiAAAAZHJzL2Rvd25yZXYueG1sUEsBAhQAFAAA&#10;AAgAh07iQPtXZyVhAgAAswQAAA4AAAAAAAAAAQAgAAAAJwEAAGRycy9lMm9Eb2MueG1sUEsFBgAA&#10;AAAGAAYAWQEAAPoFAAAAAA==&#10;" adj="10800">
                <v:fill on="t" focussize="0,0"/>
                <v:stroke on="f"/>
                <v:imagedata o:title=""/>
                <o:lock v:ext="edit" aspectratio="f"/>
              </v:shape>
            </w:pict>
          </mc:Fallback>
        </mc:AlternateContent>
      </w:r>
    </w:p>
    <w:p w14:paraId="394FA1F0"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967488" behindDoc="0" locked="0" layoutInCell="1" allowOverlap="1">
                <wp:simplePos x="0" y="0"/>
                <wp:positionH relativeFrom="column">
                  <wp:posOffset>3406140</wp:posOffset>
                </wp:positionH>
                <wp:positionV relativeFrom="paragraph">
                  <wp:posOffset>177165</wp:posOffset>
                </wp:positionV>
                <wp:extent cx="2317750" cy="1162050"/>
                <wp:effectExtent l="0" t="0" r="25400" b="19050"/>
                <wp:wrapNone/>
                <wp:docPr id="739657888" name="Caixa de texto 739657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0" cy="1162050"/>
                        </a:xfrm>
                        <a:prstGeom prst="rect">
                          <a:avLst/>
                        </a:prstGeom>
                        <a:solidFill>
                          <a:srgbClr val="0070C0"/>
                        </a:solidFill>
                        <a:ln w="9525">
                          <a:solidFill>
                            <a:srgbClr val="0070C0"/>
                          </a:solidFill>
                          <a:miter lim="800000"/>
                        </a:ln>
                      </wps:spPr>
                      <wps:txbx>
                        <w:txbxContent>
                          <w:p w14:paraId="28A10799"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44AD47DB"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46AA7D24"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14:paraId="158FAD17"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43F00B1F"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Antibióticos</w:t>
                            </w:r>
                          </w:p>
                          <w:p w14:paraId="6AE76DD7" w14:textId="77777777" w:rsidR="00FA41FC" w:rsidRDefault="00FA41FC">
                            <w:pPr>
                              <w:spacing w:after="0" w:line="240" w:lineRule="auto"/>
                              <w:jc w:val="center"/>
                              <w:rPr>
                                <w:rFonts w:ascii="Swis721 Th BT" w:hAnsi="Swis721 Th BT"/>
                                <w:b/>
                                <w:color w:val="FFFFFF" w:themeColor="background1"/>
                                <w:sz w:val="12"/>
                                <w:szCs w:val="12"/>
                              </w:rPr>
                            </w:pPr>
                          </w:p>
                          <w:p w14:paraId="4B6DB92E" w14:textId="77777777" w:rsidR="00FA41FC" w:rsidRDefault="00FA41FC">
                            <w:pPr>
                              <w:spacing w:after="0" w:line="240" w:lineRule="auto"/>
                              <w:jc w:val="center"/>
                              <w:rPr>
                                <w:rFonts w:ascii="Swis721 Th BT" w:hAnsi="Swis721 Th BT"/>
                                <w:b/>
                                <w:color w:val="FFFFFF" w:themeColor="background1"/>
                                <w:sz w:val="23"/>
                                <w:szCs w:val="23"/>
                              </w:rPr>
                            </w:pPr>
                          </w:p>
                          <w:p w14:paraId="4B65FF17" w14:textId="77777777" w:rsidR="00FA41FC" w:rsidRDefault="00FA41FC">
                            <w:pPr>
                              <w:spacing w:after="0" w:line="240" w:lineRule="auto"/>
                              <w:jc w:val="center"/>
                              <w:rPr>
                                <w:rFonts w:ascii="Swis721 Th BT" w:hAnsi="Swis721 Th BT"/>
                                <w:b/>
                                <w:color w:val="FFFFFF" w:themeColor="background1"/>
                                <w:sz w:val="12"/>
                                <w:szCs w:val="12"/>
                              </w:rPr>
                            </w:pPr>
                          </w:p>
                          <w:p w14:paraId="22F7E5FB" w14:textId="77777777" w:rsidR="00FA41FC" w:rsidRDefault="00FA41FC"/>
                        </w:txbxContent>
                      </wps:txbx>
                      <wps:bodyPr rot="0" vert="horz" wrap="square" lIns="91440" tIns="45720" rIns="91440" bIns="45720" anchor="t" anchorCtr="0" upright="1">
                        <a:noAutofit/>
                      </wps:bodyPr>
                    </wps:wsp>
                  </a:graphicData>
                </a:graphic>
              </wp:anchor>
            </w:drawing>
          </mc:Choice>
          <mc:Fallback>
            <w:pict>
              <v:shape id="Caixa de texto 739657888" o:spid="_x0000_s1230" type="#_x0000_t202" style="position:absolute;left:0;text-align:left;margin-left:268.2pt;margin-top:13.95pt;width:182.5pt;height:91.5pt;z-index:25196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" fillcolor="#0070c0" strokecolor="#0070c0">
                <v:textbox>
                  <w:txbxContent>
                    <w:p w14:paraId="28A10799"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44AD47DB"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46AA7D24"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14:paraId="158FAD17"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43F00B1F"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Antibióticos</w:t>
                      </w:r>
                    </w:p>
                    <w:p w14:paraId="6AE76DD7" w14:textId="77777777" w:rsidR="00FA41FC" w:rsidRDefault="00FA41FC">
                      <w:pPr>
                        <w:spacing w:after="0" w:line="240" w:lineRule="auto"/>
                        <w:jc w:val="center"/>
                        <w:rPr>
                          <w:rFonts w:ascii="Swis721 Th BT" w:hAnsi="Swis721 Th BT"/>
                          <w:b/>
                          <w:color w:val="FFFFFF" w:themeColor="background1"/>
                          <w:sz w:val="12"/>
                          <w:szCs w:val="12"/>
                        </w:rPr>
                      </w:pPr>
                    </w:p>
                    <w:p w14:paraId="4B6DB92E" w14:textId="77777777" w:rsidR="00FA41FC" w:rsidRDefault="00FA41FC">
                      <w:pPr>
                        <w:spacing w:after="0" w:line="240" w:lineRule="auto"/>
                        <w:jc w:val="center"/>
                        <w:rPr>
                          <w:rFonts w:ascii="Swis721 Th BT" w:hAnsi="Swis721 Th BT"/>
                          <w:b/>
                          <w:color w:val="FFFFFF" w:themeColor="background1"/>
                          <w:sz w:val="23"/>
                          <w:szCs w:val="23"/>
                        </w:rPr>
                      </w:pPr>
                    </w:p>
                    <w:p w14:paraId="4B65FF17" w14:textId="77777777" w:rsidR="00FA41FC" w:rsidRDefault="00FA41FC">
                      <w:pPr>
                        <w:spacing w:after="0" w:line="240" w:lineRule="auto"/>
                        <w:jc w:val="center"/>
                        <w:rPr>
                          <w:rFonts w:ascii="Swis721 Th BT" w:hAnsi="Swis721 Th BT"/>
                          <w:b/>
                          <w:color w:val="FFFFFF" w:themeColor="background1"/>
                          <w:sz w:val="12"/>
                          <w:szCs w:val="12"/>
                        </w:rPr>
                      </w:pPr>
                    </w:p>
                    <w:p w14:paraId="22F7E5FB" w14:textId="77777777" w:rsidR="00FA41FC" w:rsidRDefault="00FA41FC"/>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966464" behindDoc="0" locked="0" layoutInCell="1" allowOverlap="1">
                <wp:simplePos x="0" y="0"/>
                <wp:positionH relativeFrom="column">
                  <wp:posOffset>-3810</wp:posOffset>
                </wp:positionH>
                <wp:positionV relativeFrom="paragraph">
                  <wp:posOffset>167005</wp:posOffset>
                </wp:positionV>
                <wp:extent cx="2307590" cy="1171575"/>
                <wp:effectExtent l="0" t="0" r="16510" b="28575"/>
                <wp:wrapNone/>
                <wp:docPr id="739657887" name="Caixa de texto 7396578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590" cy="1171575"/>
                        </a:xfrm>
                        <a:prstGeom prst="rect">
                          <a:avLst/>
                        </a:prstGeom>
                        <a:solidFill>
                          <a:srgbClr val="0070C0"/>
                        </a:solidFill>
                        <a:ln w="9525">
                          <a:solidFill>
                            <a:srgbClr val="0070C0"/>
                          </a:solidFill>
                          <a:miter lim="800000"/>
                        </a:ln>
                      </wps:spPr>
                      <wps:txbx>
                        <w:txbxContent>
                          <w:p w14:paraId="206F6EA4" w14:textId="77777777" w:rsidR="00FA41FC" w:rsidRDefault="00FA41FC">
                            <w:pPr>
                              <w:pStyle w:val="Corpo"/>
                              <w:jc w:val="center"/>
                              <w:rPr>
                                <w:rFonts w:hint="eastAsia"/>
                                <w:color w:val="FFFFFF" w:themeColor="background1"/>
                              </w:rPr>
                            </w:pPr>
                            <w:r>
                              <w:rPr>
                                <w:b/>
                                <w:color w:val="FFFFFF" w:themeColor="background1"/>
                                <w:szCs w:val="23"/>
                              </w:rPr>
                              <w:t xml:space="preserve">Grupo 1 </w:t>
                            </w:r>
                            <w:r>
                              <w:rPr>
                                <w:b/>
                                <w:color w:val="FFFFFF" w:themeColor="background1"/>
                                <w:szCs w:val="23"/>
                              </w:rPr>
                              <w:br/>
                            </w:r>
                            <w:r>
                              <w:rPr>
                                <w:color w:val="FFFFFF" w:themeColor="background1"/>
                              </w:rPr>
                              <w:t>Cranberry 400 mg</w:t>
                            </w:r>
                          </w:p>
                          <w:p w14:paraId="6DF43A21" w14:textId="77777777" w:rsidR="00FA41FC" w:rsidRDefault="00FA41FC">
                            <w:pPr>
                              <w:pStyle w:val="Corpo"/>
                              <w:jc w:val="center"/>
                              <w:rPr>
                                <w:rFonts w:hint="eastAsia"/>
                                <w:color w:val="FFFFFF" w:themeColor="background1"/>
                              </w:rPr>
                            </w:pPr>
                            <w:r>
                              <w:rPr>
                                <w:color w:val="FFFFFF" w:themeColor="background1"/>
                              </w:rPr>
                              <w:t>D – Manose 1000 mg</w:t>
                            </w:r>
                          </w:p>
                          <w:p w14:paraId="4D66F8CD" w14:textId="77777777" w:rsidR="00FA41FC" w:rsidRDefault="00FA41FC">
                            <w:pPr>
                              <w:pStyle w:val="Corpo"/>
                              <w:jc w:val="center"/>
                              <w:rPr>
                                <w:rFonts w:hint="eastAsia"/>
                                <w:color w:val="FFFFFF" w:themeColor="background1"/>
                              </w:rPr>
                            </w:pPr>
                            <w:r>
                              <w:rPr>
                                <w:color w:val="FFFFFF" w:themeColor="background1"/>
                              </w:rPr>
                              <w:t>2 vezes ao dia</w:t>
                            </w:r>
                          </w:p>
                          <w:p w14:paraId="0263B136" w14:textId="77777777" w:rsidR="00FA41FC" w:rsidRDefault="00FA41FC">
                            <w:pPr>
                              <w:pStyle w:val="Corpo"/>
                              <w:jc w:val="center"/>
                              <w:rPr>
                                <w:rFonts w:hint="eastAsia"/>
                                <w:color w:val="FFFFFF" w:themeColor="background1"/>
                              </w:rPr>
                            </w:pPr>
                            <w:r>
                              <w:rPr>
                                <w:color w:val="FFFFFF" w:themeColor="background1"/>
                              </w:rPr>
                              <w:t>+</w:t>
                            </w:r>
                          </w:p>
                          <w:p w14:paraId="459204D6" w14:textId="77777777" w:rsidR="00FA41FC" w:rsidRDefault="00FA41FC">
                            <w:pPr>
                              <w:pStyle w:val="Corpo"/>
                              <w:jc w:val="center"/>
                              <w:rPr>
                                <w:rFonts w:hint="eastAsia"/>
                                <w:color w:val="FFFFFF" w:themeColor="background1"/>
                              </w:rPr>
                            </w:pPr>
                            <w:r>
                              <w:rPr>
                                <w:color w:val="FFFFFF" w:themeColor="background1"/>
                              </w:rPr>
                              <w:t>Antibióticos</w:t>
                            </w:r>
                          </w:p>
                          <w:p w14:paraId="0DD063A2"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739657887" o:spid="_x0000_s1231" type="#_x0000_t202" style="position:absolute;left:0;text-align:left;margin-left:-.3pt;margin-top:13.15pt;width:181.7pt;height:92.25pt;z-index:251966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" fillcolor="#0070c0" strokecolor="#0070c0">
                <v:textbox>
                  <w:txbxContent>
                    <w:p w14:paraId="206F6EA4" w14:textId="77777777" w:rsidR="00FA41FC" w:rsidRDefault="00FA41FC">
                      <w:pPr>
                        <w:pStyle w:val="Corpo"/>
                        <w:jc w:val="center"/>
                        <w:rPr>
                          <w:rFonts w:hint="eastAsia"/>
                          <w:color w:val="FFFFFF" w:themeColor="background1"/>
                        </w:rPr>
                      </w:pPr>
                      <w:r>
                        <w:rPr>
                          <w:b/>
                          <w:color w:val="FFFFFF" w:themeColor="background1"/>
                          <w:szCs w:val="23"/>
                        </w:rPr>
                        <w:t xml:space="preserve">Grupo 1 </w:t>
                      </w:r>
                      <w:r>
                        <w:rPr>
                          <w:b/>
                          <w:color w:val="FFFFFF" w:themeColor="background1"/>
                          <w:szCs w:val="23"/>
                        </w:rPr>
                        <w:br/>
                      </w:r>
                      <w:r>
                        <w:rPr>
                          <w:color w:val="FFFFFF" w:themeColor="background1"/>
                        </w:rPr>
                        <w:t>Cranberry 400 mg</w:t>
                      </w:r>
                    </w:p>
                    <w:p w14:paraId="6DF43A21" w14:textId="77777777" w:rsidR="00FA41FC" w:rsidRDefault="00FA41FC">
                      <w:pPr>
                        <w:pStyle w:val="Corpo"/>
                        <w:jc w:val="center"/>
                        <w:rPr>
                          <w:rFonts w:hint="eastAsia"/>
                          <w:color w:val="FFFFFF" w:themeColor="background1"/>
                        </w:rPr>
                      </w:pPr>
                      <w:r>
                        <w:rPr>
                          <w:color w:val="FFFFFF" w:themeColor="background1"/>
                        </w:rPr>
                        <w:t>D – Manose 1000 mg</w:t>
                      </w:r>
                    </w:p>
                    <w:p w14:paraId="4D66F8CD" w14:textId="77777777" w:rsidR="00FA41FC" w:rsidRDefault="00FA41FC">
                      <w:pPr>
                        <w:pStyle w:val="Corpo"/>
                        <w:jc w:val="center"/>
                        <w:rPr>
                          <w:rFonts w:hint="eastAsia"/>
                          <w:color w:val="FFFFFF" w:themeColor="background1"/>
                        </w:rPr>
                      </w:pPr>
                      <w:r>
                        <w:rPr>
                          <w:color w:val="FFFFFF" w:themeColor="background1"/>
                        </w:rPr>
                        <w:t>2 vezes ao dia</w:t>
                      </w:r>
                    </w:p>
                    <w:p w14:paraId="0263B136" w14:textId="77777777" w:rsidR="00FA41FC" w:rsidRDefault="00FA41FC">
                      <w:pPr>
                        <w:pStyle w:val="Corpo"/>
                        <w:jc w:val="center"/>
                        <w:rPr>
                          <w:rFonts w:hint="eastAsia"/>
                          <w:color w:val="FFFFFF" w:themeColor="background1"/>
                        </w:rPr>
                      </w:pPr>
                      <w:r>
                        <w:rPr>
                          <w:color w:val="FFFFFF" w:themeColor="background1"/>
                        </w:rPr>
                        <w:t>+</w:t>
                      </w:r>
                    </w:p>
                    <w:p w14:paraId="459204D6" w14:textId="77777777" w:rsidR="00FA41FC" w:rsidRDefault="00FA41FC">
                      <w:pPr>
                        <w:pStyle w:val="Corpo"/>
                        <w:jc w:val="center"/>
                        <w:rPr>
                          <w:rFonts w:hint="eastAsia"/>
                          <w:color w:val="FFFFFF" w:themeColor="background1"/>
                        </w:rPr>
                      </w:pPr>
                      <w:r>
                        <w:rPr>
                          <w:color w:val="FFFFFF" w:themeColor="background1"/>
                        </w:rPr>
                        <w:t>Antibióticos</w:t>
                      </w:r>
                    </w:p>
                    <w:p w14:paraId="0DD063A2"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p>
    <w:p w14:paraId="0E8AF8D3" w14:textId="77777777" w:rsidR="00CD65C2" w:rsidRDefault="00CD65C2">
      <w:pPr>
        <w:pStyle w:val="Corpo"/>
        <w:rPr>
          <w:rFonts w:hint="eastAsia"/>
          <w:color w:val="404040" w:themeColor="text1" w:themeTint="BF"/>
        </w:rPr>
      </w:pPr>
    </w:p>
    <w:p w14:paraId="04786842" w14:textId="77777777" w:rsidR="00CD65C2" w:rsidRDefault="00CD65C2">
      <w:pPr>
        <w:pStyle w:val="Corpo"/>
        <w:rPr>
          <w:rFonts w:hint="eastAsia"/>
          <w:color w:val="404040" w:themeColor="text1" w:themeTint="BF"/>
        </w:rPr>
      </w:pPr>
    </w:p>
    <w:p w14:paraId="1A4468E5" w14:textId="77777777" w:rsidR="00CD65C2" w:rsidRDefault="00CD65C2">
      <w:pPr>
        <w:pStyle w:val="Corpo"/>
        <w:rPr>
          <w:rFonts w:hint="eastAsia"/>
          <w:color w:val="404040" w:themeColor="text1" w:themeTint="BF"/>
        </w:rPr>
      </w:pPr>
    </w:p>
    <w:p w14:paraId="4D78E684" w14:textId="77777777" w:rsidR="00CD65C2" w:rsidRDefault="00CD65C2">
      <w:pPr>
        <w:pStyle w:val="Corpo"/>
        <w:rPr>
          <w:rFonts w:hint="eastAsia"/>
          <w:color w:val="404040" w:themeColor="text1" w:themeTint="BF"/>
        </w:rPr>
      </w:pPr>
    </w:p>
    <w:p w14:paraId="3230412D" w14:textId="77777777" w:rsidR="00CD65C2" w:rsidRDefault="00CD65C2">
      <w:pPr>
        <w:pStyle w:val="Corpo"/>
        <w:rPr>
          <w:rFonts w:hint="eastAsia"/>
          <w:color w:val="404040" w:themeColor="text1" w:themeTint="BF"/>
        </w:rPr>
      </w:pPr>
    </w:p>
    <w:p w14:paraId="0041326B" w14:textId="77777777" w:rsidR="00CD65C2" w:rsidRDefault="00CD65C2">
      <w:pPr>
        <w:pStyle w:val="Corpo"/>
        <w:rPr>
          <w:rFonts w:hint="eastAsia"/>
          <w:color w:val="404040" w:themeColor="text1" w:themeTint="BF"/>
        </w:rPr>
      </w:pPr>
    </w:p>
    <w:p w14:paraId="6037E8E5" w14:textId="77777777" w:rsidR="00CD65C2" w:rsidRDefault="00CD65C2">
      <w:pPr>
        <w:pStyle w:val="Corpo"/>
        <w:rPr>
          <w:rFonts w:hint="eastAsia"/>
          <w:color w:val="404040" w:themeColor="text1" w:themeTint="BF"/>
        </w:rPr>
      </w:pPr>
    </w:p>
    <w:p w14:paraId="5BEE719B"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65893C6B"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5CDFD167" w14:textId="77777777" w:rsidR="00CD65C2" w:rsidRDefault="00FA41FC" w:rsidP="00D1428E">
      <w:pPr>
        <w:pStyle w:val="Corpo"/>
        <w:numPr>
          <w:ilvl w:val="0"/>
          <w:numId w:val="68"/>
        </w:numPr>
        <w:spacing w:line="276" w:lineRule="auto"/>
        <w:rPr>
          <w:rFonts w:hint="eastAsia"/>
          <w:color w:val="404040" w:themeColor="text1" w:themeTint="BF"/>
        </w:rPr>
      </w:pPr>
      <w:r>
        <w:rPr>
          <w:color w:val="404040" w:themeColor="text1" w:themeTint="BF"/>
        </w:rPr>
        <w:t xml:space="preserve">As taxas de cura foram maiores no grupo de pacientes tratados com antibióticos em associação com o cranberry e a D-manose em comparação com o grupo tratado com antibióticos e placebo (91,6 </w:t>
      </w:r>
      <w:r>
        <w:rPr>
          <w:i/>
          <w:iCs/>
          <w:color w:val="404040" w:themeColor="text1" w:themeTint="BF"/>
        </w:rPr>
        <w:t>vs</w:t>
      </w:r>
      <w:r>
        <w:rPr>
          <w:color w:val="404040" w:themeColor="text1" w:themeTint="BF"/>
        </w:rPr>
        <w:t>. 84,4%);</w:t>
      </w:r>
    </w:p>
    <w:p w14:paraId="117131EA" w14:textId="77777777" w:rsidR="00CD65C2" w:rsidRDefault="00FA41FC" w:rsidP="00D1428E">
      <w:pPr>
        <w:pStyle w:val="Corpo"/>
        <w:numPr>
          <w:ilvl w:val="0"/>
          <w:numId w:val="68"/>
        </w:numPr>
        <w:spacing w:line="276" w:lineRule="auto"/>
        <w:rPr>
          <w:rFonts w:hint="eastAsia"/>
          <w:color w:val="404040" w:themeColor="text1" w:themeTint="BF"/>
        </w:rPr>
      </w:pPr>
      <w:r>
        <w:rPr>
          <w:color w:val="404040" w:themeColor="text1" w:themeTint="BF"/>
        </w:rPr>
        <w:t xml:space="preserve">Em cepas resistentes, uma taxa de cura significativamente maior foi mostrada quando o extrato de cranberry e a D-manose ao antibiótico em comparação com o grupo tratado com antibióticos e placebo (88,8 </w:t>
      </w:r>
      <w:r w:rsidRPr="00D1428E">
        <w:rPr>
          <w:rFonts w:hint="eastAsia"/>
          <w:i/>
          <w:iCs/>
          <w:color w:val="404040" w:themeColor="text1" w:themeTint="BF"/>
        </w:rPr>
        <w:t>vs</w:t>
      </w:r>
      <w:r>
        <w:rPr>
          <w:color w:val="404040" w:themeColor="text1" w:themeTint="BF"/>
        </w:rPr>
        <w:t>. 37,5% - 0 &lt; 0,0001);</w:t>
      </w:r>
    </w:p>
    <w:p w14:paraId="3E949B26" w14:textId="77777777" w:rsidR="00CD65C2" w:rsidRDefault="00FA41FC" w:rsidP="00D1428E">
      <w:pPr>
        <w:pStyle w:val="Corpo"/>
        <w:numPr>
          <w:ilvl w:val="0"/>
          <w:numId w:val="68"/>
        </w:numPr>
        <w:spacing w:line="276" w:lineRule="auto"/>
        <w:rPr>
          <w:rFonts w:hint="eastAsia"/>
          <w:color w:val="404040" w:themeColor="text1" w:themeTint="BF"/>
        </w:rPr>
      </w:pPr>
      <w:r>
        <w:rPr>
          <w:color w:val="404040" w:themeColor="text1" w:themeTint="BF"/>
        </w:rPr>
        <w:t>Os efeitos da combinação de cranberry e de D-manose promoveu melhoras significativas no controle das infecções agudas do trato urinário.</w:t>
      </w:r>
    </w:p>
    <w:p w14:paraId="6610E309" w14:textId="77777777" w:rsidR="00CD65C2" w:rsidRDefault="00FA41FC">
      <w:pPr>
        <w:pStyle w:val="Corpo"/>
        <w:ind w:left="360"/>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 xml:space="preserve"> </w:t>
      </w:r>
    </w:p>
    <w:p w14:paraId="30E2AF21"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03655D2F"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62B47F88" w14:textId="77777777" w:rsidR="00CD65C2" w:rsidRDefault="00FA41FC">
      <w:pPr>
        <w:pStyle w:val="Corpo"/>
        <w:jc w:val="center"/>
        <w:rPr>
          <w:rFonts w:hint="eastAsia"/>
          <w:b/>
          <w:i/>
          <w:color w:val="404040" w:themeColor="text1" w:themeTint="BF"/>
        </w:rPr>
      </w:pPr>
      <w:r>
        <w:rPr>
          <w:b/>
          <w:i/>
          <w:color w:val="404040" w:themeColor="text1" w:themeTint="BF"/>
        </w:rPr>
        <w:t>A significativa taxa de cura registrada nos pacientes com cultura de urina resistente a antibióticos pode ser explicada por uma influência benéfica do cranberry e a D-manose na sensibilidade antimicrobiana.</w:t>
      </w:r>
    </w:p>
    <w:p w14:paraId="418D6BBC" w14:textId="77777777" w:rsidR="00CD65C2" w:rsidRDefault="00FA41FC">
      <w:pPr>
        <w:pStyle w:val="Ttulo1"/>
        <w:jc w:val="center"/>
        <w:rPr>
          <w:rFonts w:hint="eastAsia"/>
        </w:rPr>
      </w:pPr>
      <w:bookmarkStart w:id="160" w:name="_Toc165537307"/>
      <w:r>
        <w:t>Formulário</w:t>
      </w:r>
      <w:bookmarkEnd w:id="160"/>
    </w:p>
    <w:p w14:paraId="696AD147" w14:textId="77777777" w:rsidR="00CD65C2" w:rsidRDefault="00CD65C2">
      <w:pPr>
        <w:pStyle w:val="Corpo"/>
        <w:rPr>
          <w:rFonts w:hint="eastAsia"/>
          <w:b/>
          <w:i/>
          <w:color w:val="404040" w:themeColor="text1" w:themeTint="BF"/>
        </w:rPr>
      </w:pPr>
    </w:p>
    <w:p w14:paraId="41EB83A9" w14:textId="77777777" w:rsidR="00CD65C2" w:rsidRDefault="00CD65C2">
      <w:pPr>
        <w:pStyle w:val="Corpo"/>
        <w:rPr>
          <w:rFonts w:hint="eastAsia"/>
          <w:b/>
          <w:i/>
          <w:color w:val="404040" w:themeColor="text1" w:themeTint="BF"/>
        </w:rPr>
      </w:pPr>
    </w:p>
    <w:p w14:paraId="0326AF55" w14:textId="77777777" w:rsidR="00CD65C2" w:rsidRDefault="00FA41FC">
      <w:pPr>
        <w:pStyle w:val="Corpo"/>
        <w:rPr>
          <w:rFonts w:hint="eastAsia"/>
          <w:b/>
          <w:i/>
          <w:color w:val="404040" w:themeColor="text1" w:themeTint="BF"/>
          <w:sz w:val="24"/>
        </w:rPr>
      </w:pPr>
      <w:r>
        <w:rPr>
          <w:b/>
          <w:i/>
          <w:color w:val="404040" w:themeColor="text1" w:themeTint="BF"/>
          <w:sz w:val="24"/>
        </w:rPr>
        <w:t>Cranberry e D-Manose Auxiliam no Tratamento das Infecções Urinária Agudas</w:t>
      </w:r>
    </w:p>
    <w:p w14:paraId="7E21078C"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24869F48"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542B847D" w14:textId="77777777" w:rsidR="00CD65C2" w:rsidRDefault="00FA41FC">
            <w:pPr>
              <w:pStyle w:val="Corpo"/>
              <w:jc w:val="center"/>
              <w:rPr>
                <w:rFonts w:hint="eastAsia"/>
                <w:b/>
                <w:color w:val="FFFFFF" w:themeColor="background1"/>
                <w:szCs w:val="23"/>
              </w:rPr>
            </w:pPr>
            <w:r>
              <w:rPr>
                <w:b/>
                <w:color w:val="FFFFFF" w:themeColor="background1"/>
                <w:szCs w:val="23"/>
              </w:rPr>
              <w:t>Sachês de D-manose e Cranberry</w:t>
            </w:r>
          </w:p>
        </w:tc>
      </w:tr>
      <w:tr w:rsidR="00CD65C2" w14:paraId="22682BFB"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B9947E6" w14:textId="77777777" w:rsidR="00CD65C2" w:rsidRDefault="00FA41FC">
            <w:pPr>
              <w:pStyle w:val="Corpo"/>
              <w:rPr>
                <w:rFonts w:hint="eastAsia"/>
                <w:color w:val="404040" w:themeColor="text1" w:themeTint="BF"/>
              </w:rPr>
            </w:pPr>
            <w:r>
              <w:rPr>
                <w:iCs/>
                <w:color w:val="404040" w:themeColor="text1" w:themeTint="BF"/>
              </w:rPr>
              <w:t>D-Manose</w:t>
            </w:r>
            <w:r>
              <w:rPr>
                <w:color w:val="404040" w:themeColor="text1" w:themeTint="BF"/>
              </w:rPr>
              <w:t>.....................................1000 mg</w:t>
            </w:r>
          </w:p>
        </w:tc>
      </w:tr>
      <w:tr w:rsidR="00CD65C2" w14:paraId="781A726E"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16C0577" w14:textId="77777777" w:rsidR="00CD65C2" w:rsidRDefault="00FA41FC">
            <w:pPr>
              <w:pStyle w:val="Corpo"/>
              <w:rPr>
                <w:rFonts w:hint="eastAsia"/>
                <w:iCs/>
                <w:color w:val="404040" w:themeColor="text1" w:themeTint="BF"/>
              </w:rPr>
            </w:pPr>
            <w:r>
              <w:rPr>
                <w:iCs/>
                <w:color w:val="404040" w:themeColor="text1" w:themeTint="BF"/>
              </w:rPr>
              <w:t>Cranberry........................................400 mg</w:t>
            </w:r>
          </w:p>
        </w:tc>
      </w:tr>
      <w:tr w:rsidR="00CD65C2" w14:paraId="348F1CE8"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9A4DBC0" w14:textId="4902C537" w:rsidR="00CD65C2" w:rsidRDefault="00FA41FC">
            <w:pPr>
              <w:pStyle w:val="Corpo"/>
              <w:rPr>
                <w:rFonts w:hint="eastAsia"/>
                <w:color w:val="404040" w:themeColor="text1" w:themeTint="BF"/>
              </w:rPr>
            </w:pPr>
            <w:r>
              <w:rPr>
                <w:color w:val="404040" w:themeColor="text1" w:themeTint="BF"/>
              </w:rPr>
              <w:t>Excipiente q.s.p. ............................1 Sachê</w:t>
            </w:r>
          </w:p>
        </w:tc>
      </w:tr>
    </w:tbl>
    <w:p w14:paraId="7154C70C" w14:textId="0A54A706" w:rsidR="00CD65C2" w:rsidRDefault="00FA41FC">
      <w:pPr>
        <w:pStyle w:val="Corpo"/>
        <w:ind w:right="4762"/>
        <w:jc w:val="center"/>
        <w:rPr>
          <w:rFonts w:hint="eastAsia"/>
          <w:color w:val="404040" w:themeColor="text1" w:themeTint="BF"/>
          <w:sz w:val="22"/>
          <w:szCs w:val="22"/>
        </w:rPr>
      </w:pPr>
      <w:r>
        <w:rPr>
          <w:color w:val="404040" w:themeColor="text1" w:themeTint="BF"/>
          <w:sz w:val="22"/>
          <w:szCs w:val="22"/>
        </w:rPr>
        <w:t>Administrar 1 sachê duas vezes ao dia ou conforme orientação médica.</w:t>
      </w:r>
    </w:p>
    <w:p w14:paraId="5C64FE3C" w14:textId="77777777" w:rsidR="00CD65C2" w:rsidRDefault="00CD65C2">
      <w:pPr>
        <w:pStyle w:val="SemEspaamento"/>
      </w:pPr>
    </w:p>
    <w:p w14:paraId="297A2CC6" w14:textId="77777777" w:rsidR="00CD65C2" w:rsidRDefault="00CD65C2">
      <w:pPr>
        <w:pStyle w:val="SemEspaamento"/>
      </w:pPr>
    </w:p>
    <w:p w14:paraId="4F146DC3" w14:textId="77777777" w:rsidR="00CD65C2" w:rsidRDefault="00CD65C2">
      <w:pPr>
        <w:pStyle w:val="SemEspaamento"/>
      </w:pPr>
    </w:p>
    <w:p w14:paraId="5DC3B6C4" w14:textId="77777777" w:rsidR="00CD65C2" w:rsidRDefault="00CD65C2">
      <w:pPr>
        <w:pStyle w:val="SemEspaamento"/>
      </w:pPr>
    </w:p>
    <w:p w14:paraId="384770BE" w14:textId="77777777" w:rsidR="00CD65C2" w:rsidRDefault="00CD65C2">
      <w:pPr>
        <w:pStyle w:val="SemEspaamento"/>
      </w:pPr>
    </w:p>
    <w:p w14:paraId="27BD0650" w14:textId="77777777" w:rsidR="00CD65C2" w:rsidRDefault="00CD65C2">
      <w:pPr>
        <w:pStyle w:val="SemEspaamento"/>
      </w:pPr>
    </w:p>
    <w:p w14:paraId="19A7E403" w14:textId="77777777" w:rsidR="00CD65C2" w:rsidRDefault="00CD65C2">
      <w:pPr>
        <w:pStyle w:val="SemEspaamento"/>
      </w:pPr>
    </w:p>
    <w:p w14:paraId="58E2FC5D" w14:textId="77777777" w:rsidR="00CD65C2" w:rsidRDefault="00CD65C2">
      <w:pPr>
        <w:pStyle w:val="SemEspaamento"/>
      </w:pPr>
    </w:p>
    <w:p w14:paraId="16F85B3F" w14:textId="77777777" w:rsidR="00CD65C2" w:rsidRDefault="00CD65C2">
      <w:pPr>
        <w:pStyle w:val="SemEspaamento"/>
      </w:pPr>
    </w:p>
    <w:p w14:paraId="50D14319" w14:textId="77777777" w:rsidR="00CD65C2" w:rsidRDefault="00CD65C2">
      <w:pPr>
        <w:pStyle w:val="SemEspaamento"/>
      </w:pPr>
    </w:p>
    <w:p w14:paraId="0707ED4D" w14:textId="77777777" w:rsidR="00CD65C2" w:rsidRDefault="00CD65C2">
      <w:pPr>
        <w:pStyle w:val="SemEspaamento"/>
      </w:pPr>
    </w:p>
    <w:p w14:paraId="562766EE" w14:textId="77777777" w:rsidR="00CD65C2" w:rsidRDefault="00CD65C2">
      <w:pPr>
        <w:pStyle w:val="SemEspaamento"/>
      </w:pPr>
    </w:p>
    <w:p w14:paraId="40A4AEFF" w14:textId="77777777" w:rsidR="00CD65C2" w:rsidRDefault="00CD65C2">
      <w:pPr>
        <w:pStyle w:val="SemEspaamento"/>
      </w:pPr>
    </w:p>
    <w:p w14:paraId="08DA541E" w14:textId="77777777" w:rsidR="00CD65C2" w:rsidRDefault="00CD65C2">
      <w:pPr>
        <w:pStyle w:val="SemEspaamento"/>
      </w:pPr>
    </w:p>
    <w:p w14:paraId="3AD9B075" w14:textId="77777777" w:rsidR="00CD65C2" w:rsidRDefault="00CD65C2">
      <w:pPr>
        <w:pStyle w:val="SemEspaamento"/>
      </w:pPr>
    </w:p>
    <w:p w14:paraId="4C533CC3" w14:textId="77777777" w:rsidR="00CD65C2" w:rsidRDefault="00CD65C2">
      <w:pPr>
        <w:pStyle w:val="SemEspaamento"/>
      </w:pPr>
    </w:p>
    <w:p w14:paraId="304EF0E3" w14:textId="77777777" w:rsidR="00CD65C2" w:rsidRDefault="00CD65C2">
      <w:pPr>
        <w:pStyle w:val="SemEspaamento"/>
      </w:pPr>
    </w:p>
    <w:p w14:paraId="5F7C0B74" w14:textId="77777777" w:rsidR="00CD65C2" w:rsidRDefault="00CD65C2">
      <w:pPr>
        <w:pStyle w:val="SemEspaamento"/>
      </w:pPr>
    </w:p>
    <w:p w14:paraId="34D05CEC" w14:textId="77777777" w:rsidR="00CD65C2" w:rsidRDefault="00CD65C2">
      <w:pPr>
        <w:pStyle w:val="SemEspaamento"/>
      </w:pPr>
    </w:p>
    <w:p w14:paraId="3889A646" w14:textId="77777777" w:rsidR="00CD65C2" w:rsidRDefault="00CD65C2">
      <w:pPr>
        <w:pStyle w:val="SemEspaamento"/>
      </w:pPr>
    </w:p>
    <w:p w14:paraId="13BC8B6C" w14:textId="77777777" w:rsidR="00CD65C2" w:rsidRDefault="00CD65C2">
      <w:pPr>
        <w:pStyle w:val="SemEspaamento"/>
      </w:pPr>
    </w:p>
    <w:p w14:paraId="433D665B" w14:textId="77777777" w:rsidR="00CD65C2" w:rsidRDefault="00CD65C2">
      <w:pPr>
        <w:pStyle w:val="SemEspaamento"/>
      </w:pPr>
    </w:p>
    <w:p w14:paraId="258C8CC6" w14:textId="77777777" w:rsidR="00CD65C2" w:rsidRDefault="00CD65C2">
      <w:pPr>
        <w:pStyle w:val="SemEspaamento"/>
      </w:pPr>
    </w:p>
    <w:p w14:paraId="1C0147FF" w14:textId="77777777" w:rsidR="00CD65C2" w:rsidRDefault="00FA41FC">
      <w:pPr>
        <w:pStyle w:val="Ttulo1"/>
        <w:jc w:val="center"/>
        <w:rPr>
          <w:rFonts w:hint="eastAsia"/>
        </w:rPr>
      </w:pPr>
      <w:bookmarkStart w:id="161" w:name="_Toc165537308"/>
      <w:r>
        <w:rPr>
          <w:bCs/>
          <w:iCs/>
        </w:rPr>
        <w:t xml:space="preserve">L-Metionina, </w:t>
      </w:r>
      <w:r>
        <w:rPr>
          <w:bCs/>
          <w:i/>
          <w:iCs/>
        </w:rPr>
        <w:t>Hibiscus sabdariffa</w:t>
      </w:r>
      <w:r>
        <w:rPr>
          <w:bCs/>
          <w:iCs/>
        </w:rPr>
        <w:t xml:space="preserve"> e </w:t>
      </w:r>
      <w:r>
        <w:rPr>
          <w:bCs/>
          <w:i/>
          <w:iCs/>
        </w:rPr>
        <w:t>Boswellia serrata</w:t>
      </w:r>
      <w:bookmarkEnd w:id="161"/>
    </w:p>
    <w:p w14:paraId="7833C0B9" w14:textId="77777777" w:rsidR="00CD65C2" w:rsidRDefault="00FA41FC">
      <w:pPr>
        <w:pStyle w:val="Corpo"/>
        <w:spacing w:after="120"/>
        <w:jc w:val="center"/>
        <w:rPr>
          <w:rFonts w:hint="eastAsia"/>
          <w:b/>
          <w:color w:val="0070C0"/>
          <w:sz w:val="40"/>
          <w14:textFill>
            <w14:solidFill>
              <w14:srgbClr w14:val="0070C0">
                <w14:lumMod w14:val="75000"/>
                <w14:lumOff w14:val="25000"/>
              </w14:srgbClr>
            </w14:solidFill>
          </w14:textFill>
        </w:rPr>
      </w:pPr>
      <w:r>
        <w:rPr>
          <w:b/>
          <w:color w:val="0070C0"/>
          <w:sz w:val="40"/>
          <w14:textFill>
            <w14:solidFill>
              <w14:srgbClr w14:val="0070C0">
                <w14:lumMod w14:val="75000"/>
                <w14:lumOff w14:val="25000"/>
              </w14:srgbClr>
            </w14:solidFill>
          </w14:textFill>
        </w:rPr>
        <w:t>Previne as Recorrências e Reduz os Sintomas</w:t>
      </w:r>
    </w:p>
    <w:p w14:paraId="74757729" w14:textId="77777777" w:rsidR="00CD65C2" w:rsidRDefault="00CD65C2">
      <w:pPr>
        <w:pStyle w:val="Corpo"/>
        <w:spacing w:after="120"/>
        <w:rPr>
          <w:rFonts w:hint="eastAsia"/>
          <w:color w:val="404040" w:themeColor="text1" w:themeTint="BF"/>
          <w:sz w:val="24"/>
        </w:rPr>
      </w:pPr>
    </w:p>
    <w:p w14:paraId="596946C5" w14:textId="6C985510" w:rsidR="00CD65C2" w:rsidRDefault="00FA41FC">
      <w:pPr>
        <w:pStyle w:val="Corpo"/>
        <w:rPr>
          <w:rFonts w:hint="eastAsia"/>
          <w:color w:val="404040" w:themeColor="text1" w:themeTint="BF"/>
          <w:sz w:val="24"/>
        </w:rPr>
      </w:pPr>
      <w:r>
        <w:rPr>
          <w:color w:val="404040" w:themeColor="text1" w:themeTint="BF"/>
          <w:sz w:val="24"/>
        </w:rPr>
        <w:t xml:space="preserve">Cai </w:t>
      </w:r>
      <w:r>
        <w:rPr>
          <w:i/>
          <w:color w:val="404040" w:themeColor="text1" w:themeTint="BF"/>
          <w:sz w:val="24"/>
        </w:rPr>
        <w:t>et al</w:t>
      </w:r>
      <w:r>
        <w:rPr>
          <w:color w:val="404040" w:themeColor="text1" w:themeTint="BF"/>
          <w:sz w:val="24"/>
        </w:rPr>
        <w:t xml:space="preserve">. (2018) conduziram este estudo clínico e randomizado de fase III com o objetivo de avaliar a eficácia da combinação fitoterápica de L-metionina com </w:t>
      </w:r>
      <w:r>
        <w:rPr>
          <w:i/>
          <w:color w:val="404040" w:themeColor="text1" w:themeTint="BF"/>
          <w:sz w:val="24"/>
        </w:rPr>
        <w:t>Hibiscus sabdariffa</w:t>
      </w:r>
      <w:r>
        <w:rPr>
          <w:color w:val="404040" w:themeColor="text1" w:themeTint="BF"/>
          <w:sz w:val="24"/>
        </w:rPr>
        <w:t xml:space="preserve"> e </w:t>
      </w:r>
      <w:r>
        <w:rPr>
          <w:i/>
          <w:color w:val="404040" w:themeColor="text1" w:themeTint="BF"/>
          <w:sz w:val="24"/>
        </w:rPr>
        <w:t>Boswellia serrata</w:t>
      </w:r>
      <w:r>
        <w:rPr>
          <w:color w:val="404040" w:themeColor="text1" w:themeTint="BF"/>
          <w:sz w:val="24"/>
        </w:rPr>
        <w:t xml:space="preserve"> no tratamento dos episódios agudos de ITUs em mulheres com recorrência.</w:t>
      </w:r>
    </w:p>
    <w:p w14:paraId="36CCDC8B"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963392" behindDoc="0" locked="0" layoutInCell="1" allowOverlap="1">
                <wp:simplePos x="0" y="0"/>
                <wp:positionH relativeFrom="margin">
                  <wp:posOffset>-3810</wp:posOffset>
                </wp:positionH>
                <wp:positionV relativeFrom="paragraph">
                  <wp:posOffset>140970</wp:posOffset>
                </wp:positionV>
                <wp:extent cx="5735955" cy="333375"/>
                <wp:effectExtent l="0" t="0" r="17780" b="28575"/>
                <wp:wrapNone/>
                <wp:docPr id="739657879" name="Caixa de texto 7396578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781" cy="333375"/>
                        </a:xfrm>
                        <a:prstGeom prst="rect">
                          <a:avLst/>
                        </a:prstGeom>
                        <a:solidFill>
                          <a:schemeClr val="bg1">
                            <a:lumMod val="100000"/>
                            <a:lumOff val="0"/>
                          </a:schemeClr>
                        </a:solidFill>
                        <a:ln w="9525">
                          <a:solidFill>
                            <a:srgbClr val="0070C0"/>
                          </a:solidFill>
                          <a:miter lim="800000"/>
                        </a:ln>
                      </wps:spPr>
                      <wps:txbx>
                        <w:txbxContent>
                          <w:p w14:paraId="2F95C7AB" w14:textId="77777777" w:rsidR="00FA41FC" w:rsidRDefault="00FA41FC">
                            <w:pPr>
                              <w:jc w:val="center"/>
                              <w:rPr>
                                <w:rFonts w:ascii="Swis721 Th BT" w:hAnsi="Swis721 Th BT"/>
                              </w:rPr>
                            </w:pPr>
                            <w:r>
                              <w:rPr>
                                <w:rFonts w:ascii="Swis721 Th BT" w:hAnsi="Swis721 Th BT"/>
                              </w:rPr>
                              <w:t>Assim, 93 mulheres com ITU não complicada foram selecionados para receberem:</w:t>
                            </w:r>
                          </w:p>
                          <w:p w14:paraId="2019A904"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879" o:spid="_x0000_s1232" type="#_x0000_t202" style="position:absolute;left:0;text-align:left;margin-left:-.3pt;margin-top:11.1pt;width:451.65pt;height:26.25pt;z-index:2519633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" fillcolor="white [3212]" strokecolor="#0070c0">
                <v:textbox>
                  <w:txbxContent>
                    <w:p w14:paraId="2F95C7AB" w14:textId="77777777" w:rsidR="00FA41FC" w:rsidRDefault="00FA41FC">
                      <w:pPr>
                        <w:jc w:val="center"/>
                        <w:rPr>
                          <w:rFonts w:ascii="Swis721 Th BT" w:hAnsi="Swis721 Th BT"/>
                        </w:rPr>
                      </w:pPr>
                      <w:r>
                        <w:rPr>
                          <w:rFonts w:ascii="Swis721 Th BT" w:hAnsi="Swis721 Th BT"/>
                        </w:rPr>
                        <w:t>Assim, 93 mulheres com ITU não complicada foram selecionados para receberem:</w:t>
                      </w:r>
                    </w:p>
                    <w:p w14:paraId="2019A904"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1375B348"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964416" behindDoc="0" locked="0" layoutInCell="1" allowOverlap="1">
                <wp:simplePos x="0" y="0"/>
                <wp:positionH relativeFrom="column">
                  <wp:posOffset>4423410</wp:posOffset>
                </wp:positionH>
                <wp:positionV relativeFrom="paragraph">
                  <wp:posOffset>169545</wp:posOffset>
                </wp:positionV>
                <wp:extent cx="226695" cy="138430"/>
                <wp:effectExtent l="0" t="0" r="1905" b="0"/>
                <wp:wrapNone/>
                <wp:docPr id="739657880" name="Triângulo isósceles 7396578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880" o:spid="_x0000_s1026" o:spt="5" type="#_x0000_t5" style="position:absolute;left:0pt;flip:y;margin-left:348.3pt;margin-top:13.35pt;height:10.9pt;width:17.85pt;z-index:251964416;mso-width-relative:page;mso-height-relative:page;" fillcolor="#D9D9D9 [3212]" filled="t" stroked="f" coordsize="21600,21600" o:gfxdata="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GqRgjHZAAAACQEAAA8AAAAAAAAAAQAgAAAAIgAAAGRycy9kb3ducmV2LnhtbFBLAQIUABQA&#10;AAAIAIdO4kBKtAdoYQIAALMEAAAOAAAAAAAAAAEAIAAAACgBAABkcnMvZTJvRG9jLnhtbFBLBQYA&#10;AAAABgAGAFkBAAD7BQ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965440" behindDoc="0" locked="0" layoutInCell="1" allowOverlap="1">
                <wp:simplePos x="0" y="0"/>
                <wp:positionH relativeFrom="column">
                  <wp:posOffset>1031875</wp:posOffset>
                </wp:positionH>
                <wp:positionV relativeFrom="paragraph">
                  <wp:posOffset>169545</wp:posOffset>
                </wp:positionV>
                <wp:extent cx="226695" cy="138430"/>
                <wp:effectExtent l="0" t="0" r="1905" b="0"/>
                <wp:wrapNone/>
                <wp:docPr id="739657881" name="Triângulo isósceles 7396578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881" o:spid="_x0000_s1026" o:spt="5" type="#_x0000_t5" style="position:absolute;left:0pt;flip:y;margin-left:81.25pt;margin-top:13.35pt;height:10.9pt;width:17.85pt;z-index:251965440;mso-width-relative:page;mso-height-relative:page;" fillcolor="#D9D9D9 [3212]" filled="t" stroked="f" coordsize="21600,21600" o:gfxdata="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mRVBNgAAAAJAQAADwAAAAAAAAABACAAAAAiAAAAZHJzL2Rvd25yZXYueG1sUEsBAhQAFAAA&#10;AAgAh07iQOLl/y5hAgAAswQAAA4AAAAAAAAAAQAgAAAAJwEAAGRycy9lMm9Eb2MueG1sUEsFBgAA&#10;AAAGAAYAWQEAAPoFAAAAAA==&#10;" adj="10800">
                <v:fill on="t" focussize="0,0"/>
                <v:stroke on="f"/>
                <v:imagedata o:title=""/>
                <o:lock v:ext="edit" aspectratio="f"/>
              </v:shape>
            </w:pict>
          </mc:Fallback>
        </mc:AlternateContent>
      </w:r>
    </w:p>
    <w:p w14:paraId="256B86CF"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961344" behindDoc="0" locked="0" layoutInCell="1" allowOverlap="1">
                <wp:simplePos x="0" y="0"/>
                <wp:positionH relativeFrom="column">
                  <wp:posOffset>-3810</wp:posOffset>
                </wp:positionH>
                <wp:positionV relativeFrom="paragraph">
                  <wp:posOffset>165735</wp:posOffset>
                </wp:positionV>
                <wp:extent cx="2307590" cy="1028700"/>
                <wp:effectExtent l="0" t="0" r="16510" b="19050"/>
                <wp:wrapNone/>
                <wp:docPr id="739657883" name="Caixa de texto 7396578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590" cy="1028700"/>
                        </a:xfrm>
                        <a:prstGeom prst="rect">
                          <a:avLst/>
                        </a:prstGeom>
                        <a:solidFill>
                          <a:srgbClr val="0070C0"/>
                        </a:solidFill>
                        <a:ln w="9525">
                          <a:solidFill>
                            <a:srgbClr val="0070C0"/>
                          </a:solidFill>
                          <a:miter lim="800000"/>
                        </a:ln>
                      </wps:spPr>
                      <wps:txbx>
                        <w:txbxContent>
                          <w:p w14:paraId="5A1078A5" w14:textId="77777777" w:rsidR="00FA41FC" w:rsidRDefault="00FA41FC">
                            <w:pPr>
                              <w:spacing w:after="0" w:line="240" w:lineRule="auto"/>
                              <w:jc w:val="center"/>
                              <w:rPr>
                                <w:rFonts w:ascii="Swis721 Th BT" w:hAnsi="Swis721 Th BT"/>
                                <w:color w:val="FFFFFF" w:themeColor="background1"/>
                                <w:sz w:val="23"/>
                                <w:szCs w:val="23"/>
                              </w:rPr>
                            </w:pPr>
                            <w:r>
                              <w:rPr>
                                <w:b/>
                                <w:color w:val="FFFFFF" w:themeColor="background1"/>
                                <w:szCs w:val="23"/>
                              </w:rPr>
                              <w:t xml:space="preserve">Grupo 1 </w:t>
                            </w:r>
                            <w:r>
                              <w:rPr>
                                <w:b/>
                                <w:color w:val="FFFFFF" w:themeColor="background1"/>
                                <w:szCs w:val="23"/>
                              </w:rPr>
                              <w:br/>
                            </w:r>
                            <w:r>
                              <w:rPr>
                                <w:rFonts w:ascii="Swis721 Th BT" w:hAnsi="Swis721 Th BT"/>
                                <w:color w:val="FFFFFF" w:themeColor="background1"/>
                                <w:sz w:val="23"/>
                                <w:szCs w:val="23"/>
                              </w:rPr>
                              <w:t>L-metionina 400 mg</w:t>
                            </w:r>
                          </w:p>
                          <w:p w14:paraId="44F12AA8"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Hibiscus sabdariffa</w:t>
                            </w:r>
                            <w:r>
                              <w:rPr>
                                <w:rFonts w:ascii="Swis721 Th BT" w:hAnsi="Swis721 Th BT"/>
                                <w:color w:val="FFFFFF" w:themeColor="background1"/>
                                <w:sz w:val="23"/>
                                <w:szCs w:val="23"/>
                              </w:rPr>
                              <w:t xml:space="preserve"> 100 mg</w:t>
                            </w:r>
                          </w:p>
                          <w:p w14:paraId="72FE4B44"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Boswellia serrata</w:t>
                            </w:r>
                            <w:r>
                              <w:rPr>
                                <w:rFonts w:ascii="Swis721 Th BT" w:hAnsi="Swis721 Th BT"/>
                                <w:color w:val="FFFFFF" w:themeColor="background1"/>
                                <w:sz w:val="23"/>
                                <w:szCs w:val="23"/>
                              </w:rPr>
                              <w:t xml:space="preserve"> 100 mg</w:t>
                            </w:r>
                          </w:p>
                          <w:p w14:paraId="209A608C"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 cápsula 2 vezes ao dia</w:t>
                            </w:r>
                          </w:p>
                          <w:p w14:paraId="5D76A39D" w14:textId="77777777" w:rsidR="00FA41FC" w:rsidRDefault="00FA41FC">
                            <w:pPr>
                              <w:pStyle w:val="Corpo"/>
                              <w:jc w:val="center"/>
                              <w:rPr>
                                <w:rFonts w:hint="eastAsia"/>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739657883" o:spid="_x0000_s1233" type="#_x0000_t202" style="position:absolute;left:0;text-align:left;margin-left:-.3pt;margin-top:13.05pt;width:181.7pt;height:81pt;z-index:251961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" fillcolor="#0070c0" strokecolor="#0070c0">
                <v:textbox>
                  <w:txbxContent>
                    <w:p w14:paraId="5A1078A5" w14:textId="77777777" w:rsidR="00FA41FC" w:rsidRDefault="00FA41FC">
                      <w:pPr>
                        <w:spacing w:after="0" w:line="240" w:lineRule="auto"/>
                        <w:jc w:val="center"/>
                        <w:rPr>
                          <w:rFonts w:ascii="Swis721 Th BT" w:hAnsi="Swis721 Th BT"/>
                          <w:color w:val="FFFFFF" w:themeColor="background1"/>
                          <w:sz w:val="23"/>
                          <w:szCs w:val="23"/>
                        </w:rPr>
                      </w:pPr>
                      <w:r>
                        <w:rPr>
                          <w:b/>
                          <w:color w:val="FFFFFF" w:themeColor="background1"/>
                          <w:szCs w:val="23"/>
                        </w:rPr>
                        <w:t xml:space="preserve">Grupo 1 </w:t>
                      </w:r>
                      <w:r>
                        <w:rPr>
                          <w:b/>
                          <w:color w:val="FFFFFF" w:themeColor="background1"/>
                          <w:szCs w:val="23"/>
                        </w:rPr>
                        <w:br/>
                      </w:r>
                      <w:r>
                        <w:rPr>
                          <w:rFonts w:ascii="Swis721 Th BT" w:hAnsi="Swis721 Th BT"/>
                          <w:color w:val="FFFFFF" w:themeColor="background1"/>
                          <w:sz w:val="23"/>
                          <w:szCs w:val="23"/>
                        </w:rPr>
                        <w:t>L-metionina 400 mg</w:t>
                      </w:r>
                    </w:p>
                    <w:p w14:paraId="44F12AA8"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Hibiscus sabdariffa</w:t>
                      </w:r>
                      <w:r>
                        <w:rPr>
                          <w:rFonts w:ascii="Swis721 Th BT" w:hAnsi="Swis721 Th BT"/>
                          <w:color w:val="FFFFFF" w:themeColor="background1"/>
                          <w:sz w:val="23"/>
                          <w:szCs w:val="23"/>
                        </w:rPr>
                        <w:t xml:space="preserve"> 100 mg</w:t>
                      </w:r>
                    </w:p>
                    <w:p w14:paraId="72FE4B44"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Boswellia serrata</w:t>
                      </w:r>
                      <w:r>
                        <w:rPr>
                          <w:rFonts w:ascii="Swis721 Th BT" w:hAnsi="Swis721 Th BT"/>
                          <w:color w:val="FFFFFF" w:themeColor="background1"/>
                          <w:sz w:val="23"/>
                          <w:szCs w:val="23"/>
                        </w:rPr>
                        <w:t xml:space="preserve"> 100 mg</w:t>
                      </w:r>
                    </w:p>
                    <w:p w14:paraId="209A608C"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 cápsula 2 vezes ao dia</w:t>
                      </w:r>
                    </w:p>
                    <w:p w14:paraId="5D76A39D" w14:textId="77777777" w:rsidR="00FA41FC" w:rsidRDefault="00FA41FC">
                      <w:pPr>
                        <w:pStyle w:val="Corpo"/>
                        <w:jc w:val="center"/>
                        <w:rPr>
                          <w:rFonts w:hint="eastAsia"/>
                          <w:color w:val="FFFFFF" w:themeColor="background1"/>
                          <w:szCs w:val="23"/>
                        </w:rP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962368" behindDoc="0" locked="0" layoutInCell="1" allowOverlap="1">
                <wp:simplePos x="0" y="0"/>
                <wp:positionH relativeFrom="column">
                  <wp:posOffset>3406140</wp:posOffset>
                </wp:positionH>
                <wp:positionV relativeFrom="paragraph">
                  <wp:posOffset>175260</wp:posOffset>
                </wp:positionV>
                <wp:extent cx="2317750" cy="1019175"/>
                <wp:effectExtent l="0" t="0" r="25400" b="28575"/>
                <wp:wrapNone/>
                <wp:docPr id="739657882" name="Caixa de texto 739657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0" cy="1019175"/>
                        </a:xfrm>
                        <a:prstGeom prst="rect">
                          <a:avLst/>
                        </a:prstGeom>
                        <a:solidFill>
                          <a:srgbClr val="0070C0"/>
                        </a:solidFill>
                        <a:ln w="9525">
                          <a:solidFill>
                            <a:srgbClr val="0070C0"/>
                          </a:solidFill>
                          <a:miter lim="800000"/>
                        </a:ln>
                      </wps:spPr>
                      <wps:txbx>
                        <w:txbxContent>
                          <w:p w14:paraId="4A3C2CDD"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19209B5"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Antibiótico em curto prazo de acordo com EAU</w:t>
                            </w:r>
                            <w:r>
                              <w:rPr>
                                <w:rFonts w:ascii="Swis721 Th BT" w:hAnsi="Swis721 Th BT"/>
                                <w:i/>
                                <w:color w:val="FFFFFF" w:themeColor="background1"/>
                                <w:sz w:val="23"/>
                                <w:szCs w:val="23"/>
                              </w:rPr>
                              <w:t xml:space="preserve"> guidelines</w:t>
                            </w:r>
                          </w:p>
                          <w:p w14:paraId="5A8B1C0D" w14:textId="77777777" w:rsidR="00FA41FC" w:rsidRDefault="00FA41FC">
                            <w:pPr>
                              <w:spacing w:after="0" w:line="240" w:lineRule="auto"/>
                              <w:jc w:val="center"/>
                              <w:rPr>
                                <w:rFonts w:ascii="Swis721 Th BT" w:hAnsi="Swis721 Th BT"/>
                                <w:b/>
                                <w:color w:val="FFFFFF" w:themeColor="background1"/>
                                <w:sz w:val="12"/>
                                <w:szCs w:val="12"/>
                              </w:rPr>
                            </w:pPr>
                          </w:p>
                          <w:p w14:paraId="25BFFA83" w14:textId="77777777" w:rsidR="00FA41FC" w:rsidRDefault="00FA41FC">
                            <w:pPr>
                              <w:spacing w:after="0" w:line="240" w:lineRule="auto"/>
                              <w:jc w:val="center"/>
                              <w:rPr>
                                <w:rFonts w:ascii="Swis721 Th BT" w:hAnsi="Swis721 Th BT"/>
                                <w:b/>
                                <w:color w:val="FFFFFF" w:themeColor="background1"/>
                                <w:sz w:val="23"/>
                                <w:szCs w:val="23"/>
                              </w:rPr>
                            </w:pPr>
                          </w:p>
                          <w:p w14:paraId="50FA4616" w14:textId="77777777" w:rsidR="00FA41FC" w:rsidRDefault="00FA41FC">
                            <w:pPr>
                              <w:spacing w:after="0" w:line="240" w:lineRule="auto"/>
                              <w:jc w:val="center"/>
                              <w:rPr>
                                <w:rFonts w:ascii="Swis721 Th BT" w:hAnsi="Swis721 Th BT"/>
                                <w:b/>
                                <w:color w:val="FFFFFF" w:themeColor="background1"/>
                                <w:sz w:val="12"/>
                                <w:szCs w:val="12"/>
                              </w:rPr>
                            </w:pPr>
                          </w:p>
                          <w:p w14:paraId="2C5F934F" w14:textId="77777777" w:rsidR="00FA41FC" w:rsidRDefault="00FA41FC"/>
                        </w:txbxContent>
                      </wps:txbx>
                      <wps:bodyPr rot="0" vert="horz" wrap="square" lIns="91440" tIns="45720" rIns="91440" bIns="45720" anchor="t" anchorCtr="0" upright="1">
                        <a:noAutofit/>
                      </wps:bodyPr>
                    </wps:wsp>
                  </a:graphicData>
                </a:graphic>
              </wp:anchor>
            </w:drawing>
          </mc:Choice>
          <mc:Fallback>
            <w:pict>
              <v:shape id="Caixa de texto 739657882" o:spid="_x0000_s1234" type="#_x0000_t202" style="position:absolute;left:0;text-align:left;margin-left:268.2pt;margin-top:13.8pt;width:182.5pt;height:80.25pt;z-index:251962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" fillcolor="#0070c0" strokecolor="#0070c0">
                <v:textbox>
                  <w:txbxContent>
                    <w:p w14:paraId="4A3C2CDD"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19209B5"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Antibiótico em curto prazo de acordo com EAU</w:t>
                      </w:r>
                      <w:r>
                        <w:rPr>
                          <w:rFonts w:ascii="Swis721 Th BT" w:hAnsi="Swis721 Th BT"/>
                          <w:i/>
                          <w:color w:val="FFFFFF" w:themeColor="background1"/>
                          <w:sz w:val="23"/>
                          <w:szCs w:val="23"/>
                        </w:rPr>
                        <w:t xml:space="preserve"> guidelines</w:t>
                      </w:r>
                    </w:p>
                    <w:p w14:paraId="5A8B1C0D" w14:textId="77777777" w:rsidR="00FA41FC" w:rsidRDefault="00FA41FC">
                      <w:pPr>
                        <w:spacing w:after="0" w:line="240" w:lineRule="auto"/>
                        <w:jc w:val="center"/>
                        <w:rPr>
                          <w:rFonts w:ascii="Swis721 Th BT" w:hAnsi="Swis721 Th BT"/>
                          <w:b/>
                          <w:color w:val="FFFFFF" w:themeColor="background1"/>
                          <w:sz w:val="12"/>
                          <w:szCs w:val="12"/>
                        </w:rPr>
                      </w:pPr>
                    </w:p>
                    <w:p w14:paraId="25BFFA83" w14:textId="77777777" w:rsidR="00FA41FC" w:rsidRDefault="00FA41FC">
                      <w:pPr>
                        <w:spacing w:after="0" w:line="240" w:lineRule="auto"/>
                        <w:jc w:val="center"/>
                        <w:rPr>
                          <w:rFonts w:ascii="Swis721 Th BT" w:hAnsi="Swis721 Th BT"/>
                          <w:b/>
                          <w:color w:val="FFFFFF" w:themeColor="background1"/>
                          <w:sz w:val="23"/>
                          <w:szCs w:val="23"/>
                        </w:rPr>
                      </w:pPr>
                    </w:p>
                    <w:p w14:paraId="50FA4616" w14:textId="77777777" w:rsidR="00FA41FC" w:rsidRDefault="00FA41FC">
                      <w:pPr>
                        <w:spacing w:after="0" w:line="240" w:lineRule="auto"/>
                        <w:jc w:val="center"/>
                        <w:rPr>
                          <w:rFonts w:ascii="Swis721 Th BT" w:hAnsi="Swis721 Th BT"/>
                          <w:b/>
                          <w:color w:val="FFFFFF" w:themeColor="background1"/>
                          <w:sz w:val="12"/>
                          <w:szCs w:val="12"/>
                        </w:rPr>
                      </w:pPr>
                    </w:p>
                    <w:p w14:paraId="2C5F934F" w14:textId="77777777" w:rsidR="00FA41FC" w:rsidRDefault="00FA41FC"/>
                  </w:txbxContent>
                </v:textbox>
              </v:shape>
            </w:pict>
          </mc:Fallback>
        </mc:AlternateContent>
      </w:r>
    </w:p>
    <w:p w14:paraId="69A304F4" w14:textId="77777777" w:rsidR="00CD65C2" w:rsidRDefault="00CD65C2">
      <w:pPr>
        <w:pStyle w:val="Corpo"/>
        <w:rPr>
          <w:rFonts w:hint="eastAsia"/>
          <w:color w:val="404040" w:themeColor="text1" w:themeTint="BF"/>
        </w:rPr>
      </w:pPr>
    </w:p>
    <w:p w14:paraId="2E01FAE1" w14:textId="77777777" w:rsidR="00CD65C2" w:rsidRDefault="00CD65C2">
      <w:pPr>
        <w:pStyle w:val="Corpo"/>
        <w:rPr>
          <w:rFonts w:hint="eastAsia"/>
          <w:color w:val="404040" w:themeColor="text1" w:themeTint="BF"/>
        </w:rPr>
      </w:pPr>
    </w:p>
    <w:p w14:paraId="1D025558" w14:textId="77777777" w:rsidR="00CD65C2" w:rsidRDefault="00CD65C2">
      <w:pPr>
        <w:pStyle w:val="Corpo"/>
        <w:rPr>
          <w:rFonts w:hint="eastAsia"/>
          <w:color w:val="404040" w:themeColor="text1" w:themeTint="BF"/>
        </w:rPr>
      </w:pPr>
    </w:p>
    <w:p w14:paraId="7D90CF02" w14:textId="77777777" w:rsidR="00CD65C2" w:rsidRDefault="00CD65C2">
      <w:pPr>
        <w:pStyle w:val="Corpo"/>
        <w:rPr>
          <w:rFonts w:hint="eastAsia"/>
          <w:color w:val="404040" w:themeColor="text1" w:themeTint="BF"/>
        </w:rPr>
      </w:pPr>
    </w:p>
    <w:p w14:paraId="376268DA" w14:textId="77777777" w:rsidR="00CD65C2" w:rsidRDefault="00CD65C2">
      <w:pPr>
        <w:pStyle w:val="Corpo"/>
        <w:rPr>
          <w:rFonts w:hint="eastAsia"/>
          <w:color w:val="404040" w:themeColor="text1" w:themeTint="BF"/>
        </w:rPr>
      </w:pPr>
    </w:p>
    <w:p w14:paraId="555D470A" w14:textId="77777777" w:rsidR="00CD65C2" w:rsidRDefault="00CD65C2">
      <w:pPr>
        <w:pStyle w:val="Corpo"/>
        <w:rPr>
          <w:rFonts w:hint="eastAsia"/>
          <w:color w:val="404040" w:themeColor="text1" w:themeTint="BF"/>
        </w:rPr>
      </w:pPr>
    </w:p>
    <w:p w14:paraId="767B2E49"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47C0B4A1" w14:textId="5BA712E9" w:rsidR="00CD65C2" w:rsidRDefault="00FA41FC">
      <w:pPr>
        <w:pStyle w:val="Corpo"/>
        <w:numPr>
          <w:ilvl w:val="0"/>
          <w:numId w:val="5"/>
        </w:numPr>
        <w:rPr>
          <w:rFonts w:hint="eastAsia"/>
          <w:color w:val="404040" w:themeColor="text1" w:themeTint="BF"/>
          <w:sz w:val="24"/>
        </w:rPr>
      </w:pPr>
      <w:r>
        <w:rPr>
          <w:color w:val="404040" w:themeColor="text1" w:themeTint="BF"/>
          <w:sz w:val="24"/>
        </w:rPr>
        <w:t>Após 7 dias, a adesão ao tratamento no grupo 1 foi completa (100%), ao passo que no grupo 2 apenas 14,9% dos pacientes descontinuaram o tratamento devido a efeitos adversos relacionados;</w:t>
      </w:r>
    </w:p>
    <w:p w14:paraId="46DE6479" w14:textId="77777777" w:rsidR="00CD65C2" w:rsidRDefault="00FA41FC">
      <w:pPr>
        <w:pStyle w:val="Corpo"/>
        <w:numPr>
          <w:ilvl w:val="0"/>
          <w:numId w:val="5"/>
        </w:numPr>
        <w:rPr>
          <w:rFonts w:hint="eastAsia"/>
          <w:color w:val="404040" w:themeColor="text1" w:themeTint="BF"/>
          <w:sz w:val="24"/>
        </w:rPr>
      </w:pPr>
      <w:r>
        <w:rPr>
          <w:color w:val="404040" w:themeColor="text1" w:themeTint="BF"/>
          <w:sz w:val="24"/>
        </w:rPr>
        <w:t>Na visita de acompanhamento de um mês, uma melhora estatisticamente significativa foi reportada em 95,7% dos pacientes do grupo 1 e 100% do grupo 2. Além disso, uma cultura estéril da urina foi observada em 80,4% e 95,7% dos pacientes do grupo 1 e 2, respectivamente;</w:t>
      </w:r>
    </w:p>
    <w:p w14:paraId="5CC14395" w14:textId="338D4F29" w:rsidR="00CD65C2" w:rsidRDefault="00FA41FC">
      <w:pPr>
        <w:pStyle w:val="Corpo"/>
        <w:numPr>
          <w:ilvl w:val="0"/>
          <w:numId w:val="5"/>
        </w:numPr>
        <w:rPr>
          <w:rFonts w:hint="eastAsia"/>
          <w:color w:val="404040" w:themeColor="text1" w:themeTint="BF"/>
          <w:sz w:val="24"/>
        </w:rPr>
      </w:pPr>
      <w:r>
        <w:rPr>
          <w:color w:val="404040" w:themeColor="text1" w:themeTint="BF"/>
          <w:sz w:val="24"/>
        </w:rPr>
        <w:t xml:space="preserve">Na visita após dois meses, 73,9% dos indivíduos do grupo 1 demonstraram uma segunda cultura de urina estéril, enquanto o restante (26%) apresentou uma transição de ITU sintomática para bacteriuria assintomática (ABU) e mudança de microrganismo (de </w:t>
      </w:r>
      <w:r>
        <w:rPr>
          <w:i/>
          <w:color w:val="404040" w:themeColor="text1" w:themeTint="BF"/>
          <w:sz w:val="24"/>
        </w:rPr>
        <w:t>E. coli</w:t>
      </w:r>
      <w:r>
        <w:rPr>
          <w:color w:val="404040" w:themeColor="text1" w:themeTint="BF"/>
          <w:sz w:val="24"/>
        </w:rPr>
        <w:t xml:space="preserve"> para </w:t>
      </w:r>
      <w:r>
        <w:rPr>
          <w:i/>
          <w:color w:val="404040" w:themeColor="text1" w:themeTint="BF"/>
          <w:sz w:val="24"/>
        </w:rPr>
        <w:t>Enterococcus faecalis</w:t>
      </w:r>
      <w:r>
        <w:rPr>
          <w:color w:val="404040" w:themeColor="text1" w:themeTint="BF"/>
          <w:sz w:val="24"/>
        </w:rPr>
        <w:t>);</w:t>
      </w:r>
    </w:p>
    <w:p w14:paraId="7D4A8BDC" w14:textId="4F229B8E" w:rsidR="00CD65C2" w:rsidRDefault="00FA41FC">
      <w:pPr>
        <w:pStyle w:val="Corpo"/>
        <w:numPr>
          <w:ilvl w:val="0"/>
          <w:numId w:val="5"/>
        </w:numPr>
        <w:rPr>
          <w:rFonts w:hint="eastAsia"/>
          <w:color w:val="404040" w:themeColor="text1" w:themeTint="BF"/>
          <w:sz w:val="24"/>
        </w:rPr>
      </w:pPr>
      <w:r>
        <w:rPr>
          <w:color w:val="404040" w:themeColor="text1" w:themeTint="BF"/>
          <w:sz w:val="24"/>
        </w:rPr>
        <w:t xml:space="preserve">Após dois meses, não foram demonstradas falhas no tratamento do grupo 1, enquanto o grupo 2 apresentou ITU sintomática com demonstração microbiológica de </w:t>
      </w:r>
      <w:r>
        <w:rPr>
          <w:i/>
          <w:color w:val="404040" w:themeColor="text1" w:themeTint="BF"/>
          <w:sz w:val="24"/>
        </w:rPr>
        <w:t>E. coli</w:t>
      </w:r>
      <w:r>
        <w:rPr>
          <w:color w:val="404040" w:themeColor="text1" w:themeTint="BF"/>
          <w:sz w:val="24"/>
        </w:rPr>
        <w:t>. Nenhum paciente do grupo 2 mostrou transição de ITU para ABA.</w:t>
      </w:r>
    </w:p>
    <w:p w14:paraId="2FE463DE" w14:textId="77777777" w:rsidR="00CD65C2" w:rsidRDefault="00FA41FC">
      <w:pPr>
        <w:pStyle w:val="Corpo"/>
        <w:ind w:left="360"/>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 xml:space="preserve"> </w:t>
      </w:r>
    </w:p>
    <w:p w14:paraId="67D819AE"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685E26D6"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7F04DEE4" w14:textId="77777777" w:rsidR="00CD65C2" w:rsidRDefault="00FA41FC">
      <w:pPr>
        <w:pStyle w:val="Corpo"/>
        <w:jc w:val="center"/>
        <w:rPr>
          <w:rFonts w:hint="eastAsia"/>
          <w:b/>
          <w:i/>
          <w:color w:val="404040" w:themeColor="text1" w:themeTint="BF"/>
        </w:rPr>
      </w:pPr>
      <w:r>
        <w:rPr>
          <w:b/>
          <w:i/>
          <w:color w:val="404040" w:themeColor="text1" w:themeTint="BF"/>
        </w:rPr>
        <w:t>Os pesquisadores concluíram que essa associação fitoterápica é capaz de melhorar a qualidade de vida dos pacientes, reduzindo os sintomas e prevenindo as recorrências de quadros agudos de ITUs.</w:t>
      </w:r>
    </w:p>
    <w:p w14:paraId="78E7DA65" w14:textId="77777777" w:rsidR="00CD65C2" w:rsidRDefault="00FA41FC">
      <w:pPr>
        <w:pStyle w:val="Ttulo1"/>
        <w:jc w:val="center"/>
        <w:rPr>
          <w:rFonts w:hint="eastAsia"/>
        </w:rPr>
      </w:pPr>
      <w:bookmarkStart w:id="162" w:name="_Toc165537309"/>
      <w:r>
        <w:t>Formulário</w:t>
      </w:r>
      <w:bookmarkEnd w:id="162"/>
    </w:p>
    <w:p w14:paraId="71B24169" w14:textId="77777777" w:rsidR="00CD65C2" w:rsidRDefault="00CD65C2">
      <w:pPr>
        <w:pStyle w:val="Corpo"/>
        <w:rPr>
          <w:rFonts w:hint="eastAsia"/>
          <w:b/>
          <w:i/>
          <w:color w:val="404040" w:themeColor="text1" w:themeTint="BF"/>
        </w:rPr>
      </w:pPr>
    </w:p>
    <w:p w14:paraId="5E844890" w14:textId="77777777" w:rsidR="00CD65C2" w:rsidRDefault="00CD65C2">
      <w:pPr>
        <w:pStyle w:val="Corpo"/>
        <w:rPr>
          <w:rFonts w:hint="eastAsia"/>
          <w:b/>
          <w:i/>
          <w:color w:val="404040" w:themeColor="text1" w:themeTint="BF"/>
        </w:rPr>
      </w:pPr>
    </w:p>
    <w:p w14:paraId="13E09A0D" w14:textId="77777777" w:rsidR="00CD65C2" w:rsidRDefault="00FA41FC">
      <w:pPr>
        <w:pStyle w:val="Corpo"/>
        <w:rPr>
          <w:rFonts w:hint="eastAsia"/>
          <w:b/>
          <w:i/>
          <w:color w:val="404040" w:themeColor="text1" w:themeTint="BF"/>
          <w:sz w:val="24"/>
        </w:rPr>
      </w:pPr>
      <w:r>
        <w:rPr>
          <w:b/>
          <w:i/>
          <w:color w:val="404040" w:themeColor="text1" w:themeTint="BF"/>
          <w:sz w:val="24"/>
        </w:rPr>
        <w:t xml:space="preserve">Redução dos Sintomas e Recorrência das ITUs e Melhora da Qualidade de Vida </w:t>
      </w:r>
    </w:p>
    <w:p w14:paraId="2A82A11E"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7083ECE7"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706BBECF" w14:textId="77777777" w:rsidR="00CD65C2" w:rsidRDefault="00FA41FC">
            <w:pPr>
              <w:pStyle w:val="Corpo"/>
              <w:jc w:val="center"/>
              <w:rPr>
                <w:rFonts w:hint="eastAsia"/>
                <w:b/>
                <w:color w:val="FFFFFF" w:themeColor="background1"/>
              </w:rPr>
            </w:pPr>
            <w:r>
              <w:rPr>
                <w:b/>
                <w:color w:val="FFFFFF" w:themeColor="background1"/>
                <w:sz w:val="22"/>
              </w:rPr>
              <w:t>Associação Fitoterápica</w:t>
            </w:r>
          </w:p>
        </w:tc>
      </w:tr>
      <w:tr w:rsidR="00CD65C2" w14:paraId="5CD33252"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02454BB" w14:textId="77777777" w:rsidR="00CD65C2" w:rsidRDefault="00FA41FC">
            <w:pPr>
              <w:pStyle w:val="Corpo"/>
              <w:rPr>
                <w:rFonts w:hint="eastAsia"/>
                <w:color w:val="404040" w:themeColor="text1" w:themeTint="BF"/>
              </w:rPr>
            </w:pPr>
            <w:r>
              <w:rPr>
                <w:color w:val="404040" w:themeColor="text1" w:themeTint="BF"/>
              </w:rPr>
              <w:t>L-metionina.....................................400 mg</w:t>
            </w:r>
          </w:p>
        </w:tc>
      </w:tr>
      <w:tr w:rsidR="00CD65C2" w14:paraId="49A8117F"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D3E49F5" w14:textId="77777777" w:rsidR="00CD65C2" w:rsidRDefault="00FA41FC">
            <w:pPr>
              <w:pStyle w:val="Corpo"/>
              <w:rPr>
                <w:rFonts w:hint="eastAsia"/>
                <w:color w:val="404040" w:themeColor="text1" w:themeTint="BF"/>
              </w:rPr>
            </w:pPr>
            <w:r>
              <w:rPr>
                <w:i/>
                <w:color w:val="404040" w:themeColor="text1" w:themeTint="BF"/>
              </w:rPr>
              <w:t>Hibiscus sabdariffa</w:t>
            </w:r>
            <w:r>
              <w:rPr>
                <w:color w:val="404040" w:themeColor="text1" w:themeTint="BF"/>
              </w:rPr>
              <w:t>..........................100 mg</w:t>
            </w:r>
          </w:p>
        </w:tc>
      </w:tr>
      <w:tr w:rsidR="00CD65C2" w14:paraId="4B222DCF"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FB418A4" w14:textId="77777777" w:rsidR="00CD65C2" w:rsidRDefault="00FA41FC">
            <w:pPr>
              <w:pStyle w:val="Corpo"/>
              <w:rPr>
                <w:rFonts w:hint="eastAsia"/>
                <w:color w:val="404040" w:themeColor="text1" w:themeTint="BF"/>
              </w:rPr>
            </w:pPr>
            <w:r>
              <w:rPr>
                <w:i/>
                <w:color w:val="404040" w:themeColor="text1" w:themeTint="BF"/>
              </w:rPr>
              <w:t>Boswellia serrata</w:t>
            </w:r>
            <w:r>
              <w:rPr>
                <w:color w:val="404040" w:themeColor="text1" w:themeTint="BF"/>
              </w:rPr>
              <w:t>.............................100 mg</w:t>
            </w:r>
          </w:p>
        </w:tc>
      </w:tr>
      <w:tr w:rsidR="00CD65C2" w14:paraId="49E740A4"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9443D0E" w14:textId="7DB6713F" w:rsidR="00CD65C2" w:rsidRDefault="00FA41FC">
            <w:pPr>
              <w:pStyle w:val="Corpo"/>
              <w:rPr>
                <w:rFonts w:hint="eastAsia"/>
                <w:color w:val="404040" w:themeColor="text1" w:themeTint="BF"/>
              </w:rPr>
            </w:pPr>
            <w:r>
              <w:rPr>
                <w:color w:val="404040" w:themeColor="text1" w:themeTint="BF"/>
              </w:rPr>
              <w:t>Excipiente q.s.p. ........................1 Cápsula</w:t>
            </w:r>
          </w:p>
        </w:tc>
      </w:tr>
    </w:tbl>
    <w:p w14:paraId="47A7A579" w14:textId="5B2375D8" w:rsidR="00CD65C2" w:rsidRDefault="00FA41FC">
      <w:pPr>
        <w:pStyle w:val="Corpo"/>
        <w:ind w:right="4818"/>
        <w:jc w:val="center"/>
        <w:rPr>
          <w:rFonts w:hint="eastAsia"/>
          <w:color w:val="404040" w:themeColor="text1" w:themeTint="BF"/>
          <w:sz w:val="22"/>
          <w:szCs w:val="22"/>
        </w:rPr>
      </w:pPr>
      <w:r>
        <w:rPr>
          <w:color w:val="404040" w:themeColor="text1" w:themeTint="BF"/>
          <w:sz w:val="22"/>
          <w:szCs w:val="22"/>
        </w:rPr>
        <w:t>Administrar 1 cápsula duas vezes ao dia, pela manhã e à noite, ou conforme orientação médica.</w:t>
      </w:r>
    </w:p>
    <w:p w14:paraId="05840141" w14:textId="77777777" w:rsidR="00CD65C2" w:rsidRDefault="00CD65C2">
      <w:pPr>
        <w:pStyle w:val="SemEspaamento"/>
      </w:pPr>
    </w:p>
    <w:p w14:paraId="3430DC7A" w14:textId="77777777" w:rsidR="00CD65C2" w:rsidRDefault="00CD65C2">
      <w:pPr>
        <w:pStyle w:val="SemEspaamento"/>
      </w:pPr>
    </w:p>
    <w:p w14:paraId="51870132" w14:textId="77777777" w:rsidR="00CD65C2" w:rsidRDefault="00CD65C2">
      <w:pPr>
        <w:pStyle w:val="SemEspaamento"/>
      </w:pPr>
    </w:p>
    <w:p w14:paraId="4345C2F1" w14:textId="77777777" w:rsidR="00CD65C2" w:rsidRDefault="00CD65C2">
      <w:pPr>
        <w:pStyle w:val="SemEspaamento"/>
      </w:pPr>
    </w:p>
    <w:p w14:paraId="665460FA" w14:textId="77777777" w:rsidR="00CD65C2" w:rsidRDefault="00CD65C2">
      <w:pPr>
        <w:pStyle w:val="SemEspaamento"/>
      </w:pPr>
    </w:p>
    <w:p w14:paraId="4E195752" w14:textId="77777777" w:rsidR="00CD65C2" w:rsidRDefault="00CD65C2">
      <w:pPr>
        <w:pStyle w:val="SemEspaamento"/>
      </w:pPr>
    </w:p>
    <w:p w14:paraId="3D37D256" w14:textId="77777777" w:rsidR="00CD65C2" w:rsidRDefault="00CD65C2">
      <w:pPr>
        <w:pStyle w:val="SemEspaamento"/>
      </w:pPr>
    </w:p>
    <w:p w14:paraId="218CF626" w14:textId="77777777" w:rsidR="00CD65C2" w:rsidRDefault="00CD65C2">
      <w:pPr>
        <w:pStyle w:val="SemEspaamento"/>
      </w:pPr>
    </w:p>
    <w:p w14:paraId="37CBDF87" w14:textId="77777777" w:rsidR="00CD65C2" w:rsidRDefault="00CD65C2">
      <w:pPr>
        <w:pStyle w:val="SemEspaamento"/>
      </w:pPr>
    </w:p>
    <w:p w14:paraId="234B2213" w14:textId="77777777" w:rsidR="00CD65C2" w:rsidRDefault="00CD65C2">
      <w:pPr>
        <w:pStyle w:val="SemEspaamento"/>
      </w:pPr>
    </w:p>
    <w:p w14:paraId="1466F930" w14:textId="77777777" w:rsidR="00CD65C2" w:rsidRDefault="00CD65C2">
      <w:pPr>
        <w:pStyle w:val="SemEspaamento"/>
      </w:pPr>
    </w:p>
    <w:p w14:paraId="4D726873" w14:textId="77777777" w:rsidR="00CD65C2" w:rsidRDefault="00CD65C2">
      <w:pPr>
        <w:pStyle w:val="SemEspaamento"/>
      </w:pPr>
    </w:p>
    <w:p w14:paraId="391DDE97" w14:textId="77777777" w:rsidR="00CD65C2" w:rsidRDefault="00CD65C2">
      <w:pPr>
        <w:pStyle w:val="SemEspaamento"/>
      </w:pPr>
    </w:p>
    <w:p w14:paraId="49F12664" w14:textId="77777777" w:rsidR="00CD65C2" w:rsidRDefault="00CD65C2">
      <w:pPr>
        <w:pStyle w:val="SemEspaamento"/>
      </w:pPr>
    </w:p>
    <w:p w14:paraId="435A9482" w14:textId="77777777" w:rsidR="00CD65C2" w:rsidRDefault="00CD65C2">
      <w:pPr>
        <w:pStyle w:val="SemEspaamento"/>
      </w:pPr>
    </w:p>
    <w:p w14:paraId="05001253" w14:textId="77777777" w:rsidR="00CD65C2" w:rsidRDefault="00CD65C2">
      <w:pPr>
        <w:pStyle w:val="SemEspaamento"/>
      </w:pPr>
    </w:p>
    <w:p w14:paraId="6ECBBE7C" w14:textId="77777777" w:rsidR="00CD65C2" w:rsidRDefault="00CD65C2">
      <w:pPr>
        <w:pStyle w:val="SemEspaamento"/>
      </w:pPr>
    </w:p>
    <w:p w14:paraId="19578E11" w14:textId="77777777" w:rsidR="00CD65C2" w:rsidRDefault="00CD65C2">
      <w:pPr>
        <w:pStyle w:val="SemEspaamento"/>
      </w:pPr>
    </w:p>
    <w:p w14:paraId="4EF1CEC2" w14:textId="77777777" w:rsidR="00CD65C2" w:rsidRDefault="00CD65C2">
      <w:pPr>
        <w:pStyle w:val="SemEspaamento"/>
      </w:pPr>
    </w:p>
    <w:p w14:paraId="2D95C53D" w14:textId="77777777" w:rsidR="00CD65C2" w:rsidRDefault="00CD65C2">
      <w:pPr>
        <w:pStyle w:val="SemEspaamento"/>
      </w:pPr>
    </w:p>
    <w:p w14:paraId="65BC8A0D" w14:textId="77777777" w:rsidR="00CD65C2" w:rsidRDefault="00CD65C2">
      <w:pPr>
        <w:pStyle w:val="SemEspaamento"/>
      </w:pPr>
    </w:p>
    <w:p w14:paraId="0D090D36" w14:textId="77777777" w:rsidR="00CD65C2" w:rsidRDefault="00CD65C2">
      <w:pPr>
        <w:pStyle w:val="SemEspaamento"/>
      </w:pPr>
    </w:p>
    <w:p w14:paraId="2F4C8717" w14:textId="77777777" w:rsidR="00CD65C2" w:rsidRDefault="00CD65C2">
      <w:pPr>
        <w:pStyle w:val="SemEspaamento"/>
      </w:pPr>
    </w:p>
    <w:p w14:paraId="25E75938" w14:textId="77777777" w:rsidR="00CD65C2" w:rsidRDefault="00CD65C2">
      <w:pPr>
        <w:pStyle w:val="SemEspaamento"/>
      </w:pPr>
    </w:p>
    <w:p w14:paraId="37568758" w14:textId="77777777" w:rsidR="00CD65C2" w:rsidRDefault="00CD65C2">
      <w:pPr>
        <w:pStyle w:val="SemEspaamento"/>
      </w:pPr>
    </w:p>
    <w:p w14:paraId="0D93182F" w14:textId="77777777" w:rsidR="00CD65C2" w:rsidRDefault="00CD65C2">
      <w:pPr>
        <w:pStyle w:val="SemEspaamento"/>
      </w:pPr>
    </w:p>
    <w:p w14:paraId="5F13750D" w14:textId="77777777" w:rsidR="00CD65C2" w:rsidRDefault="00CD65C2">
      <w:pPr>
        <w:pStyle w:val="SemEspaamento"/>
      </w:pPr>
    </w:p>
    <w:p w14:paraId="087E537C" w14:textId="77777777" w:rsidR="00CD65C2" w:rsidRDefault="00FA41FC">
      <w:pPr>
        <w:pStyle w:val="Ttulo1"/>
        <w:jc w:val="center"/>
        <w:rPr>
          <w:rFonts w:hint="eastAsia"/>
        </w:rPr>
      </w:pPr>
      <w:bookmarkStart w:id="163" w:name="_Toc165537310"/>
      <w:r>
        <w:rPr>
          <w:bCs/>
          <w:iCs/>
        </w:rPr>
        <w:t>Picnogenol</w:t>
      </w:r>
      <w:bookmarkEnd w:id="163"/>
    </w:p>
    <w:p w14:paraId="715574C4" w14:textId="77777777" w:rsidR="00CD65C2" w:rsidRDefault="00FA41FC">
      <w:pPr>
        <w:pStyle w:val="Subtitulocorpo"/>
        <w:rPr>
          <w:rFonts w:hint="eastAsia"/>
          <w:bCs/>
        </w:rPr>
      </w:pPr>
      <w:r>
        <w:rPr>
          <w:bCs/>
        </w:rPr>
        <w:t>Demonstra ter Efeito Superior ao Cranberry na Melhora da Infecção do Trato Urinário</w:t>
      </w:r>
      <w:r>
        <w:t xml:space="preserve"> </w:t>
      </w:r>
      <w:r>
        <w:rPr>
          <w:bCs/>
        </w:rPr>
        <w:t>e Cistite Intersticial</w:t>
      </w:r>
    </w:p>
    <w:p w14:paraId="766D704C" w14:textId="77777777" w:rsidR="00CD65C2" w:rsidRDefault="00CD65C2">
      <w:pPr>
        <w:pStyle w:val="Corpo"/>
        <w:spacing w:after="120"/>
        <w:jc w:val="center"/>
        <w:rPr>
          <w:rFonts w:hint="eastAsia"/>
          <w:color w:val="404040" w:themeColor="text1" w:themeTint="BF"/>
          <w:sz w:val="24"/>
        </w:rPr>
      </w:pPr>
    </w:p>
    <w:p w14:paraId="5F79FF6E" w14:textId="77777777" w:rsidR="00CD65C2" w:rsidRDefault="00CD65C2">
      <w:pPr>
        <w:pStyle w:val="Corpo"/>
        <w:rPr>
          <w:rFonts w:hint="eastAsia"/>
          <w:color w:val="404040" w:themeColor="text1" w:themeTint="BF"/>
          <w:sz w:val="24"/>
        </w:rPr>
      </w:pPr>
    </w:p>
    <w:p w14:paraId="6649077C" w14:textId="3CB3E7D5" w:rsidR="00CD65C2" w:rsidRDefault="00FA41FC">
      <w:pPr>
        <w:pStyle w:val="Corpo"/>
        <w:rPr>
          <w:rFonts w:hint="eastAsia"/>
          <w:color w:val="404040" w:themeColor="text1" w:themeTint="BF"/>
          <w:sz w:val="24"/>
        </w:rPr>
      </w:pPr>
      <w:r>
        <w:rPr>
          <w:color w:val="404040" w:themeColor="text1" w:themeTint="BF"/>
          <w:sz w:val="24"/>
        </w:rPr>
        <w:t>Este estudo piloto aberto teve como objetivo avaliar e comparar os efeitos profiláticos de Picnogenol ou extrato de cranberry em indivíduos com infecções anteriores recorrentes do trato urinário (ITU) ou cistite intersticial, CI (</w:t>
      </w:r>
      <w:r>
        <w:rPr>
          <w:rFonts w:cs="Arial"/>
          <w:color w:val="404040" w:themeColor="text1" w:themeTint="BF"/>
          <w:szCs w:val="23"/>
          <w:shd w:val="clear" w:color="auto" w:fill="FFFFFF"/>
        </w:rPr>
        <w:t xml:space="preserve">LEDDA </w:t>
      </w:r>
      <w:r>
        <w:rPr>
          <w:rFonts w:cs="Arial"/>
          <w:i/>
          <w:color w:val="404040" w:themeColor="text1" w:themeTint="BF"/>
          <w:szCs w:val="23"/>
          <w:shd w:val="clear" w:color="auto" w:fill="FFFFFF"/>
        </w:rPr>
        <w:t xml:space="preserve">et al., </w:t>
      </w:r>
      <w:r>
        <w:rPr>
          <w:rFonts w:cs="Arial"/>
          <w:color w:val="404040" w:themeColor="text1" w:themeTint="BF"/>
          <w:szCs w:val="23"/>
          <w:shd w:val="clear" w:color="auto" w:fill="FFFFFF"/>
        </w:rPr>
        <w:t>2022).</w:t>
      </w:r>
    </w:p>
    <w:p w14:paraId="1AB108CD"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974656" behindDoc="0" locked="0" layoutInCell="1" allowOverlap="1">
                <wp:simplePos x="0" y="0"/>
                <wp:positionH relativeFrom="margin">
                  <wp:posOffset>43815</wp:posOffset>
                </wp:positionH>
                <wp:positionV relativeFrom="paragraph">
                  <wp:posOffset>92710</wp:posOffset>
                </wp:positionV>
                <wp:extent cx="5715000" cy="518160"/>
                <wp:effectExtent l="0" t="0" r="19050" b="15240"/>
                <wp:wrapNone/>
                <wp:docPr id="739657894" name="Caixa de texto 7396578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18160"/>
                        </a:xfrm>
                        <a:prstGeom prst="rect">
                          <a:avLst/>
                        </a:prstGeom>
                        <a:solidFill>
                          <a:schemeClr val="bg1">
                            <a:lumMod val="100000"/>
                            <a:lumOff val="0"/>
                          </a:schemeClr>
                        </a:solidFill>
                        <a:ln w="9525">
                          <a:solidFill>
                            <a:srgbClr val="0070C0"/>
                          </a:solidFill>
                          <a:miter lim="800000"/>
                        </a:ln>
                      </wps:spPr>
                      <wps:txbx>
                        <w:txbxContent>
                          <w:p w14:paraId="4946CD62" w14:textId="77777777" w:rsidR="00FA41FC" w:rsidRDefault="00FA41FC">
                            <w:pPr>
                              <w:jc w:val="center"/>
                              <w:rPr>
                                <w:rFonts w:ascii="Swis721 Th BT" w:hAnsi="Swis721 Th BT"/>
                                <w:sz w:val="23"/>
                                <w:szCs w:val="23"/>
                              </w:rPr>
                            </w:pPr>
                            <w:r>
                              <w:rPr>
                                <w:rFonts w:ascii="Swis721 Th BT" w:hAnsi="Swis721 Th BT"/>
                                <w:sz w:val="23"/>
                                <w:szCs w:val="23"/>
                              </w:rPr>
                              <w:t xml:space="preserve">Para isso, 64 indivíduos foram selecionados e divididos em três grupos, nos quais receberam durante 60 dias: </w:t>
                            </w:r>
                          </w:p>
                        </w:txbxContent>
                      </wps:txbx>
                      <wps:bodyPr rot="0" vert="horz" wrap="square" lIns="91440" tIns="45720" rIns="91440" bIns="45720" anchor="t" anchorCtr="0" upright="1">
                        <a:noAutofit/>
                      </wps:bodyPr>
                    </wps:wsp>
                  </a:graphicData>
                </a:graphic>
              </wp:anchor>
            </w:drawing>
          </mc:Choice>
          <mc:Fallback>
            <w:pict>
              <v:shape id="Caixa de texto 739657894" o:spid="_x0000_s1235" type="#_x0000_t202" style="position:absolute;left:0;text-align:left;margin-left:3.45pt;margin-top:7.3pt;width:450pt;height:40.8pt;z-index:2519746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" fillcolor="white [3212]" strokecolor="#0070c0">
                <v:textbox>
                  <w:txbxContent>
                    <w:p w14:paraId="4946CD62" w14:textId="77777777" w:rsidR="00FA41FC" w:rsidRDefault="00FA41FC">
                      <w:pPr>
                        <w:jc w:val="center"/>
                        <w:rPr>
                          <w:rFonts w:ascii="Swis721 Th BT" w:hAnsi="Swis721 Th BT"/>
                          <w:sz w:val="23"/>
                          <w:szCs w:val="23"/>
                        </w:rPr>
                      </w:pPr>
                      <w:r>
                        <w:rPr>
                          <w:rFonts w:ascii="Swis721 Th BT" w:hAnsi="Swis721 Th BT"/>
                          <w:sz w:val="23"/>
                          <w:szCs w:val="23"/>
                        </w:rPr>
                        <w:t xml:space="preserve">Para isso, 64 indivíduos foram selecionados e divididos em três grupos, nos quais receberam durante 60 dias: </w:t>
                      </w:r>
                    </w:p>
                  </w:txbxContent>
                </v:textbox>
                <w10:wrap anchorx="margin"/>
              </v:shape>
            </w:pict>
          </mc:Fallback>
        </mc:AlternateContent>
      </w:r>
      <w:r>
        <w:rPr>
          <w:color w:val="404040" w:themeColor="text1" w:themeTint="BF"/>
          <w:sz w:val="24"/>
        </w:rPr>
        <w:br/>
      </w:r>
    </w:p>
    <w:p w14:paraId="3C421074" w14:textId="77777777" w:rsidR="00CD65C2" w:rsidRDefault="00CD65C2">
      <w:pPr>
        <w:pStyle w:val="Corpo"/>
        <w:rPr>
          <w:rFonts w:hint="eastAsia"/>
          <w:color w:val="404040" w:themeColor="text1" w:themeTint="BF"/>
        </w:rPr>
      </w:pPr>
    </w:p>
    <w:p w14:paraId="4D7E028A" w14:textId="77777777" w:rsidR="00CD65C2" w:rsidRDefault="00CD65C2">
      <w:pPr>
        <w:pStyle w:val="Corpo"/>
        <w:rPr>
          <w:rFonts w:hint="eastAsia"/>
          <w:color w:val="404040" w:themeColor="text1" w:themeTint="BF"/>
        </w:rPr>
      </w:pPr>
    </w:p>
    <w:p w14:paraId="76343E26"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976704" behindDoc="0" locked="0" layoutInCell="1" allowOverlap="1">
                <wp:simplePos x="0" y="0"/>
                <wp:positionH relativeFrom="column">
                  <wp:posOffset>2730500</wp:posOffset>
                </wp:positionH>
                <wp:positionV relativeFrom="paragraph">
                  <wp:posOffset>40640</wp:posOffset>
                </wp:positionV>
                <wp:extent cx="226695" cy="138430"/>
                <wp:effectExtent l="0" t="0" r="1905" b="0"/>
                <wp:wrapNone/>
                <wp:docPr id="739657895" name="Triângulo isósceles 7396578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895" o:spid="_x0000_s1026" o:spt="5" type="#_x0000_t5" style="position:absolute;left:0pt;flip:y;margin-left:215pt;margin-top:3.2pt;height:10.9pt;width:17.85pt;z-index:251976704;mso-width-relative:page;mso-height-relative:page;" fillcolor="#D9D9D9 [3212]" filled="t" stroked="f" coordsize="21600,21600" o:gfxdata="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E4pXl7XAAAACAEAAA8AAAAAAAAAAQAgAAAAIgAAAGRycy9kb3ducmV2LnhtbFBLAQIUABQAAAAI&#10;AIdO4kCIdiQ2YAIAALMEAAAOAAAAAAAAAAEAIAAAACYBAABkcnMvZTJvRG9jLnhtbFBLBQYAAAAA&#10;BgAGAFkBAAD4BQ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972608" behindDoc="0" locked="0" layoutInCell="1" allowOverlap="1">
                <wp:simplePos x="0" y="0"/>
                <wp:positionH relativeFrom="column">
                  <wp:posOffset>4889500</wp:posOffset>
                </wp:positionH>
                <wp:positionV relativeFrom="paragraph">
                  <wp:posOffset>34925</wp:posOffset>
                </wp:positionV>
                <wp:extent cx="226695" cy="138430"/>
                <wp:effectExtent l="0" t="0" r="1905" b="0"/>
                <wp:wrapNone/>
                <wp:docPr id="739657896" name="Triângulo isósceles 7396578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896" o:spid="_x0000_s1026" o:spt="5" type="#_x0000_t5" style="position:absolute;left:0pt;flip:y;margin-left:385pt;margin-top:2.75pt;height:10.9pt;width:17.85pt;z-index:251972608;mso-width-relative:page;mso-height-relative:page;" fillcolor="#D9D9D9 [3212]" filled="t" stroked="f" coordsize="21600,21600" o:gfxdata="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8dzcB1wAAAAgBAAAPAAAAAAAAAAEAIAAAACIAAABkcnMvZG93bnJldi54bWxQSwECFAAUAAAA&#10;CACHTuJAcIQs/WECAACzBAAADgAAAAAAAAABACAAAAAmAQAAZHJzL2Uyb0RvYy54bWxQSwUGAAAA&#10;AAYABgBZAQAA+QU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973632" behindDoc="0" locked="0" layoutInCell="1" allowOverlap="1">
                <wp:simplePos x="0" y="0"/>
                <wp:positionH relativeFrom="column">
                  <wp:posOffset>548640</wp:posOffset>
                </wp:positionH>
                <wp:positionV relativeFrom="paragraph">
                  <wp:posOffset>34925</wp:posOffset>
                </wp:positionV>
                <wp:extent cx="226695" cy="138430"/>
                <wp:effectExtent l="0" t="0" r="1905" b="0"/>
                <wp:wrapNone/>
                <wp:docPr id="739657897" name="Triângulo isósceles 7396578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897" o:spid="_x0000_s1026" o:spt="5" type="#_x0000_t5" style="position:absolute;left:0pt;flip:y;margin-left:43.2pt;margin-top:2.75pt;height:10.9pt;width:17.85pt;z-index:251973632;mso-width-relative:page;mso-height-relative:page;" fillcolor="#D9D9D9 [3212]" filled="t" stroked="f" coordsize="21600,21600" o:gfxdata="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Gtqwp/WAAAABwEAAA8AAAAAAAAAAQAgAAAAIgAAAGRycy9kb3ducmV2LnhtbFBLAQIUABQAAAAI&#10;AIdO4kDY1dS7YQIAALMEAAAOAAAAAAAAAAEAIAAAACUBAABkcnMvZTJvRG9jLnhtbFBLBQYAAAAA&#10;BgAGAFkBAAD4BQAAAAA=&#10;" adj="10800">
                <v:fill on="t" focussize="0,0"/>
                <v:stroke on="f"/>
                <v:imagedata o:title=""/>
                <o:lock v:ext="edit" aspectratio="f"/>
              </v:shape>
            </w:pict>
          </mc:Fallback>
        </mc:AlternateContent>
      </w:r>
    </w:p>
    <w:p w14:paraId="4D4125B9"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977728" behindDoc="0" locked="0" layoutInCell="1" allowOverlap="1">
                <wp:simplePos x="0" y="0"/>
                <wp:positionH relativeFrom="column">
                  <wp:posOffset>1905000</wp:posOffset>
                </wp:positionH>
                <wp:positionV relativeFrom="paragraph">
                  <wp:posOffset>118745</wp:posOffset>
                </wp:positionV>
                <wp:extent cx="1905000" cy="781685"/>
                <wp:effectExtent l="0" t="0" r="19050" b="18415"/>
                <wp:wrapNone/>
                <wp:docPr id="739657898" name="Caixa de texto 739657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5764DC0E"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535AE07F" w14:textId="77777777" w:rsidR="00FA41FC" w:rsidRDefault="00FA41FC">
                            <w:pPr>
                              <w:spacing w:after="0" w:line="240" w:lineRule="auto"/>
                              <w:jc w:val="center"/>
                              <w:rPr>
                                <w:rFonts w:ascii="Swis721 Th BT" w:hAnsi="Swis721 Th BT"/>
                                <w:b/>
                                <w:color w:val="FFFFFF" w:themeColor="background1"/>
                                <w:sz w:val="12"/>
                                <w:szCs w:val="12"/>
                              </w:rPr>
                            </w:pPr>
                          </w:p>
                          <w:p w14:paraId="6063590D" w14:textId="77777777" w:rsidR="00FA41FC" w:rsidRDefault="00FA41FC">
                            <w:pPr>
                              <w:spacing w:after="0" w:line="240" w:lineRule="auto"/>
                              <w:jc w:val="center"/>
                              <w:rPr>
                                <w:rFonts w:ascii="Swis721 Th BT" w:hAnsi="Swis721 Th BT"/>
                                <w:b/>
                                <w:color w:val="FFFFFF" w:themeColor="background1"/>
                                <w:sz w:val="12"/>
                                <w:szCs w:val="12"/>
                              </w:rPr>
                            </w:pPr>
                            <w:r>
                              <w:rPr>
                                <w:rFonts w:ascii="Swis721 Th BT" w:hAnsi="Swis721 Th BT"/>
                                <w:color w:val="FFFFFF" w:themeColor="background1"/>
                                <w:sz w:val="23"/>
                                <w:szCs w:val="23"/>
                              </w:rPr>
                              <w:t xml:space="preserve">Cranberry 400 mg </w:t>
                            </w:r>
                          </w:p>
                          <w:p w14:paraId="5E5C3DA9"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p w14:paraId="13B6527D" w14:textId="77777777" w:rsidR="00FA41FC" w:rsidRDefault="00FA41FC">
                            <w:pPr>
                              <w:spacing w:after="0" w:line="240" w:lineRule="auto"/>
                              <w:jc w:val="center"/>
                              <w:rPr>
                                <w:rFonts w:ascii="Swis721 Th BT" w:hAnsi="Swis721 Th BT"/>
                                <w:b/>
                                <w:color w:val="FFFFFF" w:themeColor="background1"/>
                                <w:sz w:val="23"/>
                                <w:szCs w:val="23"/>
                              </w:rPr>
                            </w:pPr>
                          </w:p>
                          <w:p w14:paraId="548753EF" w14:textId="77777777" w:rsidR="00FA41FC" w:rsidRDefault="00FA41FC">
                            <w:pPr>
                              <w:spacing w:after="0" w:line="240" w:lineRule="auto"/>
                              <w:jc w:val="center"/>
                              <w:rPr>
                                <w:rFonts w:ascii="Swis721 Th BT" w:hAnsi="Swis721 Th BT"/>
                                <w:b/>
                                <w:color w:val="FFFFFF" w:themeColor="background1"/>
                                <w:sz w:val="12"/>
                                <w:szCs w:val="12"/>
                              </w:rPr>
                            </w:pPr>
                          </w:p>
                          <w:p w14:paraId="66ABDF73" w14:textId="77777777" w:rsidR="00FA41FC" w:rsidRDefault="00FA41FC"/>
                        </w:txbxContent>
                      </wps:txbx>
                      <wps:bodyPr rot="0" vert="horz" wrap="square" lIns="91440" tIns="45720" rIns="91440" bIns="45720" anchor="t" anchorCtr="0" upright="1">
                        <a:noAutofit/>
                      </wps:bodyPr>
                    </wps:wsp>
                  </a:graphicData>
                </a:graphic>
              </wp:anchor>
            </w:drawing>
          </mc:Choice>
          <mc:Fallback>
            <w:pict>
              <v:shape id="Caixa de texto 739657898" o:spid="_x0000_s1236" type="#_x0000_t202" style="position:absolute;left:0;text-align:left;margin-left:150pt;margin-top:9.35pt;width:150pt;height:61.55pt;z-index:25197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" fillcolor="#0070c0" strokecolor="#0070c0">
                <v:textbox>
                  <w:txbxContent>
                    <w:p w14:paraId="5764DC0E"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535AE07F" w14:textId="77777777" w:rsidR="00FA41FC" w:rsidRDefault="00FA41FC">
                      <w:pPr>
                        <w:spacing w:after="0" w:line="240" w:lineRule="auto"/>
                        <w:jc w:val="center"/>
                        <w:rPr>
                          <w:rFonts w:ascii="Swis721 Th BT" w:hAnsi="Swis721 Th BT"/>
                          <w:b/>
                          <w:color w:val="FFFFFF" w:themeColor="background1"/>
                          <w:sz w:val="12"/>
                          <w:szCs w:val="12"/>
                        </w:rPr>
                      </w:pPr>
                    </w:p>
                    <w:p w14:paraId="6063590D" w14:textId="77777777" w:rsidR="00FA41FC" w:rsidRDefault="00FA41FC">
                      <w:pPr>
                        <w:spacing w:after="0" w:line="240" w:lineRule="auto"/>
                        <w:jc w:val="center"/>
                        <w:rPr>
                          <w:rFonts w:ascii="Swis721 Th BT" w:hAnsi="Swis721 Th BT"/>
                          <w:b/>
                          <w:color w:val="FFFFFF" w:themeColor="background1"/>
                          <w:sz w:val="12"/>
                          <w:szCs w:val="12"/>
                        </w:rPr>
                      </w:pPr>
                      <w:r>
                        <w:rPr>
                          <w:rFonts w:ascii="Swis721 Th BT" w:hAnsi="Swis721 Th BT"/>
                          <w:color w:val="FFFFFF" w:themeColor="background1"/>
                          <w:sz w:val="23"/>
                          <w:szCs w:val="23"/>
                        </w:rPr>
                        <w:t xml:space="preserve">Cranberry 400 mg </w:t>
                      </w:r>
                    </w:p>
                    <w:p w14:paraId="5E5C3DA9"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p w14:paraId="13B6527D" w14:textId="77777777" w:rsidR="00FA41FC" w:rsidRDefault="00FA41FC">
                      <w:pPr>
                        <w:spacing w:after="0" w:line="240" w:lineRule="auto"/>
                        <w:jc w:val="center"/>
                        <w:rPr>
                          <w:rFonts w:ascii="Swis721 Th BT" w:hAnsi="Swis721 Th BT"/>
                          <w:b/>
                          <w:color w:val="FFFFFF" w:themeColor="background1"/>
                          <w:sz w:val="23"/>
                          <w:szCs w:val="23"/>
                        </w:rPr>
                      </w:pPr>
                    </w:p>
                    <w:p w14:paraId="548753EF" w14:textId="77777777" w:rsidR="00FA41FC" w:rsidRDefault="00FA41FC">
                      <w:pPr>
                        <w:spacing w:after="0" w:line="240" w:lineRule="auto"/>
                        <w:jc w:val="center"/>
                        <w:rPr>
                          <w:rFonts w:ascii="Swis721 Th BT" w:hAnsi="Swis721 Th BT"/>
                          <w:b/>
                          <w:color w:val="FFFFFF" w:themeColor="background1"/>
                          <w:sz w:val="12"/>
                          <w:szCs w:val="12"/>
                        </w:rPr>
                      </w:pPr>
                    </w:p>
                    <w:p w14:paraId="66ABDF73" w14:textId="77777777" w:rsidR="00FA41FC" w:rsidRDefault="00FA41FC"/>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975680" behindDoc="0" locked="0" layoutInCell="1" allowOverlap="1">
                <wp:simplePos x="0" y="0"/>
                <wp:positionH relativeFrom="column">
                  <wp:posOffset>4064000</wp:posOffset>
                </wp:positionH>
                <wp:positionV relativeFrom="paragraph">
                  <wp:posOffset>113030</wp:posOffset>
                </wp:positionV>
                <wp:extent cx="1905000" cy="781685"/>
                <wp:effectExtent l="0" t="0" r="19050" b="18415"/>
                <wp:wrapNone/>
                <wp:docPr id="739657899" name="Caixa de texto 739657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0070C0"/>
                        </a:solidFill>
                        <a:ln w="9525">
                          <a:solidFill>
                            <a:srgbClr val="0070C0"/>
                          </a:solidFill>
                          <a:miter lim="800000"/>
                        </a:ln>
                      </wps:spPr>
                      <wps:txbx>
                        <w:txbxContent>
                          <w:p w14:paraId="394CC93B"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14:paraId="51D0AC62" w14:textId="77777777" w:rsidR="00FA41FC" w:rsidRDefault="00FA41FC">
                            <w:pPr>
                              <w:spacing w:after="0" w:line="240" w:lineRule="auto"/>
                              <w:jc w:val="center"/>
                              <w:rPr>
                                <w:rFonts w:ascii="Swis721 Th BT" w:hAnsi="Swis721 Th BT"/>
                                <w:b/>
                                <w:color w:val="FFFFFF" w:themeColor="background1"/>
                                <w:sz w:val="12"/>
                                <w:szCs w:val="12"/>
                              </w:rPr>
                            </w:pPr>
                          </w:p>
                          <w:p w14:paraId="4D71FE2C" w14:textId="77777777" w:rsidR="00FA41FC" w:rsidRDefault="00FA41FC">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Controle</w:t>
                            </w:r>
                          </w:p>
                          <w:p w14:paraId="2930BE45" w14:textId="77777777" w:rsidR="00FA41FC" w:rsidRDefault="00FA41FC">
                            <w:pPr>
                              <w:spacing w:after="0" w:line="240" w:lineRule="auto"/>
                              <w:jc w:val="center"/>
                              <w:rPr>
                                <w:rFonts w:ascii="Swis721 Th BT" w:hAnsi="Swis721 Th BT"/>
                                <w:b/>
                                <w:color w:val="FFFFFF" w:themeColor="background1"/>
                                <w:sz w:val="12"/>
                                <w:szCs w:val="12"/>
                              </w:rPr>
                            </w:pPr>
                          </w:p>
                          <w:p w14:paraId="4E002034" w14:textId="77777777" w:rsidR="00FA41FC" w:rsidRDefault="00FA41FC">
                            <w:pPr>
                              <w:spacing w:after="0" w:line="240" w:lineRule="auto"/>
                              <w:jc w:val="center"/>
                              <w:rPr>
                                <w:rFonts w:ascii="Swis721 Th BT" w:hAnsi="Swis721 Th BT"/>
                                <w:b/>
                                <w:color w:val="FFFFFF" w:themeColor="background1"/>
                                <w:sz w:val="23"/>
                                <w:szCs w:val="23"/>
                              </w:rPr>
                            </w:pPr>
                          </w:p>
                          <w:p w14:paraId="75E03B23" w14:textId="77777777" w:rsidR="00FA41FC" w:rsidRDefault="00FA41FC">
                            <w:pPr>
                              <w:spacing w:after="0" w:line="240" w:lineRule="auto"/>
                              <w:jc w:val="center"/>
                              <w:rPr>
                                <w:rFonts w:ascii="Swis721 Th BT" w:hAnsi="Swis721 Th BT"/>
                                <w:b/>
                                <w:color w:val="FFFFFF" w:themeColor="background1"/>
                                <w:sz w:val="12"/>
                                <w:szCs w:val="12"/>
                              </w:rPr>
                            </w:pPr>
                          </w:p>
                          <w:p w14:paraId="36499C29" w14:textId="77777777" w:rsidR="00FA41FC" w:rsidRDefault="00FA41FC"/>
                        </w:txbxContent>
                      </wps:txbx>
                      <wps:bodyPr rot="0" vert="horz" wrap="square" lIns="91440" tIns="45720" rIns="91440" bIns="45720" anchor="t" anchorCtr="0" upright="1">
                        <a:noAutofit/>
                      </wps:bodyPr>
                    </wps:wsp>
                  </a:graphicData>
                </a:graphic>
              </wp:anchor>
            </w:drawing>
          </mc:Choice>
          <mc:Fallback>
            <w:pict>
              <v:shape id="Caixa de texto 739657899" o:spid="_x0000_s1237" type="#_x0000_t202" style="position:absolute;left:0;text-align:left;margin-left:320pt;margin-top:8.9pt;width:150pt;height:61.55pt;z-index:25197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" fillcolor="#0070c0" strokecolor="#0070c0">
                <v:textbox>
                  <w:txbxContent>
                    <w:p w14:paraId="394CC93B"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14:paraId="51D0AC62" w14:textId="77777777" w:rsidR="00FA41FC" w:rsidRDefault="00FA41FC">
                      <w:pPr>
                        <w:spacing w:after="0" w:line="240" w:lineRule="auto"/>
                        <w:jc w:val="center"/>
                        <w:rPr>
                          <w:rFonts w:ascii="Swis721 Th BT" w:hAnsi="Swis721 Th BT"/>
                          <w:b/>
                          <w:color w:val="FFFFFF" w:themeColor="background1"/>
                          <w:sz w:val="12"/>
                          <w:szCs w:val="12"/>
                        </w:rPr>
                      </w:pPr>
                    </w:p>
                    <w:p w14:paraId="4D71FE2C" w14:textId="77777777" w:rsidR="00FA41FC" w:rsidRDefault="00FA41FC">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Controle</w:t>
                      </w:r>
                    </w:p>
                    <w:p w14:paraId="2930BE45" w14:textId="77777777" w:rsidR="00FA41FC" w:rsidRDefault="00FA41FC">
                      <w:pPr>
                        <w:spacing w:after="0" w:line="240" w:lineRule="auto"/>
                        <w:jc w:val="center"/>
                        <w:rPr>
                          <w:rFonts w:ascii="Swis721 Th BT" w:hAnsi="Swis721 Th BT"/>
                          <w:b/>
                          <w:color w:val="FFFFFF" w:themeColor="background1"/>
                          <w:sz w:val="12"/>
                          <w:szCs w:val="12"/>
                        </w:rPr>
                      </w:pPr>
                    </w:p>
                    <w:p w14:paraId="4E002034" w14:textId="77777777" w:rsidR="00FA41FC" w:rsidRDefault="00FA41FC">
                      <w:pPr>
                        <w:spacing w:after="0" w:line="240" w:lineRule="auto"/>
                        <w:jc w:val="center"/>
                        <w:rPr>
                          <w:rFonts w:ascii="Swis721 Th BT" w:hAnsi="Swis721 Th BT"/>
                          <w:b/>
                          <w:color w:val="FFFFFF" w:themeColor="background1"/>
                          <w:sz w:val="23"/>
                          <w:szCs w:val="23"/>
                        </w:rPr>
                      </w:pPr>
                    </w:p>
                    <w:p w14:paraId="75E03B23" w14:textId="77777777" w:rsidR="00FA41FC" w:rsidRDefault="00FA41FC">
                      <w:pPr>
                        <w:spacing w:after="0" w:line="240" w:lineRule="auto"/>
                        <w:jc w:val="center"/>
                        <w:rPr>
                          <w:rFonts w:ascii="Swis721 Th BT" w:hAnsi="Swis721 Th BT"/>
                          <w:b/>
                          <w:color w:val="FFFFFF" w:themeColor="background1"/>
                          <w:sz w:val="12"/>
                          <w:szCs w:val="12"/>
                        </w:rPr>
                      </w:pPr>
                    </w:p>
                    <w:p w14:paraId="36499C29" w14:textId="77777777" w:rsidR="00FA41FC" w:rsidRDefault="00FA41FC"/>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971584" behindDoc="0" locked="0" layoutInCell="1" allowOverlap="1">
                <wp:simplePos x="0" y="0"/>
                <wp:positionH relativeFrom="column">
                  <wp:posOffset>-285115</wp:posOffset>
                </wp:positionH>
                <wp:positionV relativeFrom="paragraph">
                  <wp:posOffset>113030</wp:posOffset>
                </wp:positionV>
                <wp:extent cx="1913890" cy="781685"/>
                <wp:effectExtent l="0" t="0" r="10160" b="18415"/>
                <wp:wrapNone/>
                <wp:docPr id="739657900" name="Caixa de texto 739657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2114CCEB"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Picnogenol 150 mg</w:t>
                            </w:r>
                          </w:p>
                          <w:p w14:paraId="36061682"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739657900" o:spid="_x0000_s1238" type="#_x0000_t202" style="position:absolute;left:0;text-align:left;margin-left:-22.45pt;margin-top:8.9pt;width:150.7pt;height:61.55pt;z-index:25197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" fillcolor="#0070c0" strokecolor="#0070c0">
                <v:textbox>
                  <w:txbxContent>
                    <w:p w14:paraId="2114CCEB"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Picnogenol 150 mg</w:t>
                      </w:r>
                    </w:p>
                    <w:p w14:paraId="36061682"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v:textbox>
              </v:shape>
            </w:pict>
          </mc:Fallback>
        </mc:AlternateContent>
      </w:r>
    </w:p>
    <w:p w14:paraId="229A497A" w14:textId="77777777" w:rsidR="00CD65C2" w:rsidRDefault="00CD65C2">
      <w:pPr>
        <w:pStyle w:val="Corpo"/>
        <w:rPr>
          <w:rFonts w:hint="eastAsia"/>
          <w:color w:val="404040" w:themeColor="text1" w:themeTint="BF"/>
        </w:rPr>
      </w:pPr>
    </w:p>
    <w:p w14:paraId="14019568" w14:textId="77777777" w:rsidR="00CD65C2" w:rsidRDefault="00CD65C2">
      <w:pPr>
        <w:pStyle w:val="Corpo"/>
        <w:rPr>
          <w:rFonts w:hint="eastAsia"/>
          <w:color w:val="404040" w:themeColor="text1" w:themeTint="BF"/>
        </w:rPr>
      </w:pPr>
    </w:p>
    <w:p w14:paraId="1BCD6038" w14:textId="77777777" w:rsidR="00CD65C2" w:rsidRDefault="00CD65C2">
      <w:pPr>
        <w:pStyle w:val="Corpo"/>
        <w:rPr>
          <w:rFonts w:hint="eastAsia"/>
          <w:color w:val="404040" w:themeColor="text1" w:themeTint="BF"/>
        </w:rPr>
      </w:pPr>
    </w:p>
    <w:p w14:paraId="30F108FB" w14:textId="77777777" w:rsidR="00CD65C2" w:rsidRDefault="00CD65C2">
      <w:pPr>
        <w:pStyle w:val="Corpo"/>
        <w:spacing w:before="120"/>
        <w:rPr>
          <w:rFonts w:hint="eastAsia"/>
          <w:color w:val="404040" w:themeColor="text1" w:themeTint="BF"/>
          <w:sz w:val="20"/>
        </w:rPr>
      </w:pPr>
    </w:p>
    <w:p w14:paraId="29F24759" w14:textId="77777777" w:rsidR="00CD65C2" w:rsidRDefault="00CD65C2">
      <w:pPr>
        <w:pStyle w:val="Corpo"/>
        <w:rPr>
          <w:rFonts w:hint="eastAsia"/>
          <w:b/>
          <w:color w:val="339966"/>
          <w:sz w:val="25"/>
          <w:szCs w:val="25"/>
          <w14:textFill>
            <w14:solidFill>
              <w14:srgbClr w14:val="339966">
                <w14:lumMod w14:val="75000"/>
                <w14:lumOff w14:val="25000"/>
              </w14:srgbClr>
            </w14:solidFill>
          </w14:textFill>
        </w:rPr>
      </w:pPr>
    </w:p>
    <w:p w14:paraId="4EA7E3B8"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19D7E123" w14:textId="77777777" w:rsidR="00CD65C2" w:rsidRDefault="00CD65C2">
      <w:pPr>
        <w:pStyle w:val="Corpo"/>
        <w:rPr>
          <w:rFonts w:hint="eastAsia"/>
          <w:color w:val="404040" w:themeColor="text1" w:themeTint="BF"/>
          <w:sz w:val="16"/>
          <w:szCs w:val="16"/>
        </w:rPr>
      </w:pPr>
    </w:p>
    <w:p w14:paraId="09E4C6A6" w14:textId="77777777"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A taxa de infecções recorrentes durante a suplementação com Picnogenol foi significativamente menor do que com a suplementação com cranberry (p &lt; 0,05).</w:t>
      </w:r>
    </w:p>
    <w:p w14:paraId="28A573FF" w14:textId="77777777"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No final do estudo, todos o número de indivíduos livres de infecção foi significativamente maior com Picnogenol (22/22) do que com cranberry (7/20) (p &lt; 0,05);</w:t>
      </w:r>
    </w:p>
    <w:p w14:paraId="6E5FBF1F" w14:textId="77777777" w:rsidR="00CD65C2" w:rsidRDefault="00FA41FC">
      <w:pPr>
        <w:pStyle w:val="Corpo"/>
        <w:numPr>
          <w:ilvl w:val="0"/>
          <w:numId w:val="5"/>
        </w:numPr>
        <w:spacing w:after="120"/>
        <w:rPr>
          <w:rFonts w:hint="eastAsia"/>
          <w:color w:val="404040" w:themeColor="text1" w:themeTint="BF"/>
          <w:sz w:val="24"/>
        </w:rPr>
      </w:pPr>
      <w:r>
        <w:rPr>
          <w:color w:val="000000"/>
          <w:shd w:val="clear" w:color="auto" w:fill="FFFFFF"/>
          <w14:textFill>
            <w14:solidFill>
              <w14:srgbClr w14:val="000000">
                <w14:lumMod w14:val="75000"/>
                <w14:lumOff w14:val="25000"/>
              </w14:srgbClr>
            </w14:solidFill>
          </w14:textFill>
        </w:rPr>
        <w:t>O estresse oxidativo foi alto na inclusão em todos os indivíduos e diminuiu no final do estudo com ambos os suplementos, tendo o Picnogenol com o efeito mais importante (p &lt; 0,05).</w:t>
      </w:r>
    </w:p>
    <w:p w14:paraId="6A33FF05" w14:textId="77777777" w:rsidR="00CD65C2" w:rsidRDefault="00CD65C2">
      <w:pPr>
        <w:pStyle w:val="Corpo"/>
        <w:spacing w:after="120"/>
        <w:ind w:left="360"/>
        <w:rPr>
          <w:rFonts w:hint="eastAsia"/>
          <w:color w:val="404040" w:themeColor="text1" w:themeTint="BF"/>
          <w:sz w:val="24"/>
        </w:rPr>
      </w:pPr>
    </w:p>
    <w:p w14:paraId="67CB5F45"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0012CEF5" w14:textId="77777777" w:rsidR="00CD65C2" w:rsidRDefault="00CD65C2">
      <w:pPr>
        <w:pStyle w:val="Corpo"/>
        <w:rPr>
          <w:rFonts w:hint="eastAsia"/>
          <w:b/>
          <w:color w:val="339966"/>
          <w:sz w:val="16"/>
          <w:szCs w:val="16"/>
          <w14:textFill>
            <w14:solidFill>
              <w14:srgbClr w14:val="339966">
                <w14:lumMod w14:val="75000"/>
                <w14:lumOff w14:val="25000"/>
              </w14:srgbClr>
            </w14:solidFill>
          </w14:textFill>
        </w:rPr>
      </w:pPr>
    </w:p>
    <w:p w14:paraId="6C9A4E44" w14:textId="5CD19DA2" w:rsidR="00CD65C2" w:rsidRDefault="00FA41FC">
      <w:pPr>
        <w:jc w:val="center"/>
        <w:rPr>
          <w:rFonts w:ascii="Swis721 Th BT" w:hAnsi="Swis721 Th BT"/>
          <w:b/>
          <w:i/>
          <w:sz w:val="23"/>
          <w:szCs w:val="23"/>
        </w:rPr>
      </w:pPr>
      <w:r>
        <w:rPr>
          <w:rFonts w:ascii="Swis721 Th BT" w:hAnsi="Swis721 Th BT"/>
          <w:b/>
          <w:i/>
          <w:sz w:val="23"/>
          <w:szCs w:val="23"/>
        </w:rPr>
        <w:t>Os resultados deste estudo apontam que a suplementação com Picnogenol diminui a ocorrência de ITUs e CI sem efeitos colaterais e com eficácia superior à cranberry.</w:t>
      </w:r>
    </w:p>
    <w:p w14:paraId="76B9688F" w14:textId="77777777" w:rsidR="00CD65C2" w:rsidRDefault="00CD65C2"/>
    <w:p w14:paraId="41ED261E" w14:textId="77777777" w:rsidR="00CD65C2" w:rsidRDefault="00CD65C2"/>
    <w:p w14:paraId="41DC2397" w14:textId="77777777" w:rsidR="00CD65C2" w:rsidRDefault="00CD65C2"/>
    <w:p w14:paraId="354E37C4" w14:textId="77777777" w:rsidR="00CD65C2" w:rsidRDefault="00CD65C2"/>
    <w:p w14:paraId="14BE20DD" w14:textId="77777777" w:rsidR="00CD65C2" w:rsidRDefault="00FA41FC">
      <w:pPr>
        <w:pStyle w:val="Ttulo1"/>
        <w:jc w:val="center"/>
        <w:rPr>
          <w:rFonts w:hint="eastAsia"/>
        </w:rPr>
      </w:pPr>
      <w:bookmarkStart w:id="164" w:name="_Toc165537311"/>
      <w:r>
        <w:t>Formulário</w:t>
      </w:r>
      <w:bookmarkEnd w:id="164"/>
    </w:p>
    <w:p w14:paraId="5CFF7CC6" w14:textId="77777777" w:rsidR="00CD65C2" w:rsidRDefault="00CD65C2"/>
    <w:p w14:paraId="5062A480" w14:textId="77777777" w:rsidR="00CD65C2" w:rsidRDefault="00CD65C2">
      <w:pPr>
        <w:pStyle w:val="Corpo"/>
        <w:rPr>
          <w:rFonts w:hint="eastAsia"/>
          <w:b/>
          <w:i/>
          <w:color w:val="404040" w:themeColor="text1" w:themeTint="BF"/>
        </w:rPr>
      </w:pPr>
    </w:p>
    <w:p w14:paraId="734DA3E7" w14:textId="77777777" w:rsidR="00CD65C2" w:rsidRDefault="00FA41FC">
      <w:pPr>
        <w:pStyle w:val="Corpo"/>
        <w:rPr>
          <w:rFonts w:hint="eastAsia"/>
          <w:b/>
          <w:bCs/>
          <w:i/>
          <w:color w:val="404040" w:themeColor="text1" w:themeTint="BF"/>
          <w:sz w:val="24"/>
        </w:rPr>
      </w:pPr>
      <w:r>
        <w:rPr>
          <w:b/>
          <w:bCs/>
          <w:i/>
          <w:color w:val="404040" w:themeColor="text1" w:themeTint="BF"/>
          <w:sz w:val="24"/>
        </w:rPr>
        <w:t>Picnogenol na Melhora da Infecção do Trato Urinário e Cistite Intersticial</w:t>
      </w:r>
    </w:p>
    <w:p w14:paraId="0495DA38"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75A8C5A6"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03E14F38" w14:textId="77777777" w:rsidR="00CD65C2" w:rsidRDefault="00FA41FC">
            <w:pPr>
              <w:pStyle w:val="Corpo"/>
              <w:jc w:val="center"/>
              <w:rPr>
                <w:rFonts w:hint="eastAsia"/>
                <w:b/>
                <w:color w:val="FFFFFF" w:themeColor="background1"/>
              </w:rPr>
            </w:pPr>
            <w:r>
              <w:rPr>
                <w:b/>
                <w:color w:val="FFFFFF" w:themeColor="background1"/>
                <w:sz w:val="22"/>
              </w:rPr>
              <w:t>Cápsulas de Picnogenol</w:t>
            </w:r>
          </w:p>
        </w:tc>
      </w:tr>
      <w:tr w:rsidR="00CD65C2" w14:paraId="08CC4B61"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6B354E2" w14:textId="77777777" w:rsidR="00CD65C2" w:rsidRDefault="00FA41FC">
            <w:pPr>
              <w:pStyle w:val="Corpo"/>
              <w:rPr>
                <w:rFonts w:hint="eastAsia"/>
                <w:color w:val="404040" w:themeColor="text1" w:themeTint="BF"/>
              </w:rPr>
            </w:pPr>
            <w:r>
              <w:rPr>
                <w:color w:val="404040" w:themeColor="text1" w:themeTint="BF"/>
              </w:rPr>
              <w:t>Picnogenol.....................................150 mg</w:t>
            </w:r>
          </w:p>
        </w:tc>
      </w:tr>
      <w:tr w:rsidR="00CD65C2" w14:paraId="30E8BF93"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0748395" w14:textId="70994616" w:rsidR="00CD65C2" w:rsidRDefault="00FA41FC">
            <w:pPr>
              <w:pStyle w:val="Corpo"/>
              <w:rPr>
                <w:rFonts w:hint="eastAsia"/>
                <w:color w:val="404040" w:themeColor="text1" w:themeTint="BF"/>
              </w:rPr>
            </w:pPr>
            <w:r>
              <w:rPr>
                <w:color w:val="404040" w:themeColor="text1" w:themeTint="BF"/>
              </w:rPr>
              <w:t>Excipiente q.s.p. ........................1 Cápsula</w:t>
            </w:r>
          </w:p>
        </w:tc>
      </w:tr>
    </w:tbl>
    <w:p w14:paraId="6C0A3913" w14:textId="77777777" w:rsidR="00CD65C2" w:rsidRDefault="00FA41FC">
      <w:pPr>
        <w:pStyle w:val="Corpo"/>
        <w:ind w:right="4676"/>
        <w:jc w:val="center"/>
        <w:rPr>
          <w:rFonts w:hint="eastAsia"/>
          <w:color w:val="404040" w:themeColor="text1" w:themeTint="BF"/>
          <w:sz w:val="22"/>
          <w:szCs w:val="22"/>
        </w:rPr>
      </w:pPr>
      <w:r>
        <w:rPr>
          <w:color w:val="404040" w:themeColor="text1" w:themeTint="BF"/>
          <w:sz w:val="22"/>
          <w:szCs w:val="22"/>
        </w:rPr>
        <w:t>Administrar 1 cápsula ao dia ou conforme orientação médica.</w:t>
      </w:r>
    </w:p>
    <w:p w14:paraId="5F3C8377" w14:textId="77777777" w:rsidR="00CD65C2" w:rsidRDefault="00CD65C2">
      <w:pPr>
        <w:pStyle w:val="SemEspaamento"/>
      </w:pPr>
    </w:p>
    <w:p w14:paraId="2F8C45EC" w14:textId="77777777" w:rsidR="00CD65C2" w:rsidRDefault="00CD65C2">
      <w:pPr>
        <w:pStyle w:val="SemEspaamento"/>
      </w:pPr>
    </w:p>
    <w:p w14:paraId="33633278" w14:textId="77777777" w:rsidR="00CD65C2" w:rsidRDefault="00CD65C2">
      <w:pPr>
        <w:pStyle w:val="SemEspaamento"/>
      </w:pPr>
    </w:p>
    <w:p w14:paraId="7F940739" w14:textId="77777777" w:rsidR="00CD65C2" w:rsidRDefault="00CD65C2">
      <w:pPr>
        <w:pStyle w:val="SemEspaamento"/>
      </w:pPr>
    </w:p>
    <w:p w14:paraId="6CE6098B" w14:textId="77777777" w:rsidR="00CD65C2" w:rsidRDefault="00CD65C2">
      <w:pPr>
        <w:pStyle w:val="SemEspaamento"/>
      </w:pPr>
    </w:p>
    <w:p w14:paraId="500912CE" w14:textId="77777777" w:rsidR="00CD65C2" w:rsidRDefault="00CD65C2">
      <w:pPr>
        <w:pStyle w:val="SemEspaamento"/>
      </w:pPr>
    </w:p>
    <w:p w14:paraId="072345AD" w14:textId="77777777" w:rsidR="00CD65C2" w:rsidRDefault="00CD65C2">
      <w:pPr>
        <w:pStyle w:val="SemEspaamento"/>
      </w:pPr>
    </w:p>
    <w:p w14:paraId="6F34B358" w14:textId="77777777" w:rsidR="00CD65C2" w:rsidRDefault="00CD65C2">
      <w:pPr>
        <w:pStyle w:val="SemEspaamento"/>
      </w:pPr>
    </w:p>
    <w:p w14:paraId="53D12B55" w14:textId="77777777" w:rsidR="00CD65C2" w:rsidRDefault="00CD65C2">
      <w:pPr>
        <w:pStyle w:val="SemEspaamento"/>
      </w:pPr>
    </w:p>
    <w:p w14:paraId="1A78392B" w14:textId="77777777" w:rsidR="00CD65C2" w:rsidRDefault="00CD65C2">
      <w:pPr>
        <w:pStyle w:val="SemEspaamento"/>
      </w:pPr>
    </w:p>
    <w:p w14:paraId="1135DF92" w14:textId="77777777" w:rsidR="00CD65C2" w:rsidRDefault="00CD65C2">
      <w:pPr>
        <w:pStyle w:val="SemEspaamento"/>
      </w:pPr>
    </w:p>
    <w:p w14:paraId="5ACE9950" w14:textId="77777777" w:rsidR="00CD65C2" w:rsidRDefault="00CD65C2">
      <w:pPr>
        <w:pStyle w:val="SemEspaamento"/>
      </w:pPr>
    </w:p>
    <w:p w14:paraId="42DC7185" w14:textId="77777777" w:rsidR="00CD65C2" w:rsidRDefault="00CD65C2">
      <w:pPr>
        <w:pStyle w:val="SemEspaamento"/>
      </w:pPr>
    </w:p>
    <w:p w14:paraId="1DFBE4E5" w14:textId="77777777" w:rsidR="00CD65C2" w:rsidRDefault="00CD65C2">
      <w:pPr>
        <w:pStyle w:val="SemEspaamento"/>
      </w:pPr>
    </w:p>
    <w:p w14:paraId="6388D60B" w14:textId="77777777" w:rsidR="00CD65C2" w:rsidRDefault="00CD65C2">
      <w:pPr>
        <w:pStyle w:val="SemEspaamento"/>
      </w:pPr>
    </w:p>
    <w:p w14:paraId="13884E53" w14:textId="77777777" w:rsidR="00CD65C2" w:rsidRDefault="00CD65C2">
      <w:pPr>
        <w:pStyle w:val="SemEspaamento"/>
      </w:pPr>
    </w:p>
    <w:p w14:paraId="6F316FF6" w14:textId="77777777" w:rsidR="00CD65C2" w:rsidRDefault="00CD65C2">
      <w:pPr>
        <w:pStyle w:val="SemEspaamento"/>
      </w:pPr>
    </w:p>
    <w:p w14:paraId="56A117D8" w14:textId="77777777" w:rsidR="00CD65C2" w:rsidRDefault="00CD65C2">
      <w:pPr>
        <w:pStyle w:val="SemEspaamento"/>
      </w:pPr>
    </w:p>
    <w:p w14:paraId="7D1C8D76" w14:textId="77777777" w:rsidR="00CD65C2" w:rsidRDefault="00CD65C2">
      <w:pPr>
        <w:pStyle w:val="SemEspaamento"/>
      </w:pPr>
    </w:p>
    <w:p w14:paraId="4B6BD975" w14:textId="77777777" w:rsidR="00CD65C2" w:rsidRDefault="00CD65C2">
      <w:pPr>
        <w:pStyle w:val="SemEspaamento"/>
      </w:pPr>
    </w:p>
    <w:p w14:paraId="0382456F" w14:textId="77777777" w:rsidR="00CD65C2" w:rsidRDefault="00CD65C2">
      <w:pPr>
        <w:pStyle w:val="SemEspaamento"/>
      </w:pPr>
    </w:p>
    <w:p w14:paraId="37AE6454" w14:textId="77777777" w:rsidR="00CD65C2" w:rsidRDefault="00CD65C2">
      <w:pPr>
        <w:pStyle w:val="SemEspaamento"/>
      </w:pPr>
    </w:p>
    <w:p w14:paraId="384BBC6A" w14:textId="77777777" w:rsidR="00CD65C2" w:rsidRDefault="00CD65C2">
      <w:pPr>
        <w:pStyle w:val="SemEspaamento"/>
      </w:pPr>
    </w:p>
    <w:p w14:paraId="4C87F670" w14:textId="77777777" w:rsidR="00CD65C2" w:rsidRDefault="00CD65C2">
      <w:pPr>
        <w:pStyle w:val="SemEspaamento"/>
      </w:pPr>
    </w:p>
    <w:p w14:paraId="17060EEA" w14:textId="77777777" w:rsidR="00CD65C2" w:rsidRDefault="00CD65C2">
      <w:pPr>
        <w:pStyle w:val="SemEspaamento"/>
      </w:pPr>
    </w:p>
    <w:p w14:paraId="5E76F3E2" w14:textId="77777777" w:rsidR="00CD65C2" w:rsidRDefault="00CD65C2">
      <w:pPr>
        <w:pStyle w:val="SemEspaamento"/>
      </w:pPr>
    </w:p>
    <w:p w14:paraId="14770CE1" w14:textId="77777777" w:rsidR="00CD65C2" w:rsidRDefault="00CD65C2">
      <w:pPr>
        <w:pStyle w:val="Corpo"/>
        <w:spacing w:line="276" w:lineRule="auto"/>
        <w:rPr>
          <w:rFonts w:hint="eastAsia"/>
          <w:b/>
          <w:color w:val="404040" w:themeColor="text1" w:themeTint="BF"/>
        </w:rPr>
      </w:pPr>
    </w:p>
    <w:p w14:paraId="3635DD2B" w14:textId="77777777" w:rsidR="00CD65C2" w:rsidRDefault="00CD65C2">
      <w:pPr>
        <w:pStyle w:val="Corpo"/>
        <w:spacing w:line="276" w:lineRule="auto"/>
        <w:rPr>
          <w:rFonts w:hint="eastAsia"/>
          <w:b/>
          <w:color w:val="404040" w:themeColor="text1" w:themeTint="BF"/>
        </w:rPr>
      </w:pPr>
    </w:p>
    <w:p w14:paraId="4B7294C2" w14:textId="77777777" w:rsidR="00CD65C2" w:rsidRDefault="00CD65C2">
      <w:pPr>
        <w:pStyle w:val="Corpo"/>
        <w:spacing w:line="276" w:lineRule="auto"/>
        <w:rPr>
          <w:rFonts w:hint="eastAsia"/>
          <w:b/>
          <w:color w:val="404040" w:themeColor="text1" w:themeTint="BF"/>
        </w:rPr>
      </w:pPr>
    </w:p>
    <w:p w14:paraId="05C1C407" w14:textId="77777777" w:rsidR="00CD65C2" w:rsidRDefault="00CD65C2">
      <w:pPr>
        <w:pStyle w:val="Corpo"/>
        <w:spacing w:line="276" w:lineRule="auto"/>
        <w:rPr>
          <w:rFonts w:hint="eastAsia"/>
          <w:b/>
          <w:color w:val="404040" w:themeColor="text1" w:themeTint="BF"/>
        </w:rPr>
      </w:pPr>
    </w:p>
    <w:p w14:paraId="45D992B7" w14:textId="77777777" w:rsidR="00CD65C2" w:rsidRDefault="00FA41FC">
      <w:pPr>
        <w:pStyle w:val="Ttulo1"/>
        <w:jc w:val="center"/>
        <w:rPr>
          <w:rFonts w:hint="eastAsia"/>
        </w:rPr>
      </w:pPr>
      <w:bookmarkStart w:id="165" w:name="_Toc165537312"/>
      <w:r>
        <w:rPr>
          <w:bCs/>
          <w:iCs/>
        </w:rPr>
        <w:t>Própolis</w:t>
      </w:r>
      <w:bookmarkEnd w:id="165"/>
    </w:p>
    <w:p w14:paraId="46DE5A82" w14:textId="77777777" w:rsidR="00CD65C2" w:rsidRPr="00D1428E" w:rsidRDefault="00FA41FC">
      <w:pPr>
        <w:pStyle w:val="Corpo"/>
        <w:spacing w:after="120"/>
        <w:jc w:val="center"/>
        <w:rPr>
          <w:rFonts w:hint="eastAsia"/>
          <w:b/>
          <w:bCs/>
          <w:color w:val="0070C0"/>
          <w:sz w:val="40"/>
        </w:rPr>
      </w:pPr>
      <w:r w:rsidRPr="00D1428E">
        <w:rPr>
          <w:b/>
          <w:bCs/>
          <w:color w:val="0070C0"/>
          <w:sz w:val="40"/>
        </w:rPr>
        <w:t>Eficaz como Adjuvante no Tratamento da Cistite</w:t>
      </w:r>
    </w:p>
    <w:p w14:paraId="5B4319DF" w14:textId="77777777" w:rsidR="00CD65C2" w:rsidRDefault="00CD65C2">
      <w:pPr>
        <w:pStyle w:val="Corpo"/>
        <w:spacing w:after="120"/>
        <w:jc w:val="center"/>
        <w:rPr>
          <w:rFonts w:hint="eastAsia"/>
          <w:color w:val="404040" w:themeColor="text1" w:themeTint="BF"/>
          <w:sz w:val="24"/>
        </w:rPr>
      </w:pPr>
    </w:p>
    <w:p w14:paraId="38446863" w14:textId="77777777" w:rsidR="00CD65C2" w:rsidRDefault="00CD65C2">
      <w:pPr>
        <w:pStyle w:val="Corpo"/>
        <w:rPr>
          <w:rFonts w:hint="eastAsia"/>
          <w:color w:val="404040" w:themeColor="text1" w:themeTint="BF"/>
          <w:sz w:val="24"/>
        </w:rPr>
      </w:pPr>
    </w:p>
    <w:p w14:paraId="336578C7" w14:textId="77777777" w:rsidR="00CD65C2" w:rsidRDefault="00FA41FC">
      <w:pPr>
        <w:pStyle w:val="Corpo"/>
        <w:rPr>
          <w:rFonts w:hint="eastAsia"/>
          <w:color w:val="404040" w:themeColor="text1" w:themeTint="BF"/>
          <w:sz w:val="24"/>
        </w:rPr>
      </w:pPr>
      <w:r>
        <w:rPr>
          <w:color w:val="404040" w:themeColor="text1" w:themeTint="BF"/>
          <w:sz w:val="24"/>
        </w:rPr>
        <w:t>Este estudo randomizado, duplo-cego e placebo-controlado teve como objetivo avaliar o efeito da suplementação de própolis nas manifestações clínicas em mulheres que sofrem de cistite não complicada (</w:t>
      </w:r>
      <w:r>
        <w:rPr>
          <w:color w:val="404040" w:themeColor="text1" w:themeTint="BF"/>
        </w:rPr>
        <w:t xml:space="preserve">LAVIGNE </w:t>
      </w:r>
      <w:r>
        <w:rPr>
          <w:i/>
          <w:color w:val="404040" w:themeColor="text1" w:themeTint="BF"/>
        </w:rPr>
        <w:t xml:space="preserve">et al., </w:t>
      </w:r>
      <w:r>
        <w:rPr>
          <w:color w:val="404040" w:themeColor="text1" w:themeTint="BF"/>
        </w:rPr>
        <w:t>2020).</w:t>
      </w:r>
    </w:p>
    <w:p w14:paraId="56D749D3"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980800" behindDoc="0" locked="0" layoutInCell="1" allowOverlap="1">
                <wp:simplePos x="0" y="0"/>
                <wp:positionH relativeFrom="margin">
                  <wp:posOffset>43815</wp:posOffset>
                </wp:positionH>
                <wp:positionV relativeFrom="paragraph">
                  <wp:posOffset>92710</wp:posOffset>
                </wp:positionV>
                <wp:extent cx="5715000" cy="518160"/>
                <wp:effectExtent l="0" t="0" r="19050" b="15240"/>
                <wp:wrapNone/>
                <wp:docPr id="739657901" name="Caixa de texto 739657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18160"/>
                        </a:xfrm>
                        <a:prstGeom prst="rect">
                          <a:avLst/>
                        </a:prstGeom>
                        <a:solidFill>
                          <a:schemeClr val="bg1">
                            <a:lumMod val="100000"/>
                            <a:lumOff val="0"/>
                          </a:schemeClr>
                        </a:solidFill>
                        <a:ln w="9525">
                          <a:solidFill>
                            <a:srgbClr val="0070C0"/>
                          </a:solidFill>
                          <a:miter lim="800000"/>
                        </a:ln>
                      </wps:spPr>
                      <wps:txbx>
                        <w:txbxContent>
                          <w:p w14:paraId="7049EFAC" w14:textId="77777777" w:rsidR="00FA41FC" w:rsidRDefault="00FA41FC">
                            <w:pPr>
                              <w:jc w:val="center"/>
                              <w:rPr>
                                <w:rFonts w:ascii="Swis721 Th BT" w:hAnsi="Swis721 Th BT"/>
                                <w:sz w:val="23"/>
                                <w:szCs w:val="23"/>
                              </w:rPr>
                            </w:pPr>
                            <w:r>
                              <w:rPr>
                                <w:rFonts w:ascii="Swis721 Th BT" w:hAnsi="Swis721 Th BT"/>
                                <w:sz w:val="23"/>
                                <w:szCs w:val="23"/>
                              </w:rPr>
                              <w:t xml:space="preserve">Para isso, 64 indivíduos foram selecionados e divididos em três grupos, nos quais receberam durante 60 dias: </w:t>
                            </w:r>
                          </w:p>
                        </w:txbxContent>
                      </wps:txbx>
                      <wps:bodyPr rot="0" vert="horz" wrap="square" lIns="91440" tIns="45720" rIns="91440" bIns="45720" anchor="t" anchorCtr="0" upright="1">
                        <a:noAutofit/>
                      </wps:bodyPr>
                    </wps:wsp>
                  </a:graphicData>
                </a:graphic>
              </wp:anchor>
            </w:drawing>
          </mc:Choice>
          <mc:Fallback>
            <w:pict>
              <v:shape id="Caixa de texto 739657901" o:spid="_x0000_s1239" type="#_x0000_t202" style="position:absolute;left:0;text-align:left;margin-left:3.45pt;margin-top:7.3pt;width:450pt;height:40.8pt;z-index:2519808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" fillcolor="white [3212]" strokecolor="#0070c0">
                <v:textbox>
                  <w:txbxContent>
                    <w:p w14:paraId="7049EFAC" w14:textId="77777777" w:rsidR="00FA41FC" w:rsidRDefault="00FA41FC">
                      <w:pPr>
                        <w:jc w:val="center"/>
                        <w:rPr>
                          <w:rFonts w:ascii="Swis721 Th BT" w:hAnsi="Swis721 Th BT"/>
                          <w:sz w:val="23"/>
                          <w:szCs w:val="23"/>
                        </w:rPr>
                      </w:pPr>
                      <w:r>
                        <w:rPr>
                          <w:rFonts w:ascii="Swis721 Th BT" w:hAnsi="Swis721 Th BT"/>
                          <w:sz w:val="23"/>
                          <w:szCs w:val="23"/>
                        </w:rPr>
                        <w:t xml:space="preserve">Para isso, 64 indivíduos foram selecionados e divididos em três grupos, nos quais receberam durante 60 dias: </w:t>
                      </w:r>
                    </w:p>
                  </w:txbxContent>
                </v:textbox>
                <w10:wrap anchorx="margin"/>
              </v:shape>
            </w:pict>
          </mc:Fallback>
        </mc:AlternateContent>
      </w:r>
      <w:r>
        <w:rPr>
          <w:color w:val="404040" w:themeColor="text1" w:themeTint="BF"/>
          <w:sz w:val="24"/>
        </w:rPr>
        <w:br/>
      </w:r>
    </w:p>
    <w:p w14:paraId="5F7C8C7F" w14:textId="77777777" w:rsidR="00CD65C2" w:rsidRDefault="00CD65C2">
      <w:pPr>
        <w:pStyle w:val="Corpo"/>
        <w:rPr>
          <w:rFonts w:hint="eastAsia"/>
          <w:color w:val="404040" w:themeColor="text1" w:themeTint="BF"/>
        </w:rPr>
      </w:pPr>
    </w:p>
    <w:p w14:paraId="4826DD72"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981824" behindDoc="0" locked="0" layoutInCell="1" allowOverlap="1">
                <wp:simplePos x="0" y="0"/>
                <wp:positionH relativeFrom="column">
                  <wp:posOffset>4673600</wp:posOffset>
                </wp:positionH>
                <wp:positionV relativeFrom="paragraph">
                  <wp:posOffset>171450</wp:posOffset>
                </wp:positionV>
                <wp:extent cx="226695" cy="138430"/>
                <wp:effectExtent l="0" t="0" r="1905" b="0"/>
                <wp:wrapNone/>
                <wp:docPr id="739657902" name="Triângulo isósceles 7396579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902" o:spid="_x0000_s1026" o:spt="5" type="#_x0000_t5" style="position:absolute;left:0pt;flip:y;margin-left:368pt;margin-top:13.5pt;height:10.9pt;width:17.85pt;z-index:251981824;mso-width-relative:page;mso-height-relative:page;" fillcolor="#D9D9D9 [3212]" filled="t" stroked="f" coordsize="21600,21600" o:gfxdata="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IVGrMzXAAAACQEAAA8AAAAAAAAAAQAgAAAAIgAAAGRycy9kb3ducmV2LnhtbFBLAQIUABQAAAAI&#10;AIdO4kB8ha7rYAIAALMEAAAOAAAAAAAAAAEAIAAAACYBAABkcnMvZTJvRG9jLnhtbFBLBQYAAAAA&#10;BgAGAFkBAAD4BQAAAAA=&#10;" adj="10800">
                <v:fill on="t" focussize="0,0"/>
                <v:stroke on="f"/>
                <v:imagedata o:title=""/>
                <o:lock v:ext="edit" aspectratio="f"/>
              </v:shape>
            </w:pict>
          </mc:Fallback>
        </mc:AlternateContent>
      </w:r>
    </w:p>
    <w:p w14:paraId="160A3B2E"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979776" behindDoc="0" locked="0" layoutInCell="1" allowOverlap="1">
                <wp:simplePos x="0" y="0"/>
                <wp:positionH relativeFrom="column">
                  <wp:posOffset>882015</wp:posOffset>
                </wp:positionH>
                <wp:positionV relativeFrom="paragraph">
                  <wp:posOffset>34925</wp:posOffset>
                </wp:positionV>
                <wp:extent cx="226695" cy="138430"/>
                <wp:effectExtent l="0" t="0" r="1905" b="0"/>
                <wp:wrapNone/>
                <wp:docPr id="739657904" name="Triângulo isósceles 7396579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904" o:spid="_x0000_s1026" o:spt="5" type="#_x0000_t5" style="position:absolute;left:0pt;flip:y;margin-left:69.45pt;margin-top:2.75pt;height:10.9pt;width:17.85pt;z-index:251979776;mso-width-relative:page;mso-height-relative:page;" fillcolor="#D9D9D9 [3212]" filled="t" stroked="f" coordsize="21600,21600" o:gfxdata="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L0fXjjXAAAACAEAAA8AAAAAAAAAAQAgAAAAIgAAAGRycy9kb3ducmV2LnhtbFBLAQIUABQAAAAI&#10;AIdO4kDNZs6mYAIAALMEAAAOAAAAAAAAAAEAIAAAACYBAABkcnMvZTJvRG9jLnhtbFBLBQYAAAAA&#10;BgAGAFkBAAD4BQAAAAA=&#10;" adj="10800">
                <v:fill on="t" focussize="0,0"/>
                <v:stroke on="f"/>
                <v:imagedata o:title=""/>
                <o:lock v:ext="edit" aspectratio="f"/>
              </v:shape>
            </w:pict>
          </mc:Fallback>
        </mc:AlternateContent>
      </w:r>
    </w:p>
    <w:p w14:paraId="218D023E"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982848" behindDoc="0" locked="0" layoutInCell="1" allowOverlap="1">
                <wp:simplePos x="0" y="0"/>
                <wp:positionH relativeFrom="column">
                  <wp:posOffset>3644265</wp:posOffset>
                </wp:positionH>
                <wp:positionV relativeFrom="paragraph">
                  <wp:posOffset>60325</wp:posOffset>
                </wp:positionV>
                <wp:extent cx="2105025" cy="1171575"/>
                <wp:effectExtent l="0" t="0" r="28575" b="28575"/>
                <wp:wrapNone/>
                <wp:docPr id="739657905" name="Caixa de texto 7396579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1171575"/>
                        </a:xfrm>
                        <a:prstGeom prst="rect">
                          <a:avLst/>
                        </a:prstGeom>
                        <a:solidFill>
                          <a:srgbClr val="0070C0"/>
                        </a:solidFill>
                        <a:ln w="9525">
                          <a:solidFill>
                            <a:srgbClr val="0070C0"/>
                          </a:solidFill>
                          <a:miter lim="800000"/>
                        </a:ln>
                      </wps:spPr>
                      <wps:txbx>
                        <w:txbxContent>
                          <w:p w14:paraId="7E6F3227"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AE3F689" w14:textId="77777777" w:rsidR="00FA41FC" w:rsidRDefault="00FA41FC">
                            <w:pPr>
                              <w:spacing w:after="0" w:line="240" w:lineRule="auto"/>
                              <w:jc w:val="center"/>
                              <w:rPr>
                                <w:rFonts w:ascii="Swis721 Th BT" w:hAnsi="Swis721 Th BT"/>
                                <w:b/>
                                <w:color w:val="FFFFFF" w:themeColor="background1"/>
                                <w:sz w:val="12"/>
                                <w:szCs w:val="12"/>
                              </w:rPr>
                            </w:pPr>
                          </w:p>
                          <w:p w14:paraId="66759CB1"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4909119C"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7BF5694E"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Ciprofloxacino</w:t>
                            </w:r>
                          </w:p>
                          <w:p w14:paraId="10D5DB29"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250 mg ao dia</w:t>
                            </w:r>
                          </w:p>
                          <w:p w14:paraId="77457741" w14:textId="77777777" w:rsidR="00FA41FC" w:rsidRDefault="00FA41FC">
                            <w:pPr>
                              <w:spacing w:after="0" w:line="240" w:lineRule="auto"/>
                              <w:jc w:val="center"/>
                              <w:rPr>
                                <w:rFonts w:ascii="Swis721 Th BT" w:hAnsi="Swis721 Th BT"/>
                                <w:b/>
                                <w:color w:val="FFFFFF" w:themeColor="background1"/>
                                <w:sz w:val="23"/>
                                <w:szCs w:val="23"/>
                              </w:rPr>
                            </w:pPr>
                          </w:p>
                          <w:p w14:paraId="3EFCDDC4" w14:textId="77777777" w:rsidR="00FA41FC" w:rsidRDefault="00FA41FC">
                            <w:pPr>
                              <w:spacing w:after="0" w:line="240" w:lineRule="auto"/>
                              <w:jc w:val="center"/>
                              <w:rPr>
                                <w:rFonts w:ascii="Swis721 Th BT" w:hAnsi="Swis721 Th BT"/>
                                <w:b/>
                                <w:color w:val="FFFFFF" w:themeColor="background1"/>
                                <w:sz w:val="12"/>
                                <w:szCs w:val="12"/>
                              </w:rPr>
                            </w:pPr>
                          </w:p>
                          <w:p w14:paraId="05D48A70" w14:textId="77777777" w:rsidR="00FA41FC" w:rsidRDefault="00FA41FC"/>
                        </w:txbxContent>
                      </wps:txbx>
                      <wps:bodyPr rot="0" vert="horz" wrap="square" lIns="91440" tIns="45720" rIns="91440" bIns="45720" anchor="t" anchorCtr="0" upright="1">
                        <a:noAutofit/>
                      </wps:bodyPr>
                    </wps:wsp>
                  </a:graphicData>
                </a:graphic>
              </wp:anchor>
            </w:drawing>
          </mc:Choice>
          <mc:Fallback>
            <w:pict>
              <v:shape id="Caixa de texto 739657905" o:spid="_x0000_s1240" type="#_x0000_t202" style="position:absolute;left:0;text-align:left;margin-left:286.95pt;margin-top:4.75pt;width:165.75pt;height:92.25pt;z-index:25198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" fillcolor="#0070c0" strokecolor="#0070c0">
                <v:textbox>
                  <w:txbxContent>
                    <w:p w14:paraId="7E6F3227"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AE3F689" w14:textId="77777777" w:rsidR="00FA41FC" w:rsidRDefault="00FA41FC">
                      <w:pPr>
                        <w:spacing w:after="0" w:line="240" w:lineRule="auto"/>
                        <w:jc w:val="center"/>
                        <w:rPr>
                          <w:rFonts w:ascii="Swis721 Th BT" w:hAnsi="Swis721 Th BT"/>
                          <w:b/>
                          <w:color w:val="FFFFFF" w:themeColor="background1"/>
                          <w:sz w:val="12"/>
                          <w:szCs w:val="12"/>
                        </w:rPr>
                      </w:pPr>
                    </w:p>
                    <w:p w14:paraId="66759CB1"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4909119C"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7BF5694E"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Ciprofloxacino</w:t>
                      </w:r>
                    </w:p>
                    <w:p w14:paraId="10D5DB29"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250 mg ao dia</w:t>
                      </w:r>
                    </w:p>
                    <w:p w14:paraId="77457741" w14:textId="77777777" w:rsidR="00FA41FC" w:rsidRDefault="00FA41FC">
                      <w:pPr>
                        <w:spacing w:after="0" w:line="240" w:lineRule="auto"/>
                        <w:jc w:val="center"/>
                        <w:rPr>
                          <w:rFonts w:ascii="Swis721 Th BT" w:hAnsi="Swis721 Th BT"/>
                          <w:b/>
                          <w:color w:val="FFFFFF" w:themeColor="background1"/>
                          <w:sz w:val="23"/>
                          <w:szCs w:val="23"/>
                        </w:rPr>
                      </w:pPr>
                    </w:p>
                    <w:p w14:paraId="3EFCDDC4" w14:textId="77777777" w:rsidR="00FA41FC" w:rsidRDefault="00FA41FC">
                      <w:pPr>
                        <w:spacing w:after="0" w:line="240" w:lineRule="auto"/>
                        <w:jc w:val="center"/>
                        <w:rPr>
                          <w:rFonts w:ascii="Swis721 Th BT" w:hAnsi="Swis721 Th BT"/>
                          <w:b/>
                          <w:color w:val="FFFFFF" w:themeColor="background1"/>
                          <w:sz w:val="12"/>
                          <w:szCs w:val="12"/>
                        </w:rPr>
                      </w:pPr>
                    </w:p>
                    <w:p w14:paraId="05D48A70" w14:textId="77777777" w:rsidR="00FA41FC" w:rsidRDefault="00FA41FC"/>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978752" behindDoc="0" locked="0" layoutInCell="1" allowOverlap="1">
                <wp:simplePos x="0" y="0"/>
                <wp:positionH relativeFrom="column">
                  <wp:posOffset>43815</wp:posOffset>
                </wp:positionH>
                <wp:positionV relativeFrom="paragraph">
                  <wp:posOffset>79375</wp:posOffset>
                </wp:positionV>
                <wp:extent cx="2171700" cy="1152525"/>
                <wp:effectExtent l="0" t="0" r="19050" b="28575"/>
                <wp:wrapNone/>
                <wp:docPr id="739657907" name="Caixa de texto 7396579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52525"/>
                        </a:xfrm>
                        <a:prstGeom prst="rect">
                          <a:avLst/>
                        </a:prstGeom>
                        <a:solidFill>
                          <a:srgbClr val="0070C0"/>
                        </a:solidFill>
                        <a:ln w="9525">
                          <a:solidFill>
                            <a:srgbClr val="0070C0"/>
                          </a:solidFill>
                          <a:miter lim="800000"/>
                        </a:ln>
                      </wps:spPr>
                      <wps:txbx>
                        <w:txbxContent>
                          <w:p w14:paraId="1D607487"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Própolis</w:t>
                            </w:r>
                          </w:p>
                          <w:p w14:paraId="18632002"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1000 mg ao dia</w:t>
                            </w:r>
                          </w:p>
                          <w:p w14:paraId="2DCFB2B6"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1407BC9F"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Ciprofloxacino</w:t>
                            </w:r>
                          </w:p>
                          <w:p w14:paraId="07DBE4B3"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250 mg ao dia</w:t>
                            </w:r>
                          </w:p>
                          <w:p w14:paraId="19E15EB4"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739657907" o:spid="_x0000_s1241" type="#_x0000_t202" style="position:absolute;left:0;text-align:left;margin-left:3.45pt;margin-top:6.25pt;width:171pt;height:90.75pt;z-index:25197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" fillcolor="#0070c0" strokecolor="#0070c0">
                <v:textbox>
                  <w:txbxContent>
                    <w:p w14:paraId="1D607487"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Própolis</w:t>
                      </w:r>
                    </w:p>
                    <w:p w14:paraId="18632002"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1000 mg ao dia</w:t>
                      </w:r>
                    </w:p>
                    <w:p w14:paraId="2DCFB2B6"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1407BC9F"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Ciprofloxacino</w:t>
                      </w:r>
                    </w:p>
                    <w:p w14:paraId="07DBE4B3"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250 mg ao dia</w:t>
                      </w:r>
                    </w:p>
                    <w:p w14:paraId="19E15EB4"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p>
    <w:p w14:paraId="75FAD14A" w14:textId="77777777" w:rsidR="00CD65C2" w:rsidRDefault="00CD65C2">
      <w:pPr>
        <w:pStyle w:val="Corpo"/>
        <w:rPr>
          <w:rFonts w:hint="eastAsia"/>
          <w:color w:val="404040" w:themeColor="text1" w:themeTint="BF"/>
        </w:rPr>
      </w:pPr>
    </w:p>
    <w:p w14:paraId="323C030A" w14:textId="77777777" w:rsidR="00CD65C2" w:rsidRDefault="00CD65C2">
      <w:pPr>
        <w:pStyle w:val="Corpo"/>
        <w:rPr>
          <w:rFonts w:hint="eastAsia"/>
          <w:color w:val="404040" w:themeColor="text1" w:themeTint="BF"/>
        </w:rPr>
      </w:pPr>
    </w:p>
    <w:p w14:paraId="434D538D" w14:textId="77777777" w:rsidR="00CD65C2" w:rsidRDefault="00CD65C2">
      <w:pPr>
        <w:pStyle w:val="Corpo"/>
        <w:rPr>
          <w:rFonts w:hint="eastAsia"/>
          <w:color w:val="404040" w:themeColor="text1" w:themeTint="BF"/>
        </w:rPr>
      </w:pPr>
    </w:p>
    <w:p w14:paraId="088B158D" w14:textId="77777777" w:rsidR="00CD65C2" w:rsidRDefault="00CD65C2">
      <w:pPr>
        <w:pStyle w:val="Corpo"/>
        <w:rPr>
          <w:rFonts w:hint="eastAsia"/>
          <w:color w:val="404040" w:themeColor="text1" w:themeTint="BF"/>
        </w:rPr>
      </w:pPr>
    </w:p>
    <w:p w14:paraId="5AC68715" w14:textId="77777777" w:rsidR="00CD65C2" w:rsidRDefault="00CD65C2">
      <w:pPr>
        <w:pStyle w:val="Corpo"/>
        <w:spacing w:before="120"/>
        <w:rPr>
          <w:rFonts w:hint="eastAsia"/>
          <w:color w:val="404040" w:themeColor="text1" w:themeTint="BF"/>
          <w:sz w:val="20"/>
        </w:rPr>
      </w:pPr>
    </w:p>
    <w:p w14:paraId="0D3907B3" w14:textId="77777777" w:rsidR="00CD65C2" w:rsidRDefault="00CD65C2">
      <w:pPr>
        <w:pStyle w:val="Corpo"/>
        <w:rPr>
          <w:rFonts w:hint="eastAsia"/>
          <w:b/>
          <w:color w:val="339966"/>
          <w:sz w:val="25"/>
          <w:szCs w:val="25"/>
          <w14:textFill>
            <w14:solidFill>
              <w14:srgbClr w14:val="339966">
                <w14:lumMod w14:val="75000"/>
                <w14:lumOff w14:val="25000"/>
              </w14:srgbClr>
            </w14:solidFill>
          </w14:textFill>
        </w:rPr>
      </w:pPr>
    </w:p>
    <w:p w14:paraId="5FE9140D"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0BB30F24" w14:textId="77777777" w:rsidR="00CD65C2" w:rsidRDefault="00CD65C2">
      <w:pPr>
        <w:pStyle w:val="Corpo"/>
        <w:rPr>
          <w:rFonts w:hint="eastAsia"/>
          <w:color w:val="404040" w:themeColor="text1" w:themeTint="BF"/>
          <w:sz w:val="16"/>
          <w:szCs w:val="16"/>
        </w:rPr>
      </w:pPr>
    </w:p>
    <w:p w14:paraId="6F589870" w14:textId="77777777" w:rsidR="00CD65C2" w:rsidRDefault="00FA41FC">
      <w:pPr>
        <w:pStyle w:val="Corpo"/>
        <w:numPr>
          <w:ilvl w:val="0"/>
          <w:numId w:val="37"/>
        </w:numPr>
        <w:rPr>
          <w:rFonts w:hint="eastAsia"/>
          <w:color w:val="404040" w:themeColor="text1" w:themeTint="BF"/>
          <w:sz w:val="24"/>
        </w:rPr>
      </w:pPr>
      <w:r>
        <w:rPr>
          <w:color w:val="404040" w:themeColor="text1" w:themeTint="BF"/>
          <w:sz w:val="24"/>
        </w:rPr>
        <w:t>Após a suplementação, os participantes do grupo intervenção tiveram significativamente menos dias de frequência urinária (p &lt; 0,001), disúria (p = 0,005) e urgência (p = 0,03). Entretanto, não houve diferença significativa entre os dois grupos em relação à hematúria e dor suprapúbica (p &gt; 0,05);</w:t>
      </w:r>
    </w:p>
    <w:p w14:paraId="34DD0204" w14:textId="77777777" w:rsidR="00CD65C2" w:rsidRDefault="00FA41FC">
      <w:pPr>
        <w:pStyle w:val="Corpo"/>
        <w:numPr>
          <w:ilvl w:val="0"/>
          <w:numId w:val="37"/>
        </w:numPr>
        <w:rPr>
          <w:rFonts w:hint="eastAsia"/>
          <w:color w:val="404040" w:themeColor="text1" w:themeTint="BF"/>
          <w:sz w:val="24"/>
        </w:rPr>
      </w:pPr>
      <w:r>
        <w:rPr>
          <w:color w:val="404040" w:themeColor="text1" w:themeTint="BF"/>
          <w:sz w:val="24"/>
        </w:rPr>
        <w:t xml:space="preserve">A gravidade da bacteriúria diminuiu significativamente em ambos os grupos. </w:t>
      </w:r>
    </w:p>
    <w:p w14:paraId="1DA31AB6" w14:textId="77777777" w:rsidR="00CD65C2" w:rsidRDefault="00CD65C2">
      <w:pPr>
        <w:pStyle w:val="Corpo"/>
        <w:spacing w:after="120"/>
        <w:ind w:left="360"/>
        <w:rPr>
          <w:rFonts w:hint="eastAsia"/>
          <w:color w:val="404040" w:themeColor="text1" w:themeTint="BF"/>
          <w:sz w:val="24"/>
        </w:rPr>
      </w:pPr>
    </w:p>
    <w:p w14:paraId="154487FE"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0121E6E1" w14:textId="77777777" w:rsidR="00CD65C2" w:rsidRDefault="00CD65C2">
      <w:pPr>
        <w:pStyle w:val="Corpo"/>
        <w:rPr>
          <w:rFonts w:hint="eastAsia"/>
          <w:b/>
          <w:color w:val="339966"/>
          <w:sz w:val="16"/>
          <w:szCs w:val="16"/>
          <w14:textFill>
            <w14:solidFill>
              <w14:srgbClr w14:val="339966">
                <w14:lumMod w14:val="75000"/>
                <w14:lumOff w14:val="25000"/>
              </w14:srgbClr>
            </w14:solidFill>
          </w14:textFill>
        </w:rPr>
      </w:pPr>
    </w:p>
    <w:p w14:paraId="0CA303C8" w14:textId="77777777" w:rsidR="00CD65C2" w:rsidRDefault="00FA41FC">
      <w:pPr>
        <w:jc w:val="center"/>
        <w:rPr>
          <w:rFonts w:ascii="Swis721 Th BT" w:hAnsi="Swis721 Th BT"/>
          <w:b/>
          <w:i/>
          <w:sz w:val="23"/>
          <w:szCs w:val="23"/>
        </w:rPr>
      </w:pPr>
      <w:r>
        <w:rPr>
          <w:rFonts w:ascii="Swis721 Th BT" w:hAnsi="Swis721 Th BT"/>
          <w:b/>
          <w:i/>
          <w:sz w:val="23"/>
          <w:szCs w:val="23"/>
        </w:rPr>
        <w:t>Os pesquisadores concluíram que a suplementação de própolis em mulheres com cistite não complicada pode melhorar a frequência urinária, a disúria e a urgência.</w:t>
      </w:r>
    </w:p>
    <w:p w14:paraId="64D4D26B" w14:textId="77777777" w:rsidR="00CD65C2" w:rsidRDefault="00CD65C2"/>
    <w:p w14:paraId="53993224" w14:textId="77777777" w:rsidR="00CD65C2" w:rsidRDefault="00CD65C2"/>
    <w:p w14:paraId="37257A60" w14:textId="77777777" w:rsidR="00CD65C2" w:rsidRDefault="00CD65C2"/>
    <w:p w14:paraId="33D492E9" w14:textId="77777777" w:rsidR="00CD65C2" w:rsidRDefault="00CD65C2"/>
    <w:p w14:paraId="7D14CCE8" w14:textId="77777777" w:rsidR="00CD65C2" w:rsidRDefault="00CD65C2"/>
    <w:p w14:paraId="2205DF70" w14:textId="77777777" w:rsidR="00CD65C2" w:rsidRDefault="00CD65C2"/>
    <w:p w14:paraId="5659889A" w14:textId="77777777" w:rsidR="00CD65C2" w:rsidRDefault="00FA41FC">
      <w:pPr>
        <w:pStyle w:val="Ttulo1"/>
        <w:jc w:val="center"/>
        <w:rPr>
          <w:rFonts w:hint="eastAsia"/>
        </w:rPr>
      </w:pPr>
      <w:bookmarkStart w:id="166" w:name="_Toc165537313"/>
      <w:r>
        <w:rPr>
          <w:rStyle w:val="Ttulo1Char"/>
          <w:b/>
        </w:rPr>
        <w:t>Formulário</w:t>
      </w:r>
      <w:bookmarkEnd w:id="166"/>
    </w:p>
    <w:p w14:paraId="43DA6FA2" w14:textId="77777777" w:rsidR="00CD65C2" w:rsidRDefault="00CD65C2">
      <w:pPr>
        <w:pStyle w:val="Corpo"/>
        <w:rPr>
          <w:rFonts w:hint="eastAsia"/>
          <w:b/>
          <w:i/>
          <w:color w:val="404040" w:themeColor="text1" w:themeTint="BF"/>
        </w:rPr>
      </w:pPr>
    </w:p>
    <w:p w14:paraId="2DF98513" w14:textId="77777777" w:rsidR="00CD65C2" w:rsidRDefault="00CD65C2">
      <w:pPr>
        <w:pStyle w:val="Corpo"/>
        <w:rPr>
          <w:rFonts w:hint="eastAsia"/>
          <w:b/>
          <w:i/>
          <w:color w:val="404040" w:themeColor="text1" w:themeTint="BF"/>
        </w:rPr>
      </w:pPr>
    </w:p>
    <w:p w14:paraId="587300F8" w14:textId="77777777" w:rsidR="00CD65C2" w:rsidRDefault="00FA41FC">
      <w:pPr>
        <w:pStyle w:val="Corpo"/>
        <w:rPr>
          <w:rFonts w:hint="eastAsia"/>
          <w:b/>
          <w:bCs/>
          <w:i/>
          <w:color w:val="404040" w:themeColor="text1" w:themeTint="BF"/>
          <w:sz w:val="24"/>
        </w:rPr>
      </w:pPr>
      <w:r>
        <w:rPr>
          <w:b/>
          <w:bCs/>
          <w:i/>
          <w:color w:val="404040" w:themeColor="text1" w:themeTint="BF"/>
          <w:sz w:val="24"/>
        </w:rPr>
        <w:t>Própolis é Eficaz como Adjuvante no Tratamento da Cistite</w:t>
      </w:r>
    </w:p>
    <w:p w14:paraId="4EF9067B"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6EEB26CE"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427A7519" w14:textId="77777777" w:rsidR="00CD65C2" w:rsidRDefault="00FA41FC">
            <w:pPr>
              <w:pStyle w:val="Corpo"/>
              <w:jc w:val="center"/>
              <w:rPr>
                <w:rFonts w:hint="eastAsia"/>
                <w:b/>
                <w:color w:val="FFFFFF" w:themeColor="background1"/>
              </w:rPr>
            </w:pPr>
            <w:r>
              <w:rPr>
                <w:b/>
                <w:color w:val="FFFFFF" w:themeColor="background1"/>
                <w:sz w:val="22"/>
              </w:rPr>
              <w:t>Cápsulas de Própolis</w:t>
            </w:r>
          </w:p>
        </w:tc>
      </w:tr>
      <w:tr w:rsidR="00CD65C2" w14:paraId="08F24885"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E3CAE29" w14:textId="77777777" w:rsidR="00CD65C2" w:rsidRDefault="00FA41FC">
            <w:pPr>
              <w:pStyle w:val="Corpo"/>
              <w:rPr>
                <w:rFonts w:hint="eastAsia"/>
                <w:color w:val="404040" w:themeColor="text1" w:themeTint="BF"/>
              </w:rPr>
            </w:pPr>
            <w:r>
              <w:rPr>
                <w:color w:val="404040" w:themeColor="text1" w:themeTint="BF"/>
              </w:rPr>
              <w:t>Própolis...........................................500 mg</w:t>
            </w:r>
          </w:p>
        </w:tc>
      </w:tr>
      <w:tr w:rsidR="00CD65C2" w14:paraId="69CFF39E"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1D4BFD3" w14:textId="737B2D47" w:rsidR="00CD65C2" w:rsidRDefault="00FA41FC">
            <w:pPr>
              <w:pStyle w:val="Corpo"/>
              <w:rPr>
                <w:rFonts w:hint="eastAsia"/>
                <w:color w:val="404040" w:themeColor="text1" w:themeTint="BF"/>
              </w:rPr>
            </w:pPr>
            <w:r>
              <w:rPr>
                <w:color w:val="404040" w:themeColor="text1" w:themeTint="BF"/>
              </w:rPr>
              <w:t>Excipiente q.s.p. ........................1 Cápsula</w:t>
            </w:r>
          </w:p>
        </w:tc>
      </w:tr>
    </w:tbl>
    <w:p w14:paraId="69C1D8CD" w14:textId="77777777" w:rsidR="00CD65C2" w:rsidRDefault="00FA41FC">
      <w:pPr>
        <w:pStyle w:val="SemEspaamento"/>
        <w:ind w:right="4676"/>
        <w:jc w:val="center"/>
        <w:rPr>
          <w:rFonts w:ascii="Swis721 Th BT" w:eastAsia="MS Mincho" w:hAnsi="Swis721 Th BT" w:hint="eastAsia"/>
          <w:color w:val="404040" w:themeColor="text1" w:themeTint="BF"/>
        </w:rPr>
      </w:pPr>
      <w:r>
        <w:rPr>
          <w:rFonts w:ascii="Swis721 Th BT" w:eastAsia="MS Mincho" w:hAnsi="Swis721 Th BT"/>
          <w:color w:val="404040" w:themeColor="text1" w:themeTint="BF"/>
        </w:rPr>
        <w:t>Administrar 2 cápsulas ao dia ou conforme orientação médica.</w:t>
      </w:r>
    </w:p>
    <w:p w14:paraId="4CA71999" w14:textId="77777777" w:rsidR="00CD65C2" w:rsidRDefault="00CD65C2">
      <w:pPr>
        <w:pStyle w:val="SemEspaamento"/>
      </w:pPr>
    </w:p>
    <w:p w14:paraId="418DD65A" w14:textId="77777777" w:rsidR="00CD65C2" w:rsidRDefault="00CD65C2">
      <w:pPr>
        <w:pStyle w:val="SemEspaamento"/>
      </w:pPr>
    </w:p>
    <w:p w14:paraId="79651761" w14:textId="77777777" w:rsidR="00CD65C2" w:rsidRDefault="00CD65C2">
      <w:pPr>
        <w:pStyle w:val="SemEspaamento"/>
      </w:pPr>
    </w:p>
    <w:p w14:paraId="363ED887" w14:textId="77777777" w:rsidR="00CD65C2" w:rsidRDefault="00CD65C2">
      <w:pPr>
        <w:pStyle w:val="Corpo"/>
        <w:spacing w:line="276" w:lineRule="auto"/>
        <w:rPr>
          <w:rFonts w:hint="eastAsia"/>
          <w:b/>
          <w:color w:val="404040" w:themeColor="text1" w:themeTint="BF"/>
        </w:rPr>
      </w:pPr>
    </w:p>
    <w:p w14:paraId="2405894A" w14:textId="77777777" w:rsidR="00CD65C2" w:rsidRDefault="00CD65C2">
      <w:pPr>
        <w:pStyle w:val="Corpo"/>
        <w:spacing w:line="276" w:lineRule="auto"/>
        <w:rPr>
          <w:rFonts w:hint="eastAsia"/>
          <w:b/>
          <w:color w:val="404040" w:themeColor="text1" w:themeTint="BF"/>
        </w:rPr>
      </w:pPr>
    </w:p>
    <w:p w14:paraId="037091FC" w14:textId="77777777" w:rsidR="00CD65C2" w:rsidRDefault="00CD65C2">
      <w:pPr>
        <w:pStyle w:val="Corpo"/>
        <w:spacing w:line="276" w:lineRule="auto"/>
        <w:rPr>
          <w:rFonts w:hint="eastAsia"/>
          <w:b/>
          <w:color w:val="404040" w:themeColor="text1" w:themeTint="BF"/>
        </w:rPr>
      </w:pPr>
    </w:p>
    <w:p w14:paraId="109D2992" w14:textId="77777777" w:rsidR="00CD65C2" w:rsidRDefault="00CD65C2">
      <w:pPr>
        <w:pStyle w:val="Corpo"/>
        <w:spacing w:line="276" w:lineRule="auto"/>
        <w:rPr>
          <w:rFonts w:hint="eastAsia"/>
          <w:b/>
          <w:color w:val="404040" w:themeColor="text1" w:themeTint="BF"/>
        </w:rPr>
      </w:pPr>
    </w:p>
    <w:p w14:paraId="78508247" w14:textId="77777777" w:rsidR="00CD65C2" w:rsidRDefault="00CD65C2">
      <w:pPr>
        <w:pStyle w:val="Corpo"/>
        <w:spacing w:line="276" w:lineRule="auto"/>
        <w:rPr>
          <w:rFonts w:hint="eastAsia"/>
          <w:b/>
          <w:color w:val="404040" w:themeColor="text1" w:themeTint="BF"/>
        </w:rPr>
      </w:pPr>
    </w:p>
    <w:p w14:paraId="43A2DF7E" w14:textId="77777777" w:rsidR="00CD65C2" w:rsidRDefault="00CD65C2">
      <w:pPr>
        <w:pStyle w:val="Corpo"/>
        <w:spacing w:line="276" w:lineRule="auto"/>
        <w:rPr>
          <w:rFonts w:hint="eastAsia"/>
          <w:b/>
          <w:color w:val="404040" w:themeColor="text1" w:themeTint="BF"/>
        </w:rPr>
      </w:pPr>
    </w:p>
    <w:p w14:paraId="5A64CECC" w14:textId="77777777" w:rsidR="00CD65C2" w:rsidRDefault="00CD65C2">
      <w:pPr>
        <w:pStyle w:val="Corpo"/>
        <w:spacing w:line="276" w:lineRule="auto"/>
        <w:rPr>
          <w:rFonts w:hint="eastAsia"/>
          <w:b/>
          <w:color w:val="404040" w:themeColor="text1" w:themeTint="BF"/>
        </w:rPr>
      </w:pPr>
    </w:p>
    <w:p w14:paraId="685E42C5" w14:textId="77777777" w:rsidR="00CD65C2" w:rsidRDefault="00CD65C2">
      <w:pPr>
        <w:pStyle w:val="Corpo"/>
        <w:spacing w:line="276" w:lineRule="auto"/>
        <w:rPr>
          <w:rFonts w:hint="eastAsia"/>
          <w:b/>
          <w:color w:val="404040" w:themeColor="text1" w:themeTint="BF"/>
        </w:rPr>
      </w:pPr>
    </w:p>
    <w:p w14:paraId="03347788" w14:textId="77777777" w:rsidR="00CD65C2" w:rsidRDefault="00CD65C2">
      <w:pPr>
        <w:pStyle w:val="Corpo"/>
        <w:spacing w:line="276" w:lineRule="auto"/>
        <w:rPr>
          <w:rFonts w:hint="eastAsia"/>
          <w:b/>
          <w:color w:val="404040" w:themeColor="text1" w:themeTint="BF"/>
        </w:rPr>
      </w:pPr>
    </w:p>
    <w:p w14:paraId="0EDA4878" w14:textId="77777777" w:rsidR="00CD65C2" w:rsidRDefault="00CD65C2">
      <w:pPr>
        <w:pStyle w:val="Corpo"/>
        <w:spacing w:line="276" w:lineRule="auto"/>
        <w:rPr>
          <w:rFonts w:hint="eastAsia"/>
          <w:b/>
          <w:color w:val="404040" w:themeColor="text1" w:themeTint="BF"/>
        </w:rPr>
      </w:pPr>
    </w:p>
    <w:p w14:paraId="671ACF94" w14:textId="77777777" w:rsidR="00CD65C2" w:rsidRDefault="00CD65C2">
      <w:pPr>
        <w:pStyle w:val="Corpo"/>
        <w:spacing w:line="276" w:lineRule="auto"/>
        <w:rPr>
          <w:rFonts w:hint="eastAsia"/>
          <w:b/>
          <w:color w:val="404040" w:themeColor="text1" w:themeTint="BF"/>
        </w:rPr>
      </w:pPr>
    </w:p>
    <w:p w14:paraId="0A9A4326" w14:textId="77777777" w:rsidR="00CD65C2" w:rsidRDefault="00CD65C2">
      <w:pPr>
        <w:pStyle w:val="Corpo"/>
        <w:spacing w:line="276" w:lineRule="auto"/>
        <w:rPr>
          <w:rFonts w:hint="eastAsia"/>
          <w:b/>
          <w:color w:val="404040" w:themeColor="text1" w:themeTint="BF"/>
        </w:rPr>
      </w:pPr>
    </w:p>
    <w:p w14:paraId="5B0ECF3C" w14:textId="77777777" w:rsidR="00CD65C2" w:rsidRDefault="00CD65C2">
      <w:pPr>
        <w:pStyle w:val="Corpo"/>
        <w:spacing w:line="276" w:lineRule="auto"/>
        <w:rPr>
          <w:rFonts w:hint="eastAsia"/>
          <w:b/>
          <w:color w:val="404040" w:themeColor="text1" w:themeTint="BF"/>
        </w:rPr>
      </w:pPr>
    </w:p>
    <w:p w14:paraId="6231271B" w14:textId="77777777" w:rsidR="00CD65C2" w:rsidRDefault="00CD65C2">
      <w:pPr>
        <w:pStyle w:val="Corpo"/>
        <w:spacing w:line="276" w:lineRule="auto"/>
        <w:rPr>
          <w:rFonts w:hint="eastAsia"/>
          <w:b/>
          <w:color w:val="404040" w:themeColor="text1" w:themeTint="BF"/>
        </w:rPr>
      </w:pPr>
    </w:p>
    <w:p w14:paraId="12B62FBF" w14:textId="77777777" w:rsidR="00CD65C2" w:rsidRDefault="00CD65C2">
      <w:pPr>
        <w:pStyle w:val="Corpo"/>
        <w:spacing w:line="276" w:lineRule="auto"/>
        <w:rPr>
          <w:rFonts w:hint="eastAsia"/>
          <w:b/>
          <w:color w:val="404040" w:themeColor="text1" w:themeTint="BF"/>
        </w:rPr>
      </w:pPr>
    </w:p>
    <w:p w14:paraId="72526C4E" w14:textId="77777777" w:rsidR="00CD65C2" w:rsidRDefault="00CD65C2">
      <w:pPr>
        <w:pStyle w:val="Corpo"/>
        <w:spacing w:line="276" w:lineRule="auto"/>
        <w:rPr>
          <w:rFonts w:hint="eastAsia"/>
          <w:b/>
          <w:color w:val="404040" w:themeColor="text1" w:themeTint="BF"/>
        </w:rPr>
      </w:pPr>
    </w:p>
    <w:p w14:paraId="5F11D5D5" w14:textId="77777777" w:rsidR="00CD65C2" w:rsidRDefault="00CD65C2">
      <w:pPr>
        <w:pStyle w:val="Corpo"/>
        <w:spacing w:line="276" w:lineRule="auto"/>
        <w:rPr>
          <w:rFonts w:hint="eastAsia"/>
          <w:b/>
          <w:color w:val="404040" w:themeColor="text1" w:themeTint="BF"/>
        </w:rPr>
      </w:pPr>
    </w:p>
    <w:p w14:paraId="4A4542FD" w14:textId="77777777" w:rsidR="00CD65C2" w:rsidRDefault="00CD65C2">
      <w:pPr>
        <w:pStyle w:val="Corpo"/>
        <w:spacing w:line="276" w:lineRule="auto"/>
        <w:rPr>
          <w:rFonts w:hint="eastAsia"/>
          <w:b/>
          <w:color w:val="404040" w:themeColor="text1" w:themeTint="BF"/>
        </w:rPr>
      </w:pPr>
    </w:p>
    <w:p w14:paraId="5E27D25A" w14:textId="77777777" w:rsidR="00CD65C2" w:rsidRDefault="00CD65C2">
      <w:pPr>
        <w:pStyle w:val="Corpo"/>
        <w:spacing w:line="276" w:lineRule="auto"/>
        <w:rPr>
          <w:rFonts w:hint="eastAsia"/>
          <w:b/>
          <w:color w:val="404040" w:themeColor="text1" w:themeTint="BF"/>
        </w:rPr>
      </w:pPr>
    </w:p>
    <w:p w14:paraId="38BDBCDC" w14:textId="77777777" w:rsidR="00CD65C2" w:rsidRDefault="00CD65C2">
      <w:pPr>
        <w:pStyle w:val="Corpo"/>
        <w:spacing w:line="276" w:lineRule="auto"/>
        <w:rPr>
          <w:rFonts w:hint="eastAsia"/>
          <w:b/>
          <w:color w:val="404040" w:themeColor="text1" w:themeTint="BF"/>
        </w:rPr>
      </w:pPr>
    </w:p>
    <w:p w14:paraId="6203088E" w14:textId="77777777" w:rsidR="00CD65C2" w:rsidRDefault="00FA41FC">
      <w:pPr>
        <w:pStyle w:val="Ttulo1"/>
        <w:jc w:val="center"/>
        <w:rPr>
          <w:rFonts w:hint="eastAsia"/>
        </w:rPr>
      </w:pPr>
      <w:bookmarkStart w:id="167" w:name="_Toc165537314"/>
      <w:r>
        <w:rPr>
          <w:bCs/>
          <w:iCs/>
        </w:rPr>
        <w:t>Própolis e Cranberry</w:t>
      </w:r>
      <w:bookmarkEnd w:id="167"/>
    </w:p>
    <w:p w14:paraId="296C181D" w14:textId="77777777" w:rsidR="00CD65C2" w:rsidRPr="00D1428E" w:rsidRDefault="00FA41FC">
      <w:pPr>
        <w:pStyle w:val="Corpo"/>
        <w:spacing w:after="120"/>
        <w:jc w:val="center"/>
        <w:rPr>
          <w:rFonts w:hint="eastAsia"/>
          <w:b/>
          <w:bCs/>
          <w:color w:val="0070C0"/>
          <w:sz w:val="40"/>
        </w:rPr>
      </w:pPr>
      <w:r w:rsidRPr="00D1428E">
        <w:rPr>
          <w:b/>
          <w:bCs/>
          <w:color w:val="0070C0"/>
          <w:sz w:val="40"/>
        </w:rPr>
        <w:t>Diminui a Incidência de ITUs</w:t>
      </w:r>
    </w:p>
    <w:p w14:paraId="32E5D2EC" w14:textId="77777777" w:rsidR="00CD65C2" w:rsidRDefault="00CD65C2">
      <w:pPr>
        <w:pStyle w:val="Corpo"/>
        <w:spacing w:after="120"/>
        <w:jc w:val="center"/>
        <w:rPr>
          <w:rFonts w:hint="eastAsia"/>
          <w:color w:val="404040" w:themeColor="text1" w:themeTint="BF"/>
          <w:sz w:val="24"/>
        </w:rPr>
      </w:pPr>
    </w:p>
    <w:p w14:paraId="35D97F07" w14:textId="77777777" w:rsidR="00CD65C2" w:rsidRDefault="00CD65C2">
      <w:pPr>
        <w:pStyle w:val="Corpo"/>
        <w:rPr>
          <w:rFonts w:hint="eastAsia"/>
          <w:color w:val="404040" w:themeColor="text1" w:themeTint="BF"/>
          <w:sz w:val="24"/>
        </w:rPr>
      </w:pPr>
    </w:p>
    <w:p w14:paraId="73EAFA78" w14:textId="2AC96B45" w:rsidR="00CD65C2" w:rsidRDefault="00FA41FC">
      <w:pPr>
        <w:pStyle w:val="Corpo"/>
        <w:rPr>
          <w:rFonts w:hint="eastAsia"/>
          <w:color w:val="404040" w:themeColor="text1" w:themeTint="BF"/>
          <w:szCs w:val="23"/>
        </w:rPr>
      </w:pPr>
      <w:r>
        <w:rPr>
          <w:color w:val="404040" w:themeColor="text1" w:themeTint="BF"/>
          <w:szCs w:val="23"/>
        </w:rPr>
        <w:t xml:space="preserve">Um estudo conduzido por Bruyere </w:t>
      </w:r>
      <w:r>
        <w:rPr>
          <w:i/>
          <w:iCs/>
          <w:color w:val="404040" w:themeColor="text1" w:themeTint="BF"/>
          <w:szCs w:val="23"/>
        </w:rPr>
        <w:t>et al.</w:t>
      </w:r>
      <w:r>
        <w:rPr>
          <w:color w:val="404040" w:themeColor="text1" w:themeTint="BF"/>
          <w:szCs w:val="23"/>
        </w:rPr>
        <w:t xml:space="preserve"> (2019) teve como objetivo avaliar a eficácia da própolis associada ao cranberry e compará-la com o placebo em mulheres com cistite recorrente.</w:t>
      </w:r>
    </w:p>
    <w:p w14:paraId="1897C003"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985920" behindDoc="0" locked="0" layoutInCell="1" allowOverlap="1">
                <wp:simplePos x="0" y="0"/>
                <wp:positionH relativeFrom="margin">
                  <wp:posOffset>43815</wp:posOffset>
                </wp:positionH>
                <wp:positionV relativeFrom="paragraph">
                  <wp:posOffset>94615</wp:posOffset>
                </wp:positionV>
                <wp:extent cx="5715000" cy="923925"/>
                <wp:effectExtent l="0" t="0" r="19050" b="28575"/>
                <wp:wrapNone/>
                <wp:docPr id="739657908" name="Caixa de texto 7396579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923925"/>
                        </a:xfrm>
                        <a:prstGeom prst="rect">
                          <a:avLst/>
                        </a:prstGeom>
                        <a:solidFill>
                          <a:schemeClr val="bg1">
                            <a:lumMod val="100000"/>
                            <a:lumOff val="0"/>
                          </a:schemeClr>
                        </a:solidFill>
                        <a:ln w="9525">
                          <a:solidFill>
                            <a:srgbClr val="0070C0"/>
                          </a:solidFill>
                          <a:miter lim="800000"/>
                        </a:ln>
                      </wps:spPr>
                      <wps:txbx>
                        <w:txbxContent>
                          <w:p w14:paraId="287C652B" w14:textId="50383B6C" w:rsidR="00FA41FC" w:rsidRDefault="00FA41FC">
                            <w:pPr>
                              <w:jc w:val="center"/>
                              <w:rPr>
                                <w:rFonts w:ascii="Swis721 Th BT" w:hAnsi="Swis721 Th BT"/>
                                <w:sz w:val="23"/>
                                <w:szCs w:val="23"/>
                              </w:rPr>
                            </w:pPr>
                            <w:r>
                              <w:rPr>
                                <w:rFonts w:ascii="Swis721 Th BT" w:hAnsi="Swis721 Th BT"/>
                                <w:sz w:val="23"/>
                                <w:szCs w:val="23"/>
                              </w:rPr>
                              <w:t>Para isso, foi realizado um estudo clínico, multicêntrico, placebo-controlado e randomizado com 74 mulheres com mais de 18 anos de idade e no mínimo 4 episódios de cistite nos últimos 12 meses. As mulheres foram separadas em dois grupos para receberem a seguinte posologia por seis meses:</w:t>
                            </w:r>
                          </w:p>
                          <w:p w14:paraId="4741EAA1"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908" o:spid="_x0000_s1242" type="#_x0000_t202" style="position:absolute;left:0;text-align:left;margin-left:3.45pt;margin-top:7.45pt;width:450pt;height:72.75pt;z-index:2519859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" fillcolor="white [3212]" strokecolor="#0070c0">
                <v:textbox>
                  <w:txbxContent>
                    <w:p w14:paraId="287C652B" w14:textId="50383B6C" w:rsidR="00FA41FC" w:rsidRDefault="00FA41FC">
                      <w:pPr>
                        <w:jc w:val="center"/>
                        <w:rPr>
                          <w:rFonts w:ascii="Swis721 Th BT" w:hAnsi="Swis721 Th BT"/>
                          <w:sz w:val="23"/>
                          <w:szCs w:val="23"/>
                        </w:rPr>
                      </w:pPr>
                      <w:r>
                        <w:rPr>
                          <w:rFonts w:ascii="Swis721 Th BT" w:hAnsi="Swis721 Th BT"/>
                          <w:sz w:val="23"/>
                          <w:szCs w:val="23"/>
                        </w:rPr>
                        <w:t>Para isso, foi realizado um estudo clínico, multicêntrico, placebo-controlado e randomizado com 74 mulheres com mais de 18 anos de idade e no mínimo 4 episódios de cistite nos últimos 12 meses. As mulheres foram separadas em dois grupos para receberem a seguinte posologia por seis meses:</w:t>
                      </w:r>
                    </w:p>
                    <w:p w14:paraId="4741EAA1"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46D2EB52" w14:textId="77777777" w:rsidR="00CD65C2" w:rsidRDefault="00CD65C2">
      <w:pPr>
        <w:pStyle w:val="Corpo"/>
        <w:rPr>
          <w:rFonts w:hint="eastAsia"/>
          <w:color w:val="404040" w:themeColor="text1" w:themeTint="BF"/>
        </w:rPr>
      </w:pPr>
    </w:p>
    <w:p w14:paraId="249A718C" w14:textId="77777777" w:rsidR="00CD65C2" w:rsidRDefault="00CD65C2">
      <w:pPr>
        <w:pStyle w:val="Corpo"/>
        <w:rPr>
          <w:rFonts w:hint="eastAsia"/>
          <w:color w:val="404040" w:themeColor="text1" w:themeTint="BF"/>
        </w:rPr>
      </w:pPr>
    </w:p>
    <w:p w14:paraId="5402C9A5" w14:textId="77777777" w:rsidR="00CD65C2" w:rsidRDefault="00CD65C2">
      <w:pPr>
        <w:pStyle w:val="Corpo"/>
        <w:rPr>
          <w:rFonts w:hint="eastAsia"/>
          <w:color w:val="404040" w:themeColor="text1" w:themeTint="BF"/>
        </w:rPr>
      </w:pPr>
    </w:p>
    <w:p w14:paraId="09FEAB37"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986944" behindDoc="0" locked="0" layoutInCell="1" allowOverlap="1">
                <wp:simplePos x="0" y="0"/>
                <wp:positionH relativeFrom="column">
                  <wp:posOffset>4673600</wp:posOffset>
                </wp:positionH>
                <wp:positionV relativeFrom="paragraph">
                  <wp:posOffset>171450</wp:posOffset>
                </wp:positionV>
                <wp:extent cx="226695" cy="138430"/>
                <wp:effectExtent l="0" t="0" r="1905" b="0"/>
                <wp:wrapNone/>
                <wp:docPr id="739657909" name="Triângulo isósceles 7396579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909" o:spid="_x0000_s1026" o:spt="5" type="#_x0000_t5" style="position:absolute;left:0pt;flip:y;margin-left:368pt;margin-top:13.5pt;height:10.9pt;width:17.85pt;z-index:251986944;mso-width-relative:page;mso-height-relative:page;" fillcolor="#D9D9D9 [3212]" filled="t" stroked="f" coordsize="21600,21600" o:gfxdata="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IVGrMzXAAAACQEAAA8AAAAAAAAAAQAgAAAAIgAAAGRycy9kb3ducmV2LnhtbFBLAQIUABQAAAAI&#10;AIdO4kAH8Pd6YAIAALMEAAAOAAAAAAAAAAEAIAAAACYBAABkcnMvZTJvRG9jLnhtbFBLBQYAAAAA&#10;BgAGAFkBAAD4BQAAAAA=&#10;" adj="10800">
                <v:fill on="t" focussize="0,0"/>
                <v:stroke on="f"/>
                <v:imagedata o:title=""/>
                <o:lock v:ext="edit" aspectratio="f"/>
              </v:shape>
            </w:pict>
          </mc:Fallback>
        </mc:AlternateContent>
      </w:r>
    </w:p>
    <w:p w14:paraId="09FB2284"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984896" behindDoc="0" locked="0" layoutInCell="1" allowOverlap="1">
                <wp:simplePos x="0" y="0"/>
                <wp:positionH relativeFrom="column">
                  <wp:posOffset>882015</wp:posOffset>
                </wp:positionH>
                <wp:positionV relativeFrom="paragraph">
                  <wp:posOffset>34925</wp:posOffset>
                </wp:positionV>
                <wp:extent cx="226695" cy="138430"/>
                <wp:effectExtent l="0" t="0" r="1905" b="0"/>
                <wp:wrapNone/>
                <wp:docPr id="739657910" name="Triângulo isósceles 7396579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910" o:spid="_x0000_s1026" o:spt="5" type="#_x0000_t5" style="position:absolute;left:0pt;flip:y;margin-left:69.45pt;margin-top:2.75pt;height:10.9pt;width:17.85pt;z-index:251984896;mso-width-relative:page;mso-height-relative:page;" fillcolor="#D9D9D9 [3212]" filled="t" stroked="f" coordsize="21600,21600" o:gfxdata="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L0fXjjXAAAACAEAAA8AAAAAAAAAAQAgAAAAIgAAAGRycy9kb3ducmV2LnhtbFBLAQIUABQAAAAI&#10;AIdO4kCn9RW+YAIAALMEAAAOAAAAAAAAAAEAIAAAACYBAABkcnMvZTJvRG9jLnhtbFBLBQYAAAAA&#10;BgAGAFkBAAD4BQAAAAA=&#10;" adj="10800">
                <v:fill on="t" focussize="0,0"/>
                <v:stroke on="f"/>
                <v:imagedata o:title=""/>
                <o:lock v:ext="edit" aspectratio="f"/>
              </v:shape>
            </w:pict>
          </mc:Fallback>
        </mc:AlternateContent>
      </w:r>
    </w:p>
    <w:p w14:paraId="0267EB03"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987968" behindDoc="0" locked="0" layoutInCell="1" allowOverlap="1">
                <wp:simplePos x="0" y="0"/>
                <wp:positionH relativeFrom="column">
                  <wp:posOffset>3644265</wp:posOffset>
                </wp:positionH>
                <wp:positionV relativeFrom="paragraph">
                  <wp:posOffset>64135</wp:posOffset>
                </wp:positionV>
                <wp:extent cx="2105025" cy="1009650"/>
                <wp:effectExtent l="0" t="0" r="28575" b="19050"/>
                <wp:wrapNone/>
                <wp:docPr id="739657911" name="Caixa de texto 739657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1009650"/>
                        </a:xfrm>
                        <a:prstGeom prst="rect">
                          <a:avLst/>
                        </a:prstGeom>
                        <a:solidFill>
                          <a:srgbClr val="0070C0"/>
                        </a:solidFill>
                        <a:ln w="9525">
                          <a:solidFill>
                            <a:srgbClr val="0070C0"/>
                          </a:solidFill>
                          <a:miter lim="800000"/>
                        </a:ln>
                      </wps:spPr>
                      <wps:txbx>
                        <w:txbxContent>
                          <w:p w14:paraId="4876A826"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B1D9213" w14:textId="77777777" w:rsidR="00FA41FC" w:rsidRDefault="00FA41FC">
                            <w:pPr>
                              <w:spacing w:after="0" w:line="240" w:lineRule="auto"/>
                              <w:jc w:val="center"/>
                              <w:rPr>
                                <w:rFonts w:ascii="Swis721 Th BT" w:hAnsi="Swis721 Th BT"/>
                                <w:b/>
                                <w:color w:val="FFFFFF" w:themeColor="background1"/>
                                <w:sz w:val="12"/>
                                <w:szCs w:val="12"/>
                              </w:rPr>
                            </w:pPr>
                          </w:p>
                          <w:p w14:paraId="08799555" w14:textId="77777777" w:rsidR="00FA41FC" w:rsidRDefault="00FA41FC">
                            <w:pPr>
                              <w:spacing w:after="0" w:line="240" w:lineRule="auto"/>
                              <w:jc w:val="center"/>
                              <w:rPr>
                                <w:rFonts w:ascii="Swis721 Th BT" w:hAnsi="Swis721 Th BT"/>
                                <w:color w:val="FFFFFF" w:themeColor="background1"/>
                                <w:sz w:val="23"/>
                                <w:szCs w:val="23"/>
                              </w:rPr>
                            </w:pPr>
                          </w:p>
                          <w:p w14:paraId="3B629AB9"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50D67190" w14:textId="77777777" w:rsidR="00FA41FC" w:rsidRDefault="00FA41FC">
                            <w:pPr>
                              <w:spacing w:after="0" w:line="240" w:lineRule="auto"/>
                              <w:jc w:val="center"/>
                              <w:rPr>
                                <w:rFonts w:ascii="Swis721 Th BT" w:hAnsi="Swis721 Th BT"/>
                                <w:b/>
                                <w:color w:val="FFFFFF" w:themeColor="background1"/>
                                <w:sz w:val="23"/>
                                <w:szCs w:val="23"/>
                              </w:rPr>
                            </w:pPr>
                          </w:p>
                          <w:p w14:paraId="4DCF90A8" w14:textId="77777777" w:rsidR="00FA41FC" w:rsidRDefault="00FA41FC">
                            <w:pPr>
                              <w:spacing w:after="0" w:line="240" w:lineRule="auto"/>
                              <w:jc w:val="center"/>
                              <w:rPr>
                                <w:rFonts w:ascii="Swis721 Th BT" w:hAnsi="Swis721 Th BT"/>
                                <w:b/>
                                <w:color w:val="FFFFFF" w:themeColor="background1"/>
                                <w:sz w:val="12"/>
                                <w:szCs w:val="12"/>
                              </w:rPr>
                            </w:pPr>
                          </w:p>
                          <w:p w14:paraId="2EED53BA" w14:textId="77777777" w:rsidR="00FA41FC" w:rsidRDefault="00FA41FC"/>
                        </w:txbxContent>
                      </wps:txbx>
                      <wps:bodyPr rot="0" vert="horz" wrap="square" lIns="91440" tIns="45720" rIns="91440" bIns="45720" anchor="t" anchorCtr="0" upright="1">
                        <a:noAutofit/>
                      </wps:bodyPr>
                    </wps:wsp>
                  </a:graphicData>
                </a:graphic>
              </wp:anchor>
            </w:drawing>
          </mc:Choice>
          <mc:Fallback>
            <w:pict>
              <v:shape id="Caixa de texto 739657911" o:spid="_x0000_s1243" type="#_x0000_t202" style="position:absolute;left:0;text-align:left;margin-left:286.95pt;margin-top:5.05pt;width:165.75pt;height:79.5pt;z-index:25198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" fillcolor="#0070c0" strokecolor="#0070c0">
                <v:textbox>
                  <w:txbxContent>
                    <w:p w14:paraId="4876A826"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B1D9213" w14:textId="77777777" w:rsidR="00FA41FC" w:rsidRDefault="00FA41FC">
                      <w:pPr>
                        <w:spacing w:after="0" w:line="240" w:lineRule="auto"/>
                        <w:jc w:val="center"/>
                        <w:rPr>
                          <w:rFonts w:ascii="Swis721 Th BT" w:hAnsi="Swis721 Th BT"/>
                          <w:b/>
                          <w:color w:val="FFFFFF" w:themeColor="background1"/>
                          <w:sz w:val="12"/>
                          <w:szCs w:val="12"/>
                        </w:rPr>
                      </w:pPr>
                    </w:p>
                    <w:p w14:paraId="08799555" w14:textId="77777777" w:rsidR="00FA41FC" w:rsidRDefault="00FA41FC">
                      <w:pPr>
                        <w:spacing w:after="0" w:line="240" w:lineRule="auto"/>
                        <w:jc w:val="center"/>
                        <w:rPr>
                          <w:rFonts w:ascii="Swis721 Th BT" w:hAnsi="Swis721 Th BT"/>
                          <w:color w:val="FFFFFF" w:themeColor="background1"/>
                          <w:sz w:val="23"/>
                          <w:szCs w:val="23"/>
                        </w:rPr>
                      </w:pPr>
                    </w:p>
                    <w:p w14:paraId="3B629AB9"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50D67190" w14:textId="77777777" w:rsidR="00FA41FC" w:rsidRDefault="00FA41FC">
                      <w:pPr>
                        <w:spacing w:after="0" w:line="240" w:lineRule="auto"/>
                        <w:jc w:val="center"/>
                        <w:rPr>
                          <w:rFonts w:ascii="Swis721 Th BT" w:hAnsi="Swis721 Th BT"/>
                          <w:b/>
                          <w:color w:val="FFFFFF" w:themeColor="background1"/>
                          <w:sz w:val="23"/>
                          <w:szCs w:val="23"/>
                        </w:rPr>
                      </w:pPr>
                    </w:p>
                    <w:p w14:paraId="4DCF90A8" w14:textId="77777777" w:rsidR="00FA41FC" w:rsidRDefault="00FA41FC">
                      <w:pPr>
                        <w:spacing w:after="0" w:line="240" w:lineRule="auto"/>
                        <w:jc w:val="center"/>
                        <w:rPr>
                          <w:rFonts w:ascii="Swis721 Th BT" w:hAnsi="Swis721 Th BT"/>
                          <w:b/>
                          <w:color w:val="FFFFFF" w:themeColor="background1"/>
                          <w:sz w:val="12"/>
                          <w:szCs w:val="12"/>
                        </w:rPr>
                      </w:pPr>
                    </w:p>
                    <w:p w14:paraId="2EED53BA" w14:textId="77777777" w:rsidR="00FA41FC" w:rsidRDefault="00FA41FC"/>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983872" behindDoc="0" locked="0" layoutInCell="1" allowOverlap="1">
                <wp:simplePos x="0" y="0"/>
                <wp:positionH relativeFrom="column">
                  <wp:posOffset>43815</wp:posOffset>
                </wp:positionH>
                <wp:positionV relativeFrom="paragraph">
                  <wp:posOffset>83185</wp:posOffset>
                </wp:positionV>
                <wp:extent cx="2171700" cy="990600"/>
                <wp:effectExtent l="0" t="0" r="19050" b="19050"/>
                <wp:wrapNone/>
                <wp:docPr id="739657912" name="Caixa de texto 7396579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990600"/>
                        </a:xfrm>
                        <a:prstGeom prst="rect">
                          <a:avLst/>
                        </a:prstGeom>
                        <a:solidFill>
                          <a:srgbClr val="0070C0"/>
                        </a:solidFill>
                        <a:ln w="9525">
                          <a:solidFill>
                            <a:srgbClr val="0070C0"/>
                          </a:solidFill>
                          <a:miter lim="800000"/>
                        </a:ln>
                      </wps:spPr>
                      <wps:txbx>
                        <w:txbxContent>
                          <w:p w14:paraId="2FF5FD71"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Cranberry 600 mg</w:t>
                            </w:r>
                          </w:p>
                          <w:p w14:paraId="0B089E69"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Própolis 400 mg</w:t>
                            </w:r>
                          </w:p>
                          <w:p w14:paraId="64B1EB1F"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Zinco 5 mg</w:t>
                            </w:r>
                          </w:p>
                          <w:p w14:paraId="18960152"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 a 2 cápsulas ao dia</w:t>
                            </w:r>
                          </w:p>
                          <w:p w14:paraId="4DBD6055"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739657912" o:spid="_x0000_s1244" type="#_x0000_t202" style="position:absolute;left:0;text-align:left;margin-left:3.45pt;margin-top:6.55pt;width:171pt;height:78pt;z-index:25198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" fillcolor="#0070c0" strokecolor="#0070c0">
                <v:textbox>
                  <w:txbxContent>
                    <w:p w14:paraId="2FF5FD71"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Cranberry 600 mg</w:t>
                      </w:r>
                    </w:p>
                    <w:p w14:paraId="0B089E69"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Própolis 400 mg</w:t>
                      </w:r>
                    </w:p>
                    <w:p w14:paraId="64B1EB1F"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Zinco 5 mg</w:t>
                      </w:r>
                    </w:p>
                    <w:p w14:paraId="18960152"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 a 2 cápsulas ao dia</w:t>
                      </w:r>
                    </w:p>
                    <w:p w14:paraId="4DBD6055"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p>
    <w:p w14:paraId="752589E6" w14:textId="77777777" w:rsidR="00CD65C2" w:rsidRDefault="00CD65C2">
      <w:pPr>
        <w:pStyle w:val="Corpo"/>
        <w:rPr>
          <w:rFonts w:hint="eastAsia"/>
          <w:color w:val="404040" w:themeColor="text1" w:themeTint="BF"/>
        </w:rPr>
      </w:pPr>
    </w:p>
    <w:p w14:paraId="3C282169" w14:textId="77777777" w:rsidR="00CD65C2" w:rsidRDefault="00CD65C2">
      <w:pPr>
        <w:pStyle w:val="Corpo"/>
        <w:rPr>
          <w:rFonts w:hint="eastAsia"/>
          <w:color w:val="404040" w:themeColor="text1" w:themeTint="BF"/>
        </w:rPr>
      </w:pPr>
    </w:p>
    <w:p w14:paraId="6A967F80" w14:textId="77777777" w:rsidR="00CD65C2" w:rsidRDefault="00CD65C2">
      <w:pPr>
        <w:pStyle w:val="Corpo"/>
        <w:rPr>
          <w:rFonts w:hint="eastAsia"/>
          <w:color w:val="404040" w:themeColor="text1" w:themeTint="BF"/>
        </w:rPr>
      </w:pPr>
    </w:p>
    <w:p w14:paraId="2AA640D8" w14:textId="77777777" w:rsidR="00CD65C2" w:rsidRDefault="00CD65C2">
      <w:pPr>
        <w:pStyle w:val="Corpo"/>
        <w:rPr>
          <w:rFonts w:hint="eastAsia"/>
          <w:color w:val="404040" w:themeColor="text1" w:themeTint="BF"/>
        </w:rPr>
      </w:pPr>
    </w:p>
    <w:p w14:paraId="47127529" w14:textId="77777777" w:rsidR="00CD65C2" w:rsidRDefault="00CD65C2">
      <w:pPr>
        <w:pStyle w:val="Corpo"/>
        <w:spacing w:before="120"/>
        <w:rPr>
          <w:rFonts w:hint="eastAsia"/>
          <w:color w:val="404040" w:themeColor="text1" w:themeTint="BF"/>
          <w:sz w:val="20"/>
        </w:rPr>
      </w:pPr>
    </w:p>
    <w:p w14:paraId="2A2585CE" w14:textId="77777777" w:rsidR="00CD65C2" w:rsidRDefault="00CD65C2">
      <w:pPr>
        <w:pStyle w:val="Corpo"/>
        <w:rPr>
          <w:rFonts w:hint="eastAsia"/>
          <w:b/>
          <w:color w:val="339966"/>
          <w:sz w:val="25"/>
          <w:szCs w:val="25"/>
          <w14:textFill>
            <w14:solidFill>
              <w14:srgbClr w14:val="339966">
                <w14:lumMod w14:val="75000"/>
                <w14:lumOff w14:val="25000"/>
              </w14:srgbClr>
            </w14:solidFill>
          </w14:textFill>
        </w:rPr>
      </w:pPr>
    </w:p>
    <w:p w14:paraId="7C8AF67D"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7A1F24A0" w14:textId="77777777" w:rsidR="00CD65C2" w:rsidRDefault="00CD65C2">
      <w:pPr>
        <w:pStyle w:val="Corpo"/>
        <w:rPr>
          <w:rFonts w:hint="eastAsia"/>
          <w:color w:val="404040" w:themeColor="text1" w:themeTint="BF"/>
          <w:sz w:val="16"/>
          <w:szCs w:val="16"/>
        </w:rPr>
      </w:pPr>
    </w:p>
    <w:p w14:paraId="17CCFAD9" w14:textId="77777777" w:rsidR="00CD65C2" w:rsidRDefault="00FA41FC" w:rsidP="00D1428E">
      <w:pPr>
        <w:pStyle w:val="Corpo"/>
        <w:numPr>
          <w:ilvl w:val="0"/>
          <w:numId w:val="69"/>
        </w:numPr>
        <w:spacing w:after="120"/>
        <w:rPr>
          <w:rFonts w:hint="eastAsia"/>
          <w:color w:val="404040" w:themeColor="text1" w:themeTint="BF"/>
          <w:sz w:val="24"/>
        </w:rPr>
      </w:pPr>
      <w:r>
        <w:rPr>
          <w:color w:val="404040" w:themeColor="text1" w:themeTint="BF"/>
          <w:sz w:val="24"/>
        </w:rPr>
        <w:t>As mulheres apresentavam 6,2 episódios de cistite ao longo do ano;</w:t>
      </w:r>
    </w:p>
    <w:p w14:paraId="2DC01FE3" w14:textId="77777777" w:rsidR="00CD65C2" w:rsidRDefault="00FA41FC" w:rsidP="00D1428E">
      <w:pPr>
        <w:pStyle w:val="Corpo"/>
        <w:numPr>
          <w:ilvl w:val="0"/>
          <w:numId w:val="69"/>
        </w:numPr>
        <w:spacing w:after="120"/>
        <w:rPr>
          <w:rFonts w:hint="eastAsia"/>
          <w:color w:val="404040" w:themeColor="text1" w:themeTint="BF"/>
          <w:sz w:val="24"/>
        </w:rPr>
      </w:pPr>
      <w:r>
        <w:rPr>
          <w:color w:val="404040" w:themeColor="text1" w:themeTint="BF"/>
          <w:sz w:val="24"/>
        </w:rPr>
        <w:t xml:space="preserve">O número de casos de infecção foi menor no grupo própolis + cranberry quando comparado com o placebo (2,3 </w:t>
      </w:r>
      <w:r>
        <w:rPr>
          <w:i/>
          <w:iCs/>
          <w:color w:val="404040" w:themeColor="text1" w:themeTint="BF"/>
          <w:sz w:val="24"/>
        </w:rPr>
        <w:t>vs</w:t>
      </w:r>
      <w:r>
        <w:rPr>
          <w:color w:val="404040" w:themeColor="text1" w:themeTint="BF"/>
          <w:sz w:val="24"/>
        </w:rPr>
        <w:t>. 3,1, respectivamente);</w:t>
      </w:r>
    </w:p>
    <w:p w14:paraId="3E942520" w14:textId="77777777" w:rsidR="00CD65C2" w:rsidRDefault="00FA41FC" w:rsidP="00D1428E">
      <w:pPr>
        <w:pStyle w:val="Corpo"/>
        <w:numPr>
          <w:ilvl w:val="0"/>
          <w:numId w:val="69"/>
        </w:numPr>
        <w:spacing w:after="120"/>
        <w:rPr>
          <w:rFonts w:hint="eastAsia"/>
          <w:color w:val="404040" w:themeColor="text1" w:themeTint="BF"/>
          <w:sz w:val="24"/>
        </w:rPr>
      </w:pPr>
      <w:r>
        <w:rPr>
          <w:color w:val="404040" w:themeColor="text1" w:themeTint="BF"/>
          <w:sz w:val="24"/>
        </w:rPr>
        <w:t xml:space="preserve">O número total de episódios de cistite nos três meses iniciais foi menor no grupo 1 (0,7 </w:t>
      </w:r>
      <w:r>
        <w:rPr>
          <w:i/>
          <w:iCs/>
          <w:color w:val="404040" w:themeColor="text1" w:themeTint="BF"/>
          <w:sz w:val="24"/>
        </w:rPr>
        <w:t>vs.</w:t>
      </w:r>
      <w:r>
        <w:rPr>
          <w:color w:val="404040" w:themeColor="text1" w:themeTint="BF"/>
          <w:sz w:val="24"/>
        </w:rPr>
        <w:t xml:space="preserve"> 1,3, respectivamente);</w:t>
      </w:r>
    </w:p>
    <w:p w14:paraId="54611869" w14:textId="77777777" w:rsidR="00CD65C2" w:rsidRDefault="00FA41FC" w:rsidP="00D1428E">
      <w:pPr>
        <w:pStyle w:val="Corpo"/>
        <w:numPr>
          <w:ilvl w:val="0"/>
          <w:numId w:val="69"/>
        </w:numPr>
        <w:rPr>
          <w:rFonts w:hint="eastAsia"/>
          <w:color w:val="404040" w:themeColor="text1" w:themeTint="BF"/>
        </w:rPr>
      </w:pPr>
      <w:r>
        <w:rPr>
          <w:color w:val="404040" w:themeColor="text1" w:themeTint="BF"/>
        </w:rPr>
        <w:t xml:space="preserve">O tempo médio até que tivesse início o primeiro caso de ITU também foi significativamente diminuído no grupo própolis + cranberry (69,9 </w:t>
      </w:r>
      <w:r>
        <w:rPr>
          <w:i/>
          <w:iCs/>
          <w:color w:val="404040" w:themeColor="text1" w:themeTint="BF"/>
        </w:rPr>
        <w:t>vs.</w:t>
      </w:r>
      <w:r>
        <w:rPr>
          <w:color w:val="404040" w:themeColor="text1" w:themeTint="BF"/>
        </w:rPr>
        <w:t xml:space="preserve"> 43,3 dias, p=0,0258);</w:t>
      </w:r>
    </w:p>
    <w:p w14:paraId="2BF2618B" w14:textId="77777777" w:rsidR="00CD65C2" w:rsidRDefault="00FA41FC" w:rsidP="00D1428E">
      <w:pPr>
        <w:pStyle w:val="Corpo"/>
        <w:numPr>
          <w:ilvl w:val="0"/>
          <w:numId w:val="69"/>
        </w:numPr>
        <w:rPr>
          <w:rFonts w:hint="eastAsia"/>
          <w:color w:val="404040" w:themeColor="text1" w:themeTint="BF"/>
        </w:rPr>
      </w:pPr>
      <w:r>
        <w:rPr>
          <w:color w:val="404040" w:themeColor="text1" w:themeTint="BF"/>
        </w:rPr>
        <w:t>O tratamento foi bem tolerado.</w:t>
      </w:r>
    </w:p>
    <w:p w14:paraId="0C94CC78" w14:textId="77777777" w:rsidR="00CD65C2" w:rsidRDefault="00CD65C2">
      <w:pPr>
        <w:pStyle w:val="Corpo"/>
        <w:spacing w:after="120"/>
        <w:ind w:left="360"/>
        <w:rPr>
          <w:rFonts w:hint="eastAsia"/>
          <w:color w:val="404040" w:themeColor="text1" w:themeTint="BF"/>
          <w:sz w:val="24"/>
        </w:rPr>
      </w:pPr>
    </w:p>
    <w:p w14:paraId="4374C932"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72576671" w14:textId="77777777" w:rsidR="00CD65C2" w:rsidRDefault="00CD65C2">
      <w:pPr>
        <w:pStyle w:val="Corpo"/>
        <w:rPr>
          <w:rFonts w:hint="eastAsia"/>
          <w:b/>
          <w:color w:val="339966"/>
          <w:sz w:val="16"/>
          <w:szCs w:val="16"/>
          <w14:textFill>
            <w14:solidFill>
              <w14:srgbClr w14:val="339966">
                <w14:lumMod w14:val="75000"/>
                <w14:lumOff w14:val="25000"/>
              </w14:srgbClr>
            </w14:solidFill>
          </w14:textFill>
        </w:rPr>
      </w:pPr>
    </w:p>
    <w:p w14:paraId="1E01F0BE" w14:textId="0C24F216" w:rsidR="00CD65C2" w:rsidRDefault="00FA41FC">
      <w:pPr>
        <w:jc w:val="center"/>
        <w:rPr>
          <w:rFonts w:ascii="Swis721 Th BT" w:hAnsi="Swis721 Th BT"/>
          <w:b/>
          <w:i/>
          <w:sz w:val="23"/>
          <w:szCs w:val="23"/>
        </w:rPr>
      </w:pPr>
      <w:r>
        <w:rPr>
          <w:rFonts w:ascii="Swis721 Th BT" w:hAnsi="Swis721 Th BT"/>
          <w:b/>
          <w:i/>
          <w:sz w:val="23"/>
          <w:szCs w:val="23"/>
        </w:rPr>
        <w:t>Foi demonstrado que a associação de cranberry com própolis reduz de maneira significativa a incidência de cistite durante os três meses iniciais e aumenta o tempo para que ocorra o primeiro caso de ITU.</w:t>
      </w:r>
    </w:p>
    <w:p w14:paraId="4B7D6DE2" w14:textId="77777777" w:rsidR="00CD65C2" w:rsidRDefault="00CD65C2">
      <w:pPr>
        <w:jc w:val="center"/>
        <w:rPr>
          <w:rFonts w:ascii="Swis721 Th BT" w:hAnsi="Swis721 Th BT"/>
          <w:b/>
          <w:i/>
          <w:sz w:val="23"/>
          <w:szCs w:val="23"/>
        </w:rPr>
      </w:pPr>
    </w:p>
    <w:p w14:paraId="25ED4E2C" w14:textId="77777777" w:rsidR="00CD65C2" w:rsidRDefault="00CD65C2"/>
    <w:p w14:paraId="1BDCA403" w14:textId="77777777" w:rsidR="00CD65C2" w:rsidRDefault="00FA41FC">
      <w:pPr>
        <w:pStyle w:val="Ttulo1"/>
        <w:jc w:val="center"/>
        <w:rPr>
          <w:rFonts w:hint="eastAsia"/>
        </w:rPr>
      </w:pPr>
      <w:bookmarkStart w:id="168" w:name="_Toc165537315"/>
      <w:r>
        <w:rPr>
          <w:rStyle w:val="Ttulo1Char"/>
          <w:b/>
        </w:rPr>
        <w:t>Formulário</w:t>
      </w:r>
      <w:bookmarkEnd w:id="168"/>
    </w:p>
    <w:p w14:paraId="7A8CB924" w14:textId="77777777" w:rsidR="00CD65C2" w:rsidRDefault="00CD65C2">
      <w:pPr>
        <w:pStyle w:val="Corpo"/>
        <w:rPr>
          <w:rFonts w:hint="eastAsia"/>
          <w:b/>
          <w:i/>
          <w:color w:val="404040" w:themeColor="text1" w:themeTint="BF"/>
        </w:rPr>
      </w:pPr>
    </w:p>
    <w:p w14:paraId="03A780CF" w14:textId="77777777" w:rsidR="00CD65C2" w:rsidRDefault="00CD65C2">
      <w:pPr>
        <w:pStyle w:val="Corpo"/>
        <w:rPr>
          <w:rFonts w:hint="eastAsia"/>
          <w:b/>
          <w:i/>
          <w:color w:val="404040" w:themeColor="text1" w:themeTint="BF"/>
        </w:rPr>
      </w:pPr>
    </w:p>
    <w:p w14:paraId="4C0539E0" w14:textId="0067FC6E" w:rsidR="00CD65C2" w:rsidRDefault="00FA41FC">
      <w:pPr>
        <w:pStyle w:val="Corpo"/>
        <w:rPr>
          <w:rFonts w:hint="eastAsia"/>
          <w:b/>
          <w:bCs/>
          <w:i/>
          <w:iCs/>
          <w:color w:val="404040" w:themeColor="text1" w:themeTint="BF"/>
          <w:sz w:val="24"/>
        </w:rPr>
      </w:pPr>
      <w:r>
        <w:rPr>
          <w:b/>
          <w:bCs/>
          <w:i/>
          <w:iCs/>
          <w:color w:val="404040" w:themeColor="text1" w:themeTint="BF"/>
          <w:sz w:val="24"/>
        </w:rPr>
        <w:t>Própolis e Cranberry Reduzem a Incidência de Cistite em Mulheres com Alta Frequência deste Distúrbio</w:t>
      </w:r>
    </w:p>
    <w:p w14:paraId="7F8A1472" w14:textId="77777777" w:rsidR="00CD65C2" w:rsidRDefault="00CD65C2">
      <w:pPr>
        <w:pStyle w:val="Corpo"/>
        <w:rPr>
          <w:rFonts w:hint="eastAsia"/>
          <w:color w:val="404040" w:themeColor="text1" w:themeTint="BF"/>
        </w:rPr>
      </w:pPr>
    </w:p>
    <w:tbl>
      <w:tblPr>
        <w:tblStyle w:val="Tabelacomgrade"/>
        <w:tblW w:w="450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03"/>
      </w:tblGrid>
      <w:tr w:rsidR="00CD65C2" w14:paraId="6DEA824C" w14:textId="77777777">
        <w:trPr>
          <w:trHeight w:val="515"/>
        </w:trPr>
        <w:tc>
          <w:tcPr>
            <w:tcW w:w="45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6F3F63F4" w14:textId="77777777" w:rsidR="00CD65C2" w:rsidRDefault="00FA41FC">
            <w:pPr>
              <w:pStyle w:val="Corpo"/>
              <w:jc w:val="center"/>
              <w:rPr>
                <w:rFonts w:hint="eastAsia"/>
                <w:b/>
                <w:color w:val="FFFFFF" w:themeColor="background1"/>
              </w:rPr>
            </w:pPr>
            <w:r>
              <w:rPr>
                <w:b/>
                <w:color w:val="FFFFFF" w:themeColor="background1"/>
                <w:sz w:val="22"/>
              </w:rPr>
              <w:t>Cápsulas de Própolis + Cranberry</w:t>
            </w:r>
          </w:p>
        </w:tc>
      </w:tr>
      <w:tr w:rsidR="00CD65C2" w14:paraId="7B13F180" w14:textId="77777777">
        <w:trPr>
          <w:trHeight w:val="515"/>
        </w:trPr>
        <w:tc>
          <w:tcPr>
            <w:tcW w:w="45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89584C9" w14:textId="77777777" w:rsidR="00CD65C2" w:rsidRDefault="00FA41FC">
            <w:pPr>
              <w:pStyle w:val="Corpo"/>
              <w:rPr>
                <w:rFonts w:hint="eastAsia"/>
                <w:color w:val="404040" w:themeColor="text1" w:themeTint="BF"/>
                <w:lang w:val="en-US"/>
              </w:rPr>
            </w:pPr>
            <w:r>
              <w:rPr>
                <w:color w:val="404040" w:themeColor="text1" w:themeTint="BF"/>
                <w:lang w:val="en-US"/>
              </w:rPr>
              <w:t>Própolis..............................................400 mg</w:t>
            </w:r>
          </w:p>
        </w:tc>
      </w:tr>
      <w:tr w:rsidR="00CD65C2" w14:paraId="678996D4" w14:textId="77777777">
        <w:trPr>
          <w:trHeight w:val="515"/>
        </w:trPr>
        <w:tc>
          <w:tcPr>
            <w:tcW w:w="45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724BD93" w14:textId="77777777" w:rsidR="00CD65C2" w:rsidRDefault="00FA41FC">
            <w:pPr>
              <w:pStyle w:val="Corpo"/>
              <w:rPr>
                <w:rFonts w:hint="eastAsia"/>
                <w:color w:val="404040" w:themeColor="text1" w:themeTint="BF"/>
                <w:lang w:val="en-US"/>
              </w:rPr>
            </w:pPr>
            <w:r>
              <w:rPr>
                <w:color w:val="404040" w:themeColor="text1" w:themeTint="BF"/>
                <w:lang w:val="en-US"/>
              </w:rPr>
              <w:t>Cranberry…………………………….600 mg</w:t>
            </w:r>
          </w:p>
        </w:tc>
      </w:tr>
      <w:tr w:rsidR="00CD65C2" w14:paraId="64595B2F" w14:textId="77777777">
        <w:trPr>
          <w:trHeight w:val="586"/>
        </w:trPr>
        <w:tc>
          <w:tcPr>
            <w:tcW w:w="45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46C2878" w14:textId="304BB18C" w:rsidR="00CD65C2" w:rsidRDefault="00FA41FC">
            <w:pPr>
              <w:pStyle w:val="Corpo"/>
              <w:rPr>
                <w:rFonts w:hint="eastAsia"/>
                <w:color w:val="404040" w:themeColor="text1" w:themeTint="BF"/>
              </w:rPr>
            </w:pPr>
            <w:r>
              <w:rPr>
                <w:color w:val="404040" w:themeColor="text1" w:themeTint="BF"/>
              </w:rPr>
              <w:t>Excipiente q.s.p. ...........................1 Cápsula</w:t>
            </w:r>
          </w:p>
        </w:tc>
      </w:tr>
    </w:tbl>
    <w:p w14:paraId="530C00E0" w14:textId="77777777" w:rsidR="00CD65C2" w:rsidRDefault="00FA41FC">
      <w:pPr>
        <w:pStyle w:val="Corpo"/>
        <w:ind w:right="4676"/>
        <w:jc w:val="center"/>
        <w:rPr>
          <w:rFonts w:hint="eastAsia"/>
          <w:color w:val="404040" w:themeColor="text1" w:themeTint="BF"/>
          <w:sz w:val="22"/>
          <w:szCs w:val="22"/>
        </w:rPr>
      </w:pPr>
      <w:r>
        <w:rPr>
          <w:color w:val="404040" w:themeColor="text1" w:themeTint="BF"/>
          <w:sz w:val="22"/>
          <w:szCs w:val="22"/>
        </w:rPr>
        <w:t>Administrar 1 a 2 cápsulas ao dia ou conforme orientação médica.</w:t>
      </w:r>
    </w:p>
    <w:p w14:paraId="0E8A734F" w14:textId="77777777" w:rsidR="00CD65C2" w:rsidRDefault="00CD65C2">
      <w:pPr>
        <w:pStyle w:val="Corpo"/>
        <w:spacing w:line="276" w:lineRule="auto"/>
        <w:rPr>
          <w:rFonts w:hint="eastAsia"/>
          <w:b/>
          <w:color w:val="404040" w:themeColor="text1" w:themeTint="BF"/>
        </w:rPr>
      </w:pPr>
    </w:p>
    <w:p w14:paraId="707660AF" w14:textId="77777777" w:rsidR="00CD65C2" w:rsidRDefault="00CD65C2">
      <w:pPr>
        <w:pStyle w:val="Corpo"/>
        <w:spacing w:line="276" w:lineRule="auto"/>
        <w:rPr>
          <w:rFonts w:hint="eastAsia"/>
          <w:b/>
          <w:color w:val="404040" w:themeColor="text1" w:themeTint="BF"/>
        </w:rPr>
      </w:pPr>
    </w:p>
    <w:p w14:paraId="08680241" w14:textId="77777777" w:rsidR="00CD65C2" w:rsidRDefault="00CD65C2">
      <w:pPr>
        <w:pStyle w:val="Corpo"/>
        <w:spacing w:line="276" w:lineRule="auto"/>
        <w:rPr>
          <w:rFonts w:hint="eastAsia"/>
          <w:b/>
          <w:color w:val="404040" w:themeColor="text1" w:themeTint="BF"/>
        </w:rPr>
      </w:pPr>
    </w:p>
    <w:p w14:paraId="192B21A7" w14:textId="77777777" w:rsidR="00CD65C2" w:rsidRDefault="00CD65C2">
      <w:pPr>
        <w:pStyle w:val="Corpo"/>
        <w:spacing w:line="276" w:lineRule="auto"/>
        <w:rPr>
          <w:rFonts w:hint="eastAsia"/>
          <w:b/>
          <w:color w:val="404040" w:themeColor="text1" w:themeTint="BF"/>
        </w:rPr>
      </w:pPr>
    </w:p>
    <w:p w14:paraId="26B6B353" w14:textId="77777777" w:rsidR="00CD65C2" w:rsidRDefault="00CD65C2">
      <w:pPr>
        <w:pStyle w:val="Corpo"/>
        <w:spacing w:line="276" w:lineRule="auto"/>
        <w:rPr>
          <w:rFonts w:hint="eastAsia"/>
          <w:b/>
          <w:color w:val="404040" w:themeColor="text1" w:themeTint="BF"/>
        </w:rPr>
      </w:pPr>
    </w:p>
    <w:p w14:paraId="4A0A3EB5" w14:textId="77777777" w:rsidR="00CD65C2" w:rsidRDefault="00CD65C2">
      <w:pPr>
        <w:pStyle w:val="Corpo"/>
        <w:spacing w:line="276" w:lineRule="auto"/>
        <w:rPr>
          <w:rFonts w:hint="eastAsia"/>
          <w:b/>
          <w:color w:val="404040" w:themeColor="text1" w:themeTint="BF"/>
        </w:rPr>
      </w:pPr>
    </w:p>
    <w:p w14:paraId="06149181" w14:textId="77777777" w:rsidR="00CD65C2" w:rsidRDefault="00CD65C2">
      <w:pPr>
        <w:pStyle w:val="Corpo"/>
        <w:spacing w:line="276" w:lineRule="auto"/>
        <w:rPr>
          <w:rFonts w:hint="eastAsia"/>
          <w:b/>
          <w:color w:val="404040" w:themeColor="text1" w:themeTint="BF"/>
        </w:rPr>
      </w:pPr>
    </w:p>
    <w:p w14:paraId="5E1EBCFB" w14:textId="77777777" w:rsidR="00CD65C2" w:rsidRDefault="00CD65C2">
      <w:pPr>
        <w:pStyle w:val="Corpo"/>
        <w:spacing w:line="276" w:lineRule="auto"/>
        <w:rPr>
          <w:rFonts w:hint="eastAsia"/>
          <w:b/>
          <w:color w:val="404040" w:themeColor="text1" w:themeTint="BF"/>
        </w:rPr>
      </w:pPr>
    </w:p>
    <w:p w14:paraId="5C44CF16" w14:textId="77777777" w:rsidR="00CD65C2" w:rsidRDefault="00CD65C2">
      <w:pPr>
        <w:pStyle w:val="Corpo"/>
        <w:spacing w:line="276" w:lineRule="auto"/>
        <w:rPr>
          <w:rFonts w:hint="eastAsia"/>
          <w:b/>
          <w:color w:val="404040" w:themeColor="text1" w:themeTint="BF"/>
        </w:rPr>
      </w:pPr>
    </w:p>
    <w:p w14:paraId="56C95A07" w14:textId="77777777" w:rsidR="00CD65C2" w:rsidRDefault="00CD65C2">
      <w:pPr>
        <w:pStyle w:val="Corpo"/>
        <w:spacing w:line="276" w:lineRule="auto"/>
        <w:rPr>
          <w:rFonts w:hint="eastAsia"/>
          <w:b/>
          <w:color w:val="404040" w:themeColor="text1" w:themeTint="BF"/>
        </w:rPr>
      </w:pPr>
    </w:p>
    <w:p w14:paraId="058FB2FC" w14:textId="77777777" w:rsidR="00CD65C2" w:rsidRDefault="00CD65C2">
      <w:pPr>
        <w:pStyle w:val="Corpo"/>
        <w:spacing w:line="276" w:lineRule="auto"/>
        <w:rPr>
          <w:rFonts w:hint="eastAsia"/>
          <w:b/>
          <w:color w:val="404040" w:themeColor="text1" w:themeTint="BF"/>
        </w:rPr>
      </w:pPr>
    </w:p>
    <w:p w14:paraId="74D22B5C" w14:textId="77777777" w:rsidR="00CD65C2" w:rsidRDefault="00CD65C2">
      <w:pPr>
        <w:pStyle w:val="Corpo"/>
        <w:spacing w:line="276" w:lineRule="auto"/>
        <w:rPr>
          <w:rFonts w:hint="eastAsia"/>
          <w:b/>
          <w:color w:val="404040" w:themeColor="text1" w:themeTint="BF"/>
        </w:rPr>
      </w:pPr>
    </w:p>
    <w:p w14:paraId="3DD66301" w14:textId="77777777" w:rsidR="00CD65C2" w:rsidRDefault="00CD65C2">
      <w:pPr>
        <w:pStyle w:val="Corpo"/>
        <w:spacing w:line="276" w:lineRule="auto"/>
        <w:rPr>
          <w:rFonts w:hint="eastAsia"/>
          <w:b/>
          <w:color w:val="404040" w:themeColor="text1" w:themeTint="BF"/>
        </w:rPr>
      </w:pPr>
    </w:p>
    <w:p w14:paraId="64A0FD7F" w14:textId="77777777" w:rsidR="00CD65C2" w:rsidRDefault="00CD65C2">
      <w:pPr>
        <w:pStyle w:val="Corpo"/>
        <w:spacing w:line="276" w:lineRule="auto"/>
        <w:rPr>
          <w:rFonts w:hint="eastAsia"/>
          <w:b/>
          <w:color w:val="404040" w:themeColor="text1" w:themeTint="BF"/>
        </w:rPr>
      </w:pPr>
    </w:p>
    <w:p w14:paraId="0F29CCB4" w14:textId="77777777" w:rsidR="00CD65C2" w:rsidRDefault="00CD65C2">
      <w:pPr>
        <w:pStyle w:val="Corpo"/>
        <w:spacing w:line="276" w:lineRule="auto"/>
        <w:rPr>
          <w:rFonts w:hint="eastAsia"/>
          <w:b/>
          <w:color w:val="404040" w:themeColor="text1" w:themeTint="BF"/>
        </w:rPr>
      </w:pPr>
    </w:p>
    <w:p w14:paraId="519EC784" w14:textId="77777777" w:rsidR="00CD65C2" w:rsidRDefault="00CD65C2">
      <w:pPr>
        <w:pStyle w:val="Corpo"/>
        <w:spacing w:line="276" w:lineRule="auto"/>
        <w:rPr>
          <w:rFonts w:hint="eastAsia"/>
          <w:b/>
          <w:color w:val="404040" w:themeColor="text1" w:themeTint="BF"/>
        </w:rPr>
      </w:pPr>
    </w:p>
    <w:p w14:paraId="535900A6" w14:textId="77777777" w:rsidR="00CD65C2" w:rsidRDefault="00CD65C2">
      <w:pPr>
        <w:pStyle w:val="Corpo"/>
        <w:spacing w:line="276" w:lineRule="auto"/>
        <w:rPr>
          <w:rFonts w:hint="eastAsia"/>
          <w:b/>
          <w:color w:val="404040" w:themeColor="text1" w:themeTint="BF"/>
        </w:rPr>
      </w:pPr>
    </w:p>
    <w:p w14:paraId="187AB726" w14:textId="77777777" w:rsidR="00CD65C2" w:rsidRDefault="00CD65C2">
      <w:pPr>
        <w:pStyle w:val="Corpo"/>
        <w:spacing w:line="276" w:lineRule="auto"/>
        <w:rPr>
          <w:rFonts w:hint="eastAsia"/>
          <w:b/>
          <w:color w:val="404040" w:themeColor="text1" w:themeTint="BF"/>
        </w:rPr>
      </w:pPr>
    </w:p>
    <w:p w14:paraId="36D0F44A" w14:textId="77777777" w:rsidR="00CD65C2" w:rsidRDefault="00FA41FC">
      <w:r>
        <w:rPr>
          <w:noProof/>
          <w:lang w:eastAsia="pt-BR"/>
        </w:rPr>
        <w:drawing>
          <wp:anchor distT="0" distB="0" distL="114300" distR="114300" simplePos="0" relativeHeight="252044288" behindDoc="0" locked="0" layoutInCell="1" allowOverlap="1">
            <wp:simplePos x="0" y="0"/>
            <wp:positionH relativeFrom="page">
              <wp:posOffset>-465455</wp:posOffset>
            </wp:positionH>
            <wp:positionV relativeFrom="margin">
              <wp:posOffset>-903605</wp:posOffset>
            </wp:positionV>
            <wp:extent cx="10791825" cy="7197725"/>
            <wp:effectExtent l="0" t="0" r="9525" b="3175"/>
            <wp:wrapSquare wrapText="bothSides"/>
            <wp:docPr id="739657980" name="Imagem 739657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657980" name="Imagem 739657980"/>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791825" cy="7197725"/>
                    </a:xfrm>
                    <a:prstGeom prst="rect">
                      <a:avLst/>
                    </a:prstGeom>
                    <a:noFill/>
                    <a:ln>
                      <a:noFill/>
                    </a:ln>
                  </pic:spPr>
                </pic:pic>
              </a:graphicData>
            </a:graphic>
          </wp:anchor>
        </w:drawing>
      </w:r>
    </w:p>
    <w:p w14:paraId="0938794D" w14:textId="77777777" w:rsidR="00CD65C2" w:rsidRDefault="00CD65C2"/>
    <w:p w14:paraId="56923E36" w14:textId="77777777" w:rsidR="00CD65C2" w:rsidRDefault="00FA41FC">
      <w:pPr>
        <w:pStyle w:val="Ttulo1"/>
        <w:jc w:val="center"/>
        <w:rPr>
          <w:rFonts w:hint="eastAsia"/>
        </w:rPr>
      </w:pPr>
      <w:bookmarkStart w:id="169" w:name="_Toc165537316"/>
      <w:r>
        <w:t>Gestação</w:t>
      </w:r>
      <w:bookmarkEnd w:id="169"/>
    </w:p>
    <w:p w14:paraId="43698325" w14:textId="77777777" w:rsidR="00CD65C2" w:rsidRDefault="00CD65C2">
      <w:pPr>
        <w:pStyle w:val="SemEspaamento"/>
      </w:pPr>
    </w:p>
    <w:p w14:paraId="41D90100" w14:textId="77777777" w:rsidR="00CD65C2" w:rsidRDefault="00CD65C2">
      <w:pPr>
        <w:pStyle w:val="SemEspaamento"/>
      </w:pPr>
    </w:p>
    <w:p w14:paraId="3D083FAE" w14:textId="77777777" w:rsidR="00CD65C2" w:rsidRDefault="00CD65C2">
      <w:pPr>
        <w:pStyle w:val="SemEspaamento"/>
      </w:pPr>
    </w:p>
    <w:p w14:paraId="007FD885" w14:textId="77777777" w:rsidR="00CD65C2" w:rsidRDefault="00FA41FC">
      <w:pPr>
        <w:pStyle w:val="Ttulo1"/>
        <w:jc w:val="center"/>
        <w:rPr>
          <w:rFonts w:hint="eastAsia"/>
        </w:rPr>
      </w:pPr>
      <w:bookmarkStart w:id="170" w:name="_Toc165537317"/>
      <w:r>
        <w:rPr>
          <w:bCs/>
          <w:iCs/>
        </w:rPr>
        <w:t>Vitamina C</w:t>
      </w:r>
      <w:bookmarkEnd w:id="170"/>
    </w:p>
    <w:p w14:paraId="43A225C8" w14:textId="77777777" w:rsidR="00CD65C2" w:rsidRPr="00D1428E" w:rsidRDefault="00FA41FC">
      <w:pPr>
        <w:pStyle w:val="Corpo"/>
        <w:spacing w:after="120"/>
        <w:jc w:val="center"/>
        <w:rPr>
          <w:rFonts w:hint="eastAsia"/>
          <w:b/>
          <w:color w:val="0070C0"/>
          <w:sz w:val="40"/>
        </w:rPr>
      </w:pPr>
      <w:r w:rsidRPr="00D1428E">
        <w:rPr>
          <w:b/>
          <w:color w:val="0070C0"/>
          <w:sz w:val="40"/>
        </w:rPr>
        <w:t>Efeitos da Vitamina C no fluxo de Ar nos Bebês de Gestantes Fumantes</w:t>
      </w:r>
    </w:p>
    <w:p w14:paraId="3E903DBA" w14:textId="77777777" w:rsidR="00CD65C2" w:rsidRDefault="00CD65C2">
      <w:pPr>
        <w:pStyle w:val="Corpo"/>
        <w:rPr>
          <w:rFonts w:hint="eastAsia"/>
          <w:color w:val="404040" w:themeColor="text1" w:themeTint="BF"/>
          <w:sz w:val="24"/>
        </w:rPr>
      </w:pPr>
    </w:p>
    <w:p w14:paraId="3E9CE63B" w14:textId="62E71A6E" w:rsidR="00CD65C2" w:rsidRDefault="00FA41FC">
      <w:pPr>
        <w:pStyle w:val="Corpo"/>
        <w:rPr>
          <w:rFonts w:hint="eastAsia"/>
          <w:color w:val="404040" w:themeColor="text1" w:themeTint="BF"/>
          <w:szCs w:val="23"/>
        </w:rPr>
      </w:pPr>
      <w:r>
        <w:rPr>
          <w:noProof/>
          <w:color w:val="404040" w:themeColor="text1" w:themeTint="BF"/>
          <w:lang w:eastAsia="pt-BR"/>
        </w:rPr>
        <mc:AlternateContent>
          <mc:Choice Requires="wps">
            <w:drawing>
              <wp:anchor distT="0" distB="0" distL="114300" distR="114300" simplePos="0" relativeHeight="251998208" behindDoc="0" locked="0" layoutInCell="1" allowOverlap="1">
                <wp:simplePos x="0" y="0"/>
                <wp:positionH relativeFrom="margin">
                  <wp:posOffset>43815</wp:posOffset>
                </wp:positionH>
                <wp:positionV relativeFrom="paragraph">
                  <wp:posOffset>705485</wp:posOffset>
                </wp:positionV>
                <wp:extent cx="5715000" cy="857250"/>
                <wp:effectExtent l="0" t="0" r="19050" b="19050"/>
                <wp:wrapNone/>
                <wp:docPr id="739657924" name="Caixa de texto 7396579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857250"/>
                        </a:xfrm>
                        <a:prstGeom prst="rect">
                          <a:avLst/>
                        </a:prstGeom>
                        <a:solidFill>
                          <a:schemeClr val="bg1">
                            <a:lumMod val="100000"/>
                            <a:lumOff val="0"/>
                          </a:schemeClr>
                        </a:solidFill>
                        <a:ln w="9525">
                          <a:solidFill>
                            <a:srgbClr val="0070C0"/>
                          </a:solidFill>
                          <a:miter lim="800000"/>
                        </a:ln>
                      </wps:spPr>
                      <wps:txbx>
                        <w:txbxContent>
                          <w:p w14:paraId="50DEA9FE" w14:textId="77777777" w:rsidR="00FA41FC" w:rsidRDefault="00FA41FC">
                            <w:pPr>
                              <w:jc w:val="center"/>
                              <w:rPr>
                                <w:rFonts w:ascii="Swis721 Th BT" w:eastAsia="MS Mincho" w:hAnsi="Swis721 Th BT" w:hint="eastAsia"/>
                                <w:color w:val="404040" w:themeColor="text1" w:themeTint="BF"/>
                                <w:sz w:val="23"/>
                                <w:szCs w:val="23"/>
                              </w:rPr>
                            </w:pPr>
                            <w:r>
                              <w:rPr>
                                <w:rFonts w:ascii="Swis721 Th BT" w:eastAsia="MS Mincho" w:hAnsi="Swis721 Th BT"/>
                                <w:color w:val="404040" w:themeColor="text1" w:themeTint="BF"/>
                                <w:sz w:val="23"/>
                                <w:szCs w:val="23"/>
                              </w:rPr>
                              <w:t>Assim, 251 grávidas fumantes participaram desse estudo clínico, randomizado, duplo-cego e placebo-controlado. Todas estavam entre a décima terceira e vigésima terceira semana de gestação. Elas foram divididas em dois grupos para receberem a seguinte posologia:</w:t>
                            </w:r>
                          </w:p>
                          <w:p w14:paraId="092C4D3E"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924" o:spid="_x0000_s1245" type="#_x0000_t202" style="position:absolute;left:0;text-align:left;margin-left:3.45pt;margin-top:55.55pt;width:450pt;height:67.5pt;z-index:2519982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" fillcolor="white [3212]" strokecolor="#0070c0">
                <v:textbox>
                  <w:txbxContent>
                    <w:p w14:paraId="50DEA9FE" w14:textId="77777777" w:rsidR="00FA41FC" w:rsidRDefault="00FA41FC">
                      <w:pPr>
                        <w:jc w:val="center"/>
                        <w:rPr>
                          <w:rFonts w:ascii="Swis721 Th BT" w:eastAsia="MS Mincho" w:hAnsi="Swis721 Th BT" w:hint="eastAsia"/>
                          <w:color w:val="404040" w:themeColor="text1" w:themeTint="BF"/>
                          <w:sz w:val="23"/>
                          <w:szCs w:val="23"/>
                        </w:rPr>
                      </w:pPr>
                      <w:r>
                        <w:rPr>
                          <w:rFonts w:ascii="Swis721 Th BT" w:eastAsia="MS Mincho" w:hAnsi="Swis721 Th BT"/>
                          <w:color w:val="404040" w:themeColor="text1" w:themeTint="BF"/>
                          <w:sz w:val="23"/>
                          <w:szCs w:val="23"/>
                        </w:rPr>
                        <w:t>Assim, 251 grávidas fumantes participaram desse estudo clínico, randomizado, duplo-cego e placebo-controlado. Todas estavam entre a décima terceira e vigésima terceira semana de gestação. Elas foram divididas em dois grupos para receberem a seguinte posologia:</w:t>
                      </w:r>
                    </w:p>
                    <w:p w14:paraId="092C4D3E"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Cs w:val="23"/>
        </w:rPr>
        <w:t xml:space="preserve">Um estudo conduzido por McEvoy </w:t>
      </w:r>
      <w:r>
        <w:rPr>
          <w:i/>
          <w:color w:val="404040" w:themeColor="text1" w:themeTint="BF"/>
          <w:szCs w:val="23"/>
        </w:rPr>
        <w:t>et al</w:t>
      </w:r>
      <w:r>
        <w:rPr>
          <w:color w:val="404040" w:themeColor="text1" w:themeTint="BF"/>
          <w:szCs w:val="23"/>
        </w:rPr>
        <w:t>. (2019) teve como objetivo determinar a eficácia da suplementação de vitamina c em gestantes fumantes e avaliar quais são os efeitos dessa vitamina nos recém-nascidos. Foram medidos o fluxo expiratório forçado (FEFs) aos três meses de idade do bebê.</w:t>
      </w:r>
    </w:p>
    <w:p w14:paraId="039C0072" w14:textId="77777777" w:rsidR="00CD65C2" w:rsidRDefault="00FA41FC">
      <w:pPr>
        <w:pStyle w:val="Corpo"/>
        <w:rPr>
          <w:rFonts w:hint="eastAsia"/>
          <w:color w:val="404040" w:themeColor="text1" w:themeTint="BF"/>
          <w:sz w:val="24"/>
        </w:rPr>
      </w:pPr>
      <w:r>
        <w:rPr>
          <w:color w:val="404040" w:themeColor="text1" w:themeTint="BF"/>
          <w:sz w:val="24"/>
        </w:rPr>
        <w:br/>
      </w:r>
    </w:p>
    <w:p w14:paraId="12C9BC61" w14:textId="77777777" w:rsidR="00CD65C2" w:rsidRDefault="00CD65C2">
      <w:pPr>
        <w:pStyle w:val="Corpo"/>
        <w:rPr>
          <w:rFonts w:hint="eastAsia"/>
          <w:color w:val="404040" w:themeColor="text1" w:themeTint="BF"/>
        </w:rPr>
      </w:pPr>
    </w:p>
    <w:p w14:paraId="604C9A19" w14:textId="77777777" w:rsidR="00CD65C2" w:rsidRDefault="00CD65C2">
      <w:pPr>
        <w:pStyle w:val="Corpo"/>
        <w:rPr>
          <w:rFonts w:hint="eastAsia"/>
          <w:color w:val="404040" w:themeColor="text1" w:themeTint="BF"/>
        </w:rPr>
      </w:pPr>
    </w:p>
    <w:p w14:paraId="75C08825"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999232" behindDoc="0" locked="0" layoutInCell="1" allowOverlap="1">
                <wp:simplePos x="0" y="0"/>
                <wp:positionH relativeFrom="column">
                  <wp:posOffset>3590925</wp:posOffset>
                </wp:positionH>
                <wp:positionV relativeFrom="paragraph">
                  <wp:posOffset>189230</wp:posOffset>
                </wp:positionV>
                <wp:extent cx="2171700" cy="685800"/>
                <wp:effectExtent l="0" t="0" r="19050" b="19050"/>
                <wp:wrapNone/>
                <wp:docPr id="739657927" name="Caixa de texto 739657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685800"/>
                        </a:xfrm>
                        <a:prstGeom prst="rect">
                          <a:avLst/>
                        </a:prstGeom>
                        <a:solidFill>
                          <a:srgbClr val="0070C0"/>
                        </a:solidFill>
                        <a:ln w="9525">
                          <a:solidFill>
                            <a:srgbClr val="0070C0"/>
                          </a:solidFill>
                          <a:miter lim="800000"/>
                        </a:ln>
                      </wps:spPr>
                      <wps:txbx>
                        <w:txbxContent>
                          <w:p w14:paraId="25F79AA8"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p>
                          <w:p w14:paraId="26F4D67B"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739657927" o:spid="_x0000_s1246" type="#_x0000_t202" style="position:absolute;left:0;text-align:left;margin-left:282.75pt;margin-top:14.9pt;width:171pt;height:54pt;z-index:25199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" fillcolor="#0070c0" strokecolor="#0070c0">
                <v:textbox>
                  <w:txbxContent>
                    <w:p w14:paraId="25F79AA8"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p>
                    <w:p w14:paraId="26F4D67B"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997184" behindDoc="0" locked="0" layoutInCell="1" allowOverlap="1">
                <wp:simplePos x="0" y="0"/>
                <wp:positionH relativeFrom="column">
                  <wp:posOffset>43815</wp:posOffset>
                </wp:positionH>
                <wp:positionV relativeFrom="paragraph">
                  <wp:posOffset>174625</wp:posOffset>
                </wp:positionV>
                <wp:extent cx="2171700" cy="685800"/>
                <wp:effectExtent l="0" t="0" r="19050" b="19050"/>
                <wp:wrapNone/>
                <wp:docPr id="739657926" name="Caixa de texto 7396579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685800"/>
                        </a:xfrm>
                        <a:prstGeom prst="rect">
                          <a:avLst/>
                        </a:prstGeom>
                        <a:solidFill>
                          <a:srgbClr val="0070C0"/>
                        </a:solidFill>
                        <a:ln w="9525">
                          <a:solidFill>
                            <a:srgbClr val="0070C0"/>
                          </a:solidFill>
                          <a:miter lim="800000"/>
                        </a:ln>
                      </wps:spPr>
                      <wps:txbx>
                        <w:txbxContent>
                          <w:p w14:paraId="255D82E3"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Vitamina C 500 mg</w:t>
                            </w:r>
                          </w:p>
                          <w:p w14:paraId="0F730F64"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p>
                        </w:txbxContent>
                      </wps:txbx>
                      <wps:bodyPr rot="0" vert="horz" wrap="square" lIns="91440" tIns="45720" rIns="91440" bIns="45720" anchor="t" anchorCtr="0" upright="1">
                        <a:noAutofit/>
                      </wps:bodyPr>
                    </wps:wsp>
                  </a:graphicData>
                </a:graphic>
              </wp:anchor>
            </w:drawing>
          </mc:Choice>
          <mc:Fallback>
            <w:pict>
              <v:shape id="Caixa de texto 739657926" o:spid="_x0000_s1247" type="#_x0000_t202" style="position:absolute;left:0;text-align:left;margin-left:3.45pt;margin-top:13.75pt;width:171pt;height:54pt;z-index:25199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" fillcolor="#0070c0" strokecolor="#0070c0">
                <v:textbox>
                  <w:txbxContent>
                    <w:p w14:paraId="255D82E3"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Vitamina C 500 mg</w:t>
                      </w:r>
                    </w:p>
                    <w:p w14:paraId="0F730F64"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p>
                  </w:txbxContent>
                </v:textbox>
              </v:shape>
            </w:pict>
          </mc:Fallback>
        </mc:AlternateContent>
      </w:r>
    </w:p>
    <w:p w14:paraId="4C222966" w14:textId="77777777" w:rsidR="00CD65C2" w:rsidRDefault="00CD65C2">
      <w:pPr>
        <w:pStyle w:val="Corpo"/>
        <w:rPr>
          <w:rFonts w:hint="eastAsia"/>
          <w:color w:val="404040" w:themeColor="text1" w:themeTint="BF"/>
        </w:rPr>
      </w:pPr>
    </w:p>
    <w:p w14:paraId="559AFF20" w14:textId="77777777" w:rsidR="00CD65C2" w:rsidRDefault="00CD65C2">
      <w:pPr>
        <w:pStyle w:val="Corpo"/>
        <w:rPr>
          <w:rFonts w:hint="eastAsia"/>
          <w:color w:val="404040" w:themeColor="text1" w:themeTint="BF"/>
        </w:rPr>
      </w:pPr>
    </w:p>
    <w:p w14:paraId="363A5CFF" w14:textId="77777777" w:rsidR="00CD65C2" w:rsidRDefault="00CD65C2">
      <w:pPr>
        <w:pStyle w:val="Corpo"/>
        <w:rPr>
          <w:rFonts w:hint="eastAsia"/>
          <w:color w:val="404040" w:themeColor="text1" w:themeTint="BF"/>
        </w:rPr>
      </w:pPr>
    </w:p>
    <w:p w14:paraId="780E6B77" w14:textId="77777777" w:rsidR="00CD65C2" w:rsidRDefault="00CD65C2">
      <w:pPr>
        <w:pStyle w:val="Corpo"/>
        <w:rPr>
          <w:rFonts w:hint="eastAsia"/>
          <w:color w:val="404040" w:themeColor="text1" w:themeTint="BF"/>
        </w:rPr>
      </w:pPr>
    </w:p>
    <w:p w14:paraId="5C3DA359" w14:textId="77777777" w:rsidR="00CD65C2" w:rsidRDefault="00FA41FC" w:rsidP="00D1428E">
      <w:pPr>
        <w:pStyle w:val="Corpo"/>
        <w:numPr>
          <w:ilvl w:val="0"/>
          <w:numId w:val="70"/>
        </w:numPr>
        <w:rPr>
          <w:rFonts w:hint="eastAsia"/>
          <w:color w:val="404040" w:themeColor="text1" w:themeTint="BF"/>
          <w:sz w:val="20"/>
          <w:szCs w:val="20"/>
        </w:rPr>
      </w:pPr>
      <w:r>
        <w:rPr>
          <w:color w:val="404040" w:themeColor="text1" w:themeTint="BF"/>
          <w:sz w:val="20"/>
          <w:szCs w:val="20"/>
        </w:rPr>
        <w:t xml:space="preserve">A medida de avaliação incluiu o FEF75 que consiste no fluxo expiratório forçado a 75% do volume expirado, aos três meses de idade, obtido através da técnica de compressão torácica rápida.  Foram avaliados também o FEF50 e o FEF 25 a 75 que foram obtidos da mesma curva expiratória. </w:t>
      </w:r>
    </w:p>
    <w:p w14:paraId="43B0758F" w14:textId="77777777" w:rsidR="00CD65C2" w:rsidRDefault="00FA41FC">
      <w:pPr>
        <w:pStyle w:val="Corpo"/>
        <w:rPr>
          <w:rFonts w:hint="eastAsia"/>
          <w:color w:val="404040" w:themeColor="text1" w:themeTint="BF"/>
        </w:rPr>
      </w:pPr>
      <w:r>
        <w:rPr>
          <w:b/>
          <w:noProof/>
          <w:color w:val="auto"/>
          <w:sz w:val="20"/>
          <w:szCs w:val="20"/>
          <w:lang w:eastAsia="pt-BR"/>
          <w14:textFill>
            <w14:solidFill>
              <w14:srgbClr w14:val="000000">
                <w14:lumMod w14:val="75000"/>
                <w14:lumOff w14:val="25000"/>
              </w14:srgbClr>
            </w14:solidFill>
          </w14:textFill>
        </w:rPr>
        <mc:AlternateContent>
          <mc:Choice Requires="wps">
            <w:drawing>
              <wp:anchor distT="0" distB="0" distL="114300" distR="114300" simplePos="0" relativeHeight="252000256" behindDoc="0" locked="0" layoutInCell="1" allowOverlap="1">
                <wp:simplePos x="0" y="0"/>
                <wp:positionH relativeFrom="margin">
                  <wp:posOffset>47625</wp:posOffset>
                </wp:positionH>
                <wp:positionV relativeFrom="paragraph">
                  <wp:posOffset>123825</wp:posOffset>
                </wp:positionV>
                <wp:extent cx="5848350" cy="1714500"/>
                <wp:effectExtent l="0" t="0" r="19050" b="19050"/>
                <wp:wrapNone/>
                <wp:docPr id="739657929" name="Caixa de texto 739657929"/>
                <wp:cNvGraphicFramePr/>
                <a:graphic xmlns:a="http://schemas.openxmlformats.org/drawingml/2006/main">
                  <a:graphicData uri="http://schemas.microsoft.com/office/word/2010/wordprocessingShape">
                    <wps:wsp>
                      <wps:cNvSpPr txBox="1"/>
                      <wps:spPr>
                        <a:xfrm>
                          <a:off x="0" y="0"/>
                          <a:ext cx="5848350" cy="1714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B9C665" w14:textId="77777777" w:rsidR="00FA41FC" w:rsidRDefault="00FA41FC">
                            <w:pPr>
                              <w:pStyle w:val="Corpo"/>
                              <w:rPr>
                                <w:rFonts w:hint="eastAsia"/>
                                <w:b/>
                                <w:color w:val="auto"/>
                                <w:sz w:val="20"/>
                                <w:szCs w:val="20"/>
                                <w14:textFill>
                                  <w14:solidFill>
                                    <w14:srgbClr w14:val="000000">
                                      <w14:lumMod w14:val="75000"/>
                                      <w14:lumOff w14:val="25000"/>
                                    </w14:srgbClr>
                                  </w14:solidFill>
                                </w14:textFill>
                              </w:rPr>
                            </w:pPr>
                            <w:r>
                              <w:rPr>
                                <w:b/>
                                <w:color w:val="auto"/>
                                <w:sz w:val="20"/>
                                <w:szCs w:val="20"/>
                                <w14:textFill>
                                  <w14:solidFill>
                                    <w14:srgbClr w14:val="000000">
                                      <w14:lumMod w14:val="75000"/>
                                      <w14:lumOff w14:val="25000"/>
                                    </w14:srgbClr>
                                  </w14:solidFill>
                                </w14:textFill>
                              </w:rPr>
                              <w:t>Fluxo expiratório forçado máximo (FEFmáx): representa o fluxo máximo de ar durante a manobra de capacidade vital forçada (CVF). Esta grandeza também é denominada de pico de fluxo expiratório (PFE).</w:t>
                            </w:r>
                          </w:p>
                          <w:p w14:paraId="70FCC477" w14:textId="77777777" w:rsidR="00FA41FC" w:rsidRDefault="00FA41FC">
                            <w:pPr>
                              <w:pStyle w:val="Corpo"/>
                              <w:rPr>
                                <w:rFonts w:hint="eastAsia"/>
                                <w:b/>
                                <w:color w:val="auto"/>
                                <w:sz w:val="10"/>
                                <w:szCs w:val="10"/>
                                <w14:textFill>
                                  <w14:solidFill>
                                    <w14:srgbClr w14:val="000000">
                                      <w14:lumMod w14:val="75000"/>
                                      <w14:lumOff w14:val="25000"/>
                                    </w14:srgbClr>
                                  </w14:solidFill>
                                </w14:textFill>
                              </w:rPr>
                            </w:pPr>
                          </w:p>
                          <w:p w14:paraId="2C09F6C7" w14:textId="77777777" w:rsidR="00FA41FC" w:rsidRDefault="00FA41FC">
                            <w:pPr>
                              <w:pStyle w:val="Corpo"/>
                              <w:rPr>
                                <w:rFonts w:hint="eastAsia"/>
                                <w:b/>
                                <w:color w:val="auto"/>
                                <w:sz w:val="20"/>
                                <w:szCs w:val="20"/>
                                <w14:textFill>
                                  <w14:solidFill>
                                    <w14:srgbClr w14:val="000000">
                                      <w14:lumMod w14:val="75000"/>
                                      <w14:lumOff w14:val="25000"/>
                                    </w14:srgbClr>
                                  </w14:solidFill>
                                </w14:textFill>
                              </w:rPr>
                            </w:pPr>
                            <w:r>
                              <w:rPr>
                                <w:b/>
                                <w:color w:val="auto"/>
                                <w:sz w:val="20"/>
                                <w:szCs w:val="20"/>
                                <w14:textFill>
                                  <w14:solidFill>
                                    <w14:srgbClr w14:val="000000">
                                      <w14:lumMod w14:val="75000"/>
                                      <w14:lumOff w14:val="25000"/>
                                    </w14:srgbClr>
                                  </w14:solidFill>
                                </w14:textFill>
                              </w:rPr>
                              <w:t>Fluxo (FEFx): representa o fluxo expiratório ou inspiratório forçado instantâneo relacionado a um volume do registro da manobra de CVF. Esta grandeza é expressa em litros/segundo (BTPS). Fluxo expiratório forçado médio (FEFx-y%): representa o fluxo expiratório forçado médio de um segmento obtido durante a manobra de CVF; por exemplo FEF25-75% é o fluxo expiratório forçado médio na faixa intermediária da CVF, isto é, entre 25 e 75% da curva de CVF.</w:t>
                            </w:r>
                          </w:p>
                          <w:p w14:paraId="154CF95A" w14:textId="77777777" w:rsidR="00FA41FC" w:rsidRDefault="00FA41FC">
                            <w:pPr>
                              <w:pStyle w:val="Corpo"/>
                              <w:rPr>
                                <w:rFonts w:hint="eastAsia"/>
                                <w:b/>
                                <w:color w:val="auto"/>
                                <w:sz w:val="10"/>
                                <w:szCs w:val="10"/>
                                <w14:textFill>
                                  <w14:solidFill>
                                    <w14:srgbClr w14:val="000000">
                                      <w14:lumMod w14:val="75000"/>
                                      <w14:lumOff w14:val="25000"/>
                                    </w14:srgbClr>
                                  </w14:solidFill>
                                </w14:textFill>
                              </w:rPr>
                            </w:pPr>
                          </w:p>
                          <w:p w14:paraId="4506A8FE" w14:textId="77777777" w:rsidR="00FA41FC" w:rsidRDefault="00FA41FC">
                            <w:pPr>
                              <w:pStyle w:val="Corpo"/>
                              <w:rPr>
                                <w:rFonts w:hint="eastAsia"/>
                                <w:b/>
                                <w:color w:val="auto"/>
                                <w:sz w:val="20"/>
                                <w:szCs w:val="20"/>
                                <w14:textFill>
                                  <w14:solidFill>
                                    <w14:srgbClr w14:val="000000">
                                      <w14:lumMod w14:val="75000"/>
                                      <w14:lumOff w14:val="25000"/>
                                    </w14:srgbClr>
                                  </w14:solidFill>
                                </w14:textFill>
                              </w:rPr>
                            </w:pPr>
                            <w:r>
                              <w:rPr>
                                <w:b/>
                                <w:color w:val="auto"/>
                                <w:sz w:val="20"/>
                                <w:szCs w:val="20"/>
                                <w14:textFill>
                                  <w14:solidFill>
                                    <w14:srgbClr w14:val="000000">
                                      <w14:lumMod w14:val="75000"/>
                                      <w14:lumOff w14:val="25000"/>
                                    </w14:srgbClr>
                                  </w14:solidFill>
                                </w14:textFill>
                              </w:rPr>
                              <w:t>CVF: representa o volume máximo de ar exalado com esforço máximo, a partir do ponto de máxima inspiração.</w:t>
                            </w:r>
                          </w:p>
                          <w:p w14:paraId="2B8DF410" w14:textId="77777777" w:rsidR="00FA41FC" w:rsidRDefault="00FA41F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Caixa de texto 739657929" o:spid="_x0000_s1248" type="#_x0000_t202" style="position:absolute;left:0;text-align:left;margin-left:3.75pt;margin-top:9.75pt;width:460.5pt;height:135pt;z-index:2520002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" fillcolor="white [3201]" strokeweight=".5pt">
                <v:textbox>
                  <w:txbxContent>
                    <w:p w14:paraId="0BB9C665" w14:textId="77777777" w:rsidR="00FA41FC" w:rsidRDefault="00FA41FC">
                      <w:pPr>
                        <w:pStyle w:val="Corpo"/>
                        <w:rPr>
                          <w:rFonts w:hint="eastAsia"/>
                          <w:b/>
                          <w:color w:val="auto"/>
                          <w:sz w:val="20"/>
                          <w:szCs w:val="20"/>
                          <w14:textFill>
                            <w14:solidFill>
                              <w14:srgbClr w14:val="000000">
                                <w14:lumMod w14:val="75000"/>
                                <w14:lumOff w14:val="25000"/>
                              </w14:srgbClr>
                            </w14:solidFill>
                          </w14:textFill>
                        </w:rPr>
                      </w:pPr>
                      <w:r>
                        <w:rPr>
                          <w:b/>
                          <w:color w:val="auto"/>
                          <w:sz w:val="20"/>
                          <w:szCs w:val="20"/>
                          <w14:textFill>
                            <w14:solidFill>
                              <w14:srgbClr w14:val="000000">
                                <w14:lumMod w14:val="75000"/>
                                <w14:lumOff w14:val="25000"/>
                              </w14:srgbClr>
                            </w14:solidFill>
                          </w14:textFill>
                        </w:rPr>
                        <w:t>Fluxo expiratório forçado máximo (FEFmáx): representa o fluxo máximo de ar durante a manobra de capacidade vital forçada (CVF). Esta grandeza também é denominada de pico de fluxo expiratório (PFE).</w:t>
                      </w:r>
                    </w:p>
                    <w:p w14:paraId="70FCC477" w14:textId="77777777" w:rsidR="00FA41FC" w:rsidRDefault="00FA41FC">
                      <w:pPr>
                        <w:pStyle w:val="Corpo"/>
                        <w:rPr>
                          <w:rFonts w:hint="eastAsia"/>
                          <w:b/>
                          <w:color w:val="auto"/>
                          <w:sz w:val="10"/>
                          <w:szCs w:val="10"/>
                          <w14:textFill>
                            <w14:solidFill>
                              <w14:srgbClr w14:val="000000">
                                <w14:lumMod w14:val="75000"/>
                                <w14:lumOff w14:val="25000"/>
                              </w14:srgbClr>
                            </w14:solidFill>
                          </w14:textFill>
                        </w:rPr>
                      </w:pPr>
                    </w:p>
                    <w:p w14:paraId="2C09F6C7" w14:textId="77777777" w:rsidR="00FA41FC" w:rsidRDefault="00FA41FC">
                      <w:pPr>
                        <w:pStyle w:val="Corpo"/>
                        <w:rPr>
                          <w:rFonts w:hint="eastAsia"/>
                          <w:b/>
                          <w:color w:val="auto"/>
                          <w:sz w:val="20"/>
                          <w:szCs w:val="20"/>
                          <w14:textFill>
                            <w14:solidFill>
                              <w14:srgbClr w14:val="000000">
                                <w14:lumMod w14:val="75000"/>
                                <w14:lumOff w14:val="25000"/>
                              </w14:srgbClr>
                            </w14:solidFill>
                          </w14:textFill>
                        </w:rPr>
                      </w:pPr>
                      <w:r>
                        <w:rPr>
                          <w:b/>
                          <w:color w:val="auto"/>
                          <w:sz w:val="20"/>
                          <w:szCs w:val="20"/>
                          <w14:textFill>
                            <w14:solidFill>
                              <w14:srgbClr w14:val="000000">
                                <w14:lumMod w14:val="75000"/>
                                <w14:lumOff w14:val="25000"/>
                              </w14:srgbClr>
                            </w14:solidFill>
                          </w14:textFill>
                        </w:rPr>
                        <w:t>Fluxo (FEFx): representa o fluxo expiratório ou inspiratório forçado instantâneo relacionado a um volume do registro da manobra de CVF. Esta grandeza é expressa em litros/segundo (BTPS). Fluxo expiratório forçado médio (FEFx-y%): representa o fluxo expiratório forçado médio de um segmento obtido durante a manobra de CVF; por exemplo FEF25-75% é o fluxo expiratório forçado médio na faixa intermediária da CVF, isto é, entre 25 e 75% da curva de CVF.</w:t>
                      </w:r>
                    </w:p>
                    <w:p w14:paraId="154CF95A" w14:textId="77777777" w:rsidR="00FA41FC" w:rsidRDefault="00FA41FC">
                      <w:pPr>
                        <w:pStyle w:val="Corpo"/>
                        <w:rPr>
                          <w:rFonts w:hint="eastAsia"/>
                          <w:b/>
                          <w:color w:val="auto"/>
                          <w:sz w:val="10"/>
                          <w:szCs w:val="10"/>
                          <w14:textFill>
                            <w14:solidFill>
                              <w14:srgbClr w14:val="000000">
                                <w14:lumMod w14:val="75000"/>
                                <w14:lumOff w14:val="25000"/>
                              </w14:srgbClr>
                            </w14:solidFill>
                          </w14:textFill>
                        </w:rPr>
                      </w:pPr>
                    </w:p>
                    <w:p w14:paraId="4506A8FE" w14:textId="77777777" w:rsidR="00FA41FC" w:rsidRDefault="00FA41FC">
                      <w:pPr>
                        <w:pStyle w:val="Corpo"/>
                        <w:rPr>
                          <w:rFonts w:hint="eastAsia"/>
                          <w:b/>
                          <w:color w:val="auto"/>
                          <w:sz w:val="20"/>
                          <w:szCs w:val="20"/>
                          <w14:textFill>
                            <w14:solidFill>
                              <w14:srgbClr w14:val="000000">
                                <w14:lumMod w14:val="75000"/>
                                <w14:lumOff w14:val="25000"/>
                              </w14:srgbClr>
                            </w14:solidFill>
                          </w14:textFill>
                        </w:rPr>
                      </w:pPr>
                      <w:r>
                        <w:rPr>
                          <w:b/>
                          <w:color w:val="auto"/>
                          <w:sz w:val="20"/>
                          <w:szCs w:val="20"/>
                          <w14:textFill>
                            <w14:solidFill>
                              <w14:srgbClr w14:val="000000">
                                <w14:lumMod w14:val="75000"/>
                                <w14:lumOff w14:val="25000"/>
                              </w14:srgbClr>
                            </w14:solidFill>
                          </w14:textFill>
                        </w:rPr>
                        <w:t>CVF: representa o volume máximo de ar exalado com esforço máximo, a partir do ponto de máxima inspiração.</w:t>
                      </w:r>
                    </w:p>
                    <w:p w14:paraId="2B8DF410" w14:textId="77777777" w:rsidR="00FA41FC" w:rsidRDefault="00FA41FC"/>
                  </w:txbxContent>
                </v:textbox>
                <w10:wrap anchorx="margin"/>
              </v:shape>
            </w:pict>
          </mc:Fallback>
        </mc:AlternateContent>
      </w:r>
    </w:p>
    <w:p w14:paraId="7FD8D0D7" w14:textId="77777777" w:rsidR="00CD65C2" w:rsidRDefault="00CD65C2">
      <w:pPr>
        <w:pStyle w:val="Corpo"/>
        <w:rPr>
          <w:rFonts w:hint="eastAsia"/>
          <w:color w:val="404040" w:themeColor="text1" w:themeTint="BF"/>
        </w:rPr>
      </w:pPr>
    </w:p>
    <w:p w14:paraId="3BD0CFCD" w14:textId="77777777" w:rsidR="00CD65C2" w:rsidRDefault="00CD65C2">
      <w:pPr>
        <w:pStyle w:val="Corpo"/>
        <w:rPr>
          <w:rFonts w:hint="eastAsia"/>
          <w:color w:val="404040" w:themeColor="text1" w:themeTint="BF"/>
        </w:rPr>
      </w:pPr>
    </w:p>
    <w:p w14:paraId="54C0C383" w14:textId="77777777" w:rsidR="00CD65C2" w:rsidRDefault="00CD65C2">
      <w:pPr>
        <w:pStyle w:val="Corpo"/>
        <w:rPr>
          <w:rFonts w:hint="eastAsia"/>
          <w:color w:val="404040" w:themeColor="text1" w:themeTint="BF"/>
        </w:rPr>
      </w:pPr>
    </w:p>
    <w:p w14:paraId="021962D8" w14:textId="77777777" w:rsidR="00CD65C2" w:rsidRDefault="00CD65C2">
      <w:pPr>
        <w:pStyle w:val="Corpo"/>
        <w:rPr>
          <w:rFonts w:hint="eastAsia"/>
          <w:color w:val="404040" w:themeColor="text1" w:themeTint="BF"/>
        </w:rPr>
      </w:pPr>
    </w:p>
    <w:p w14:paraId="22F19B50" w14:textId="77777777" w:rsidR="00CD65C2" w:rsidRDefault="00CD65C2">
      <w:pPr>
        <w:pStyle w:val="Corpo"/>
        <w:rPr>
          <w:rFonts w:hint="eastAsia"/>
          <w:color w:val="404040" w:themeColor="text1" w:themeTint="BF"/>
        </w:rPr>
      </w:pPr>
    </w:p>
    <w:p w14:paraId="29E0114D" w14:textId="77777777" w:rsidR="00CD65C2" w:rsidRDefault="00CD65C2">
      <w:pPr>
        <w:pStyle w:val="Corpo"/>
        <w:rPr>
          <w:rFonts w:hint="eastAsia"/>
          <w:color w:val="404040" w:themeColor="text1" w:themeTint="BF"/>
        </w:rPr>
      </w:pPr>
    </w:p>
    <w:p w14:paraId="14047B29" w14:textId="77777777" w:rsidR="00CD65C2" w:rsidRDefault="00CD65C2">
      <w:pPr>
        <w:pStyle w:val="Corpo"/>
        <w:rPr>
          <w:rFonts w:hint="eastAsia"/>
          <w:color w:val="404040" w:themeColor="text1" w:themeTint="BF"/>
        </w:rPr>
      </w:pPr>
    </w:p>
    <w:p w14:paraId="0AF5929D" w14:textId="77777777" w:rsidR="00CD65C2" w:rsidRDefault="00CD65C2">
      <w:pPr>
        <w:pStyle w:val="Corpo"/>
        <w:rPr>
          <w:rFonts w:hint="eastAsia"/>
          <w:color w:val="404040" w:themeColor="text1" w:themeTint="BF"/>
        </w:rPr>
      </w:pPr>
    </w:p>
    <w:p w14:paraId="0A0645CA" w14:textId="77777777" w:rsidR="00CD65C2" w:rsidRDefault="00CD65C2">
      <w:pPr>
        <w:pStyle w:val="Corpo"/>
        <w:rPr>
          <w:rFonts w:hint="eastAsia"/>
          <w:color w:val="404040" w:themeColor="text1" w:themeTint="BF"/>
        </w:rPr>
      </w:pPr>
    </w:p>
    <w:p w14:paraId="2DB00511"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54BF16DF"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41DD3D9B" w14:textId="77777777" w:rsidR="00CD65C2" w:rsidRDefault="00CD65C2">
      <w:pPr>
        <w:pStyle w:val="Corpo"/>
        <w:rPr>
          <w:rFonts w:hint="eastAsia"/>
          <w:color w:val="404040" w:themeColor="text1" w:themeTint="BF"/>
          <w:sz w:val="16"/>
          <w:szCs w:val="16"/>
        </w:rPr>
      </w:pPr>
    </w:p>
    <w:p w14:paraId="5F913FEB" w14:textId="56EDDCA1" w:rsidR="00CD65C2" w:rsidRDefault="00FA41FC" w:rsidP="00D1428E">
      <w:pPr>
        <w:pStyle w:val="Corpo"/>
        <w:numPr>
          <w:ilvl w:val="0"/>
          <w:numId w:val="71"/>
        </w:numPr>
        <w:spacing w:after="120"/>
        <w:rPr>
          <w:rFonts w:hint="eastAsia"/>
          <w:color w:val="404040" w:themeColor="text1" w:themeTint="BF"/>
          <w:sz w:val="24"/>
        </w:rPr>
      </w:pPr>
      <w:r>
        <w:rPr>
          <w:color w:val="404040" w:themeColor="text1" w:themeTint="BF"/>
          <w:sz w:val="24"/>
        </w:rPr>
        <w:t xml:space="preserve">Os bebês de gestantes fumantes tratadas com vitamina C apresentaram os seguintes FEFs aos três meses de idade em comparação com aqueles que receberam placebo: FEF 75 (200,7 </w:t>
      </w:r>
      <w:r w:rsidRPr="00D1428E">
        <w:rPr>
          <w:rFonts w:hint="eastAsia"/>
          <w:i/>
          <w:iCs/>
          <w:color w:val="404040" w:themeColor="text1" w:themeTint="BF"/>
          <w:sz w:val="24"/>
        </w:rPr>
        <w:t>vs</w:t>
      </w:r>
      <w:r>
        <w:rPr>
          <w:color w:val="404040" w:themeColor="text1" w:themeTint="BF"/>
          <w:sz w:val="24"/>
        </w:rPr>
        <w:t xml:space="preserve">. 188,7 ml/segundo, p = 0,10), FEF50 (436,7 </w:t>
      </w:r>
      <w:r w:rsidRPr="00D1428E">
        <w:rPr>
          <w:rFonts w:hint="eastAsia"/>
          <w:i/>
          <w:iCs/>
          <w:color w:val="404040" w:themeColor="text1" w:themeTint="BF"/>
          <w:sz w:val="24"/>
        </w:rPr>
        <w:t>vs</w:t>
      </w:r>
      <w:r>
        <w:rPr>
          <w:color w:val="404040" w:themeColor="text1" w:themeTint="BF"/>
          <w:sz w:val="24"/>
        </w:rPr>
        <w:t xml:space="preserve">. 408,5 ml/segundo, p = 0,02) e FEF25 a 75 (387,4 </w:t>
      </w:r>
      <w:r w:rsidRPr="00D1428E">
        <w:rPr>
          <w:rFonts w:hint="eastAsia"/>
          <w:i/>
          <w:iCs/>
          <w:color w:val="404040" w:themeColor="text1" w:themeTint="BF"/>
          <w:sz w:val="24"/>
        </w:rPr>
        <w:t>vs</w:t>
      </w:r>
      <w:r>
        <w:rPr>
          <w:color w:val="404040" w:themeColor="text1" w:themeTint="BF"/>
          <w:sz w:val="24"/>
        </w:rPr>
        <w:t>. 365,8 ml/segundo, p = 0,04);</w:t>
      </w:r>
    </w:p>
    <w:p w14:paraId="624E07B1" w14:textId="77777777" w:rsidR="00CD65C2" w:rsidRDefault="00FA41FC" w:rsidP="00D1428E">
      <w:pPr>
        <w:pStyle w:val="Corpo"/>
        <w:numPr>
          <w:ilvl w:val="0"/>
          <w:numId w:val="71"/>
        </w:numPr>
        <w:spacing w:after="120"/>
        <w:rPr>
          <w:rFonts w:hint="eastAsia"/>
          <w:color w:val="404040" w:themeColor="text1" w:themeTint="BF"/>
          <w:sz w:val="24"/>
        </w:rPr>
      </w:pPr>
      <w:r>
        <w:rPr>
          <w:color w:val="404040" w:themeColor="text1" w:themeTint="BF"/>
          <w:sz w:val="24"/>
        </w:rPr>
        <w:t>FEF dos bebês pareciam estar associados negativamente com os alelos de risco materno para o receptor nicotínico alfa 5 da acetilcolina.</w:t>
      </w:r>
    </w:p>
    <w:p w14:paraId="6689EBAA" w14:textId="77777777" w:rsidR="00CD65C2" w:rsidRDefault="00CD65C2">
      <w:pPr>
        <w:pStyle w:val="Corpo"/>
        <w:spacing w:after="120"/>
        <w:ind w:left="360"/>
        <w:rPr>
          <w:rFonts w:hint="eastAsia"/>
          <w:color w:val="404040" w:themeColor="text1" w:themeTint="BF"/>
          <w:sz w:val="24"/>
        </w:rPr>
      </w:pPr>
    </w:p>
    <w:p w14:paraId="5422B4D8" w14:textId="77777777" w:rsidR="00CD65C2" w:rsidRDefault="00FA41FC">
      <w:pPr>
        <w:pStyle w:val="Ttulo1"/>
        <w:jc w:val="center"/>
        <w:rPr>
          <w:rFonts w:hint="eastAsia"/>
        </w:rPr>
      </w:pPr>
      <w:bookmarkStart w:id="171" w:name="_Toc165537318"/>
      <w:r>
        <w:rPr>
          <w:rStyle w:val="Ttulo1Char"/>
          <w:b/>
        </w:rPr>
        <w:t>Formulário</w:t>
      </w:r>
      <w:bookmarkEnd w:id="171"/>
    </w:p>
    <w:p w14:paraId="5280A560" w14:textId="77777777" w:rsidR="00CD65C2" w:rsidRDefault="00CD65C2">
      <w:pPr>
        <w:pStyle w:val="Corpo"/>
        <w:rPr>
          <w:rFonts w:hint="eastAsia"/>
          <w:b/>
          <w:i/>
          <w:color w:val="404040" w:themeColor="text1" w:themeTint="BF"/>
        </w:rPr>
      </w:pPr>
    </w:p>
    <w:p w14:paraId="2C5524B9" w14:textId="77777777" w:rsidR="00CD65C2" w:rsidRDefault="00CD65C2">
      <w:pPr>
        <w:pStyle w:val="Corpo"/>
        <w:rPr>
          <w:rFonts w:hint="eastAsia"/>
          <w:b/>
          <w:i/>
          <w:color w:val="404040" w:themeColor="text1" w:themeTint="BF"/>
        </w:rPr>
      </w:pPr>
    </w:p>
    <w:p w14:paraId="596EA6AC" w14:textId="77777777" w:rsidR="00CD65C2" w:rsidRDefault="00FA41FC">
      <w:pPr>
        <w:pStyle w:val="Corpo"/>
        <w:rPr>
          <w:rFonts w:hint="eastAsia"/>
          <w:b/>
          <w:i/>
          <w:color w:val="404040" w:themeColor="text1" w:themeTint="BF"/>
          <w:sz w:val="24"/>
        </w:rPr>
      </w:pPr>
      <w:r>
        <w:rPr>
          <w:b/>
          <w:i/>
          <w:color w:val="404040" w:themeColor="text1" w:themeTint="BF"/>
          <w:sz w:val="24"/>
        </w:rPr>
        <w:t xml:space="preserve">Suplementação de Vitamina C em Gestantes Fumantes Melhora o fluxo de Ar de Bebês </w:t>
      </w:r>
    </w:p>
    <w:p w14:paraId="04FCE9AF"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363E4DD2"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759D7FD7" w14:textId="77777777" w:rsidR="00CD65C2" w:rsidRDefault="00FA41FC">
            <w:pPr>
              <w:pStyle w:val="Corpo"/>
              <w:jc w:val="center"/>
              <w:rPr>
                <w:rFonts w:hint="eastAsia"/>
                <w:b/>
                <w:color w:val="FFFFFF" w:themeColor="background1"/>
              </w:rPr>
            </w:pPr>
            <w:r>
              <w:rPr>
                <w:b/>
                <w:color w:val="FFFFFF" w:themeColor="background1"/>
                <w:sz w:val="22"/>
              </w:rPr>
              <w:t>Vitamina C</w:t>
            </w:r>
          </w:p>
        </w:tc>
      </w:tr>
      <w:tr w:rsidR="00CD65C2" w14:paraId="17A4FC75"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F3C4EBA" w14:textId="77777777" w:rsidR="00CD65C2" w:rsidRDefault="00FA41FC">
            <w:pPr>
              <w:pStyle w:val="Corpo"/>
              <w:rPr>
                <w:rFonts w:hint="eastAsia"/>
                <w:color w:val="404040" w:themeColor="text1" w:themeTint="BF"/>
              </w:rPr>
            </w:pPr>
            <w:r>
              <w:rPr>
                <w:color w:val="404040" w:themeColor="text1" w:themeTint="BF"/>
              </w:rPr>
              <w:t>Vitamina C.....................................500 mg</w:t>
            </w:r>
          </w:p>
        </w:tc>
      </w:tr>
      <w:tr w:rsidR="00CD65C2" w14:paraId="538E84FA"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F75C18A" w14:textId="7E35F130" w:rsidR="00CD65C2" w:rsidRDefault="00FA41FC">
            <w:pPr>
              <w:pStyle w:val="Corpo"/>
              <w:rPr>
                <w:rFonts w:hint="eastAsia"/>
                <w:color w:val="404040" w:themeColor="text1" w:themeTint="BF"/>
              </w:rPr>
            </w:pPr>
            <w:r>
              <w:rPr>
                <w:color w:val="404040" w:themeColor="text1" w:themeTint="BF"/>
              </w:rPr>
              <w:t>Excipiente q.s.p. ........................1 Cápsula</w:t>
            </w:r>
          </w:p>
        </w:tc>
      </w:tr>
    </w:tbl>
    <w:p w14:paraId="1D904D5A" w14:textId="77777777" w:rsidR="00CD65C2" w:rsidRDefault="00FA41FC">
      <w:pPr>
        <w:pStyle w:val="Corpo"/>
        <w:ind w:right="4676"/>
        <w:jc w:val="center"/>
        <w:rPr>
          <w:rFonts w:hint="eastAsia"/>
          <w:color w:val="404040" w:themeColor="text1" w:themeTint="BF"/>
          <w:sz w:val="22"/>
          <w:szCs w:val="22"/>
        </w:rPr>
      </w:pPr>
      <w:r>
        <w:rPr>
          <w:color w:val="404040" w:themeColor="text1" w:themeTint="BF"/>
          <w:sz w:val="22"/>
          <w:szCs w:val="22"/>
        </w:rPr>
        <w:t>Administrar 1 cápsula ao dia ou conforme orientação médica.</w:t>
      </w:r>
    </w:p>
    <w:p w14:paraId="43F44A11" w14:textId="77777777" w:rsidR="00CD65C2" w:rsidRDefault="00CD65C2">
      <w:pPr>
        <w:pStyle w:val="Corpo"/>
        <w:spacing w:line="276" w:lineRule="auto"/>
        <w:rPr>
          <w:rFonts w:hint="eastAsia"/>
          <w:b/>
          <w:color w:val="404040" w:themeColor="text1" w:themeTint="BF"/>
        </w:rPr>
      </w:pPr>
    </w:p>
    <w:p w14:paraId="0DCA35E3" w14:textId="77777777" w:rsidR="00CD65C2" w:rsidRDefault="00CD65C2">
      <w:pPr>
        <w:pStyle w:val="Corpo"/>
        <w:spacing w:line="276" w:lineRule="auto"/>
        <w:rPr>
          <w:rFonts w:hint="eastAsia"/>
          <w:b/>
          <w:color w:val="404040" w:themeColor="text1" w:themeTint="BF"/>
        </w:rPr>
      </w:pPr>
    </w:p>
    <w:p w14:paraId="2181F26D" w14:textId="77777777" w:rsidR="00CD65C2" w:rsidRDefault="00CD65C2">
      <w:pPr>
        <w:pStyle w:val="SemEspaamento"/>
      </w:pPr>
    </w:p>
    <w:p w14:paraId="113DF27A" w14:textId="77777777" w:rsidR="00CD65C2" w:rsidRDefault="00CD65C2">
      <w:pPr>
        <w:pStyle w:val="SemEspaamento"/>
      </w:pPr>
    </w:p>
    <w:p w14:paraId="108BF29D" w14:textId="77777777" w:rsidR="00CD65C2" w:rsidRDefault="00CD65C2">
      <w:pPr>
        <w:pStyle w:val="SemEspaamento"/>
      </w:pPr>
    </w:p>
    <w:p w14:paraId="63E71EAA" w14:textId="77777777" w:rsidR="00CD65C2" w:rsidRDefault="00CD65C2">
      <w:pPr>
        <w:pStyle w:val="SemEspaamento"/>
      </w:pPr>
    </w:p>
    <w:p w14:paraId="3490515A" w14:textId="77777777" w:rsidR="00CD65C2" w:rsidRDefault="00CD65C2">
      <w:pPr>
        <w:pStyle w:val="SemEspaamento"/>
      </w:pPr>
    </w:p>
    <w:p w14:paraId="1F8DAB43" w14:textId="77777777" w:rsidR="00CD65C2" w:rsidRDefault="00CD65C2">
      <w:pPr>
        <w:pStyle w:val="SemEspaamento"/>
      </w:pPr>
    </w:p>
    <w:p w14:paraId="18EFDA58" w14:textId="77777777" w:rsidR="00CD65C2" w:rsidRDefault="00CD65C2">
      <w:pPr>
        <w:pStyle w:val="SemEspaamento"/>
      </w:pPr>
    </w:p>
    <w:p w14:paraId="449833DE" w14:textId="77777777" w:rsidR="00CD65C2" w:rsidRDefault="00CD65C2">
      <w:pPr>
        <w:pStyle w:val="SemEspaamento"/>
      </w:pPr>
    </w:p>
    <w:p w14:paraId="1E0A9395" w14:textId="77777777" w:rsidR="00CD65C2" w:rsidRDefault="00CD65C2">
      <w:pPr>
        <w:pStyle w:val="SemEspaamento"/>
      </w:pPr>
    </w:p>
    <w:p w14:paraId="16CC7CFE" w14:textId="77777777" w:rsidR="00CD65C2" w:rsidRDefault="00CD65C2">
      <w:pPr>
        <w:pStyle w:val="SemEspaamento"/>
      </w:pPr>
    </w:p>
    <w:p w14:paraId="3DE3E926" w14:textId="77777777" w:rsidR="00CD65C2" w:rsidRDefault="00CD65C2">
      <w:pPr>
        <w:pStyle w:val="SemEspaamento"/>
      </w:pPr>
    </w:p>
    <w:p w14:paraId="6B743E94" w14:textId="77777777" w:rsidR="00CD65C2" w:rsidRDefault="00CD65C2">
      <w:pPr>
        <w:pStyle w:val="SemEspaamento"/>
      </w:pPr>
    </w:p>
    <w:p w14:paraId="6591A38F" w14:textId="77777777" w:rsidR="00CD65C2" w:rsidRDefault="00CD65C2">
      <w:pPr>
        <w:pStyle w:val="SemEspaamento"/>
      </w:pPr>
    </w:p>
    <w:p w14:paraId="1F3C7F17" w14:textId="77777777" w:rsidR="00CD65C2" w:rsidRDefault="00CD65C2">
      <w:pPr>
        <w:pStyle w:val="SemEspaamento"/>
      </w:pPr>
    </w:p>
    <w:p w14:paraId="6EE45C89" w14:textId="77777777" w:rsidR="00CD65C2" w:rsidRDefault="00CD65C2">
      <w:pPr>
        <w:pStyle w:val="SemEspaamento"/>
      </w:pPr>
    </w:p>
    <w:p w14:paraId="49BEE30A" w14:textId="77777777" w:rsidR="00CD65C2" w:rsidRDefault="00CD65C2">
      <w:pPr>
        <w:pStyle w:val="SemEspaamento"/>
      </w:pPr>
    </w:p>
    <w:p w14:paraId="3B18C66F" w14:textId="77777777" w:rsidR="00CD65C2" w:rsidRDefault="00CD65C2">
      <w:pPr>
        <w:pStyle w:val="SemEspaamento"/>
      </w:pPr>
    </w:p>
    <w:p w14:paraId="408154F5" w14:textId="77777777" w:rsidR="00CD65C2" w:rsidRDefault="00CD65C2">
      <w:pPr>
        <w:pStyle w:val="SemEspaamento"/>
      </w:pPr>
    </w:p>
    <w:p w14:paraId="3CA52388" w14:textId="77777777" w:rsidR="00CD65C2" w:rsidRDefault="00CD65C2">
      <w:pPr>
        <w:pStyle w:val="SemEspaamento"/>
      </w:pPr>
    </w:p>
    <w:p w14:paraId="2650DACB" w14:textId="77777777" w:rsidR="00CD65C2" w:rsidRDefault="00CD65C2">
      <w:pPr>
        <w:pStyle w:val="SemEspaamento"/>
      </w:pPr>
    </w:p>
    <w:p w14:paraId="06E6750B" w14:textId="77777777" w:rsidR="00CD65C2" w:rsidRDefault="00CD65C2">
      <w:pPr>
        <w:pStyle w:val="SemEspaamento"/>
      </w:pPr>
    </w:p>
    <w:p w14:paraId="5224CB8F" w14:textId="77777777" w:rsidR="00CD65C2" w:rsidRDefault="00CD65C2">
      <w:pPr>
        <w:pStyle w:val="SemEspaamento"/>
      </w:pPr>
    </w:p>
    <w:p w14:paraId="68A21F5D" w14:textId="77777777" w:rsidR="00CD65C2" w:rsidRDefault="00CD65C2">
      <w:pPr>
        <w:pStyle w:val="SemEspaamento"/>
      </w:pPr>
    </w:p>
    <w:p w14:paraId="2E9A1AA3" w14:textId="77777777" w:rsidR="00CD65C2" w:rsidRDefault="00CD65C2">
      <w:pPr>
        <w:pStyle w:val="SemEspaamento"/>
      </w:pPr>
    </w:p>
    <w:p w14:paraId="68FCAF9C" w14:textId="77777777" w:rsidR="00CD65C2" w:rsidRDefault="00CD65C2">
      <w:pPr>
        <w:pStyle w:val="SemEspaamento"/>
      </w:pPr>
    </w:p>
    <w:p w14:paraId="40E9F00E" w14:textId="77777777" w:rsidR="00CD65C2" w:rsidRDefault="00CD65C2">
      <w:pPr>
        <w:pStyle w:val="SemEspaamento"/>
      </w:pPr>
    </w:p>
    <w:p w14:paraId="69AB10A4" w14:textId="77777777" w:rsidR="00CD65C2" w:rsidRDefault="00CD65C2">
      <w:pPr>
        <w:pStyle w:val="SemEspaamento"/>
      </w:pPr>
    </w:p>
    <w:p w14:paraId="62AA4F53" w14:textId="77777777" w:rsidR="00CD65C2" w:rsidRDefault="00CD65C2">
      <w:pPr>
        <w:pStyle w:val="SemEspaamento"/>
      </w:pPr>
    </w:p>
    <w:p w14:paraId="3AB204A2" w14:textId="77777777" w:rsidR="00CD65C2" w:rsidRDefault="00CD65C2">
      <w:pPr>
        <w:pStyle w:val="SemEspaamento"/>
      </w:pPr>
    </w:p>
    <w:p w14:paraId="5A68A0C1" w14:textId="77777777" w:rsidR="00CD65C2" w:rsidRDefault="00FA41FC">
      <w:pPr>
        <w:pStyle w:val="Ttulo1"/>
        <w:jc w:val="center"/>
        <w:rPr>
          <w:rFonts w:hint="eastAsia"/>
        </w:rPr>
      </w:pPr>
      <w:bookmarkStart w:id="172" w:name="_Toc165537319"/>
      <w:r>
        <w:rPr>
          <w:bCs/>
          <w:iCs/>
        </w:rPr>
        <w:t>Vitamina B12</w:t>
      </w:r>
      <w:bookmarkEnd w:id="172"/>
    </w:p>
    <w:p w14:paraId="7AEBE726" w14:textId="77777777" w:rsidR="00CD65C2" w:rsidRPr="00D1428E" w:rsidRDefault="00FA41FC">
      <w:pPr>
        <w:pStyle w:val="Corpo"/>
        <w:spacing w:after="120"/>
        <w:jc w:val="center"/>
        <w:rPr>
          <w:rFonts w:hint="eastAsia"/>
          <w:b/>
          <w:color w:val="0070C0"/>
          <w:sz w:val="40"/>
        </w:rPr>
      </w:pPr>
      <w:r w:rsidRPr="00D1428E">
        <w:rPr>
          <w:b/>
          <w:color w:val="0070C0"/>
          <w:sz w:val="40"/>
        </w:rPr>
        <w:t>Auxilia no Aumento da Função Cerebral do Recém-Nascido</w:t>
      </w:r>
    </w:p>
    <w:p w14:paraId="470F913E" w14:textId="77777777" w:rsidR="00CD65C2" w:rsidRDefault="00CD65C2">
      <w:pPr>
        <w:pStyle w:val="Corpo"/>
        <w:rPr>
          <w:rFonts w:hint="eastAsia"/>
          <w:color w:val="404040" w:themeColor="text1" w:themeTint="BF"/>
          <w:sz w:val="24"/>
        </w:rPr>
      </w:pPr>
    </w:p>
    <w:p w14:paraId="3B43DBDA" w14:textId="77777777" w:rsidR="00CD65C2" w:rsidRDefault="00FA41FC">
      <w:pPr>
        <w:pStyle w:val="Corpo"/>
        <w:spacing w:after="120" w:line="276" w:lineRule="auto"/>
        <w:rPr>
          <w:rFonts w:hint="eastAsia"/>
          <w:color w:val="404040" w:themeColor="text1" w:themeTint="BF"/>
          <w:szCs w:val="23"/>
        </w:rPr>
      </w:pPr>
      <w:r>
        <w:rPr>
          <w:color w:val="404040" w:themeColor="text1" w:themeTint="BF"/>
          <w:szCs w:val="23"/>
        </w:rPr>
        <w:t xml:space="preserve">Estudo conduzido por Thomas </w:t>
      </w:r>
      <w:r>
        <w:rPr>
          <w:i/>
          <w:color w:val="404040" w:themeColor="text1" w:themeTint="BF"/>
          <w:szCs w:val="23"/>
        </w:rPr>
        <w:t>et al</w:t>
      </w:r>
      <w:r>
        <w:rPr>
          <w:color w:val="404040" w:themeColor="text1" w:themeTint="BF"/>
          <w:szCs w:val="23"/>
        </w:rPr>
        <w:t xml:space="preserve">. (2019) teve como objetivo avaliar os efeitos da suplementação maternal de vitamina B12, durante a gravidez, na função cognitiva dos recém-nascidos. </w:t>
      </w:r>
    </w:p>
    <w:p w14:paraId="35561C5A"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2003328" behindDoc="0" locked="0" layoutInCell="1" allowOverlap="1">
                <wp:simplePos x="0" y="0"/>
                <wp:positionH relativeFrom="margin">
                  <wp:posOffset>43815</wp:posOffset>
                </wp:positionH>
                <wp:positionV relativeFrom="paragraph">
                  <wp:posOffset>93980</wp:posOffset>
                </wp:positionV>
                <wp:extent cx="5715000" cy="552450"/>
                <wp:effectExtent l="0" t="0" r="19050" b="19050"/>
                <wp:wrapNone/>
                <wp:docPr id="739657930" name="Caixa de texto 7396579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52450"/>
                        </a:xfrm>
                        <a:prstGeom prst="rect">
                          <a:avLst/>
                        </a:prstGeom>
                        <a:solidFill>
                          <a:schemeClr val="bg1">
                            <a:lumMod val="100000"/>
                            <a:lumOff val="0"/>
                          </a:schemeClr>
                        </a:solidFill>
                        <a:ln w="9525">
                          <a:solidFill>
                            <a:srgbClr val="0070C0"/>
                          </a:solidFill>
                          <a:miter lim="800000"/>
                        </a:ln>
                      </wps:spPr>
                      <wps:txbx>
                        <w:txbxContent>
                          <w:p w14:paraId="7E046E48" w14:textId="77777777" w:rsidR="00FA41FC" w:rsidRDefault="00FA41FC">
                            <w:pPr>
                              <w:spacing w:line="276" w:lineRule="auto"/>
                              <w:jc w:val="center"/>
                              <w:rPr>
                                <w:rFonts w:ascii="Swis721 Th BT" w:hAnsi="Swis721 Th BT"/>
                                <w:sz w:val="23"/>
                                <w:szCs w:val="23"/>
                              </w:rPr>
                            </w:pPr>
                            <w:r>
                              <w:rPr>
                                <w:rFonts w:ascii="Swis721 Th BT" w:hAnsi="Swis721 Th BT"/>
                                <w:sz w:val="23"/>
                                <w:szCs w:val="23"/>
                              </w:rPr>
                              <w:t>Assim, 366 grávidas participaram deste estudo clínico e placebo-controlado. Elas foram divididas em dois grupos para receberem a seguinte posologia.</w:t>
                            </w:r>
                          </w:p>
                          <w:p w14:paraId="0B07AB02"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930" o:spid="_x0000_s1249" type="#_x0000_t202" style="position:absolute;left:0;text-align:left;margin-left:3.45pt;margin-top:7.4pt;width:450pt;height:43.5pt;z-index:2520033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" fillcolor="white [3212]" strokecolor="#0070c0">
                <v:textbox>
                  <w:txbxContent>
                    <w:p w14:paraId="7E046E48" w14:textId="77777777" w:rsidR="00FA41FC" w:rsidRDefault="00FA41FC">
                      <w:pPr>
                        <w:spacing w:line="276" w:lineRule="auto"/>
                        <w:jc w:val="center"/>
                        <w:rPr>
                          <w:rFonts w:ascii="Swis721 Th BT" w:hAnsi="Swis721 Th BT"/>
                          <w:sz w:val="23"/>
                          <w:szCs w:val="23"/>
                        </w:rPr>
                      </w:pPr>
                      <w:r>
                        <w:rPr>
                          <w:rFonts w:ascii="Swis721 Th BT" w:hAnsi="Swis721 Th BT"/>
                          <w:sz w:val="23"/>
                          <w:szCs w:val="23"/>
                        </w:rPr>
                        <w:t>Assim, 366 grávidas participaram deste estudo clínico e placebo-controlado. Elas foram divididas em dois grupos para receberem a seguinte posologia.</w:t>
                      </w:r>
                    </w:p>
                    <w:p w14:paraId="0B07AB02"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4038201A" w14:textId="77777777" w:rsidR="00CD65C2" w:rsidRDefault="00CD65C2">
      <w:pPr>
        <w:pStyle w:val="Corpo"/>
        <w:rPr>
          <w:rFonts w:hint="eastAsia"/>
          <w:color w:val="404040" w:themeColor="text1" w:themeTint="BF"/>
        </w:rPr>
      </w:pPr>
    </w:p>
    <w:p w14:paraId="44345E03" w14:textId="77777777" w:rsidR="00CD65C2" w:rsidRDefault="00CD65C2">
      <w:pPr>
        <w:pStyle w:val="Corpo"/>
        <w:rPr>
          <w:rFonts w:hint="eastAsia"/>
          <w:color w:val="404040" w:themeColor="text1" w:themeTint="BF"/>
        </w:rPr>
      </w:pPr>
    </w:p>
    <w:p w14:paraId="28076764"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2005376" behindDoc="0" locked="0" layoutInCell="1" allowOverlap="1">
                <wp:simplePos x="0" y="0"/>
                <wp:positionH relativeFrom="column">
                  <wp:posOffset>4543425</wp:posOffset>
                </wp:positionH>
                <wp:positionV relativeFrom="paragraph">
                  <wp:posOffset>26670</wp:posOffset>
                </wp:positionV>
                <wp:extent cx="226695" cy="138430"/>
                <wp:effectExtent l="0" t="0" r="1905" b="0"/>
                <wp:wrapNone/>
                <wp:docPr id="739657934" name="Triângulo isósceles 7396579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934" o:spid="_x0000_s1026" o:spt="5" type="#_x0000_t5" style="position:absolute;left:0pt;flip:y;margin-left:357.75pt;margin-top:2.1pt;height:10.9pt;width:17.85pt;z-index:252005376;mso-width-relative:page;mso-height-relative:page;" fillcolor="#D9D9D9 [3212]" filled="t" stroked="f" coordsize="21600,21600" o:gfxdata="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I95UtbXAAAACAEAAA8AAAAAAAAAAQAgAAAAIgAAAGRycy9kb3ducmV2LnhtbFBLAQIUABQAAAAI&#10;AIdO4kARFGMVYAIAALMEAAAOAAAAAAAAAAEAIAAAACYBAABkcnMvZTJvRG9jLnhtbFBLBQYAAAAA&#10;BgAGAFkBAAD4BQ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2002304" behindDoc="0" locked="0" layoutInCell="1" allowOverlap="1">
                <wp:simplePos x="0" y="0"/>
                <wp:positionH relativeFrom="column">
                  <wp:posOffset>986790</wp:posOffset>
                </wp:positionH>
                <wp:positionV relativeFrom="paragraph">
                  <wp:posOffset>23495</wp:posOffset>
                </wp:positionV>
                <wp:extent cx="226695" cy="138430"/>
                <wp:effectExtent l="0" t="0" r="1905" b="0"/>
                <wp:wrapNone/>
                <wp:docPr id="739657931" name="Triângulo isósceles 7396579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931" o:spid="_x0000_s1026" o:spt="5" type="#_x0000_t5" style="position:absolute;left:0pt;flip:y;margin-left:77.7pt;margin-top:1.85pt;height:10.9pt;width:17.85pt;z-index:252002304;mso-width-relative:page;mso-height-relative:page;" fillcolor="#D9D9D9 [3212]" filled="t" stroked="f" coordsize="21600,21600" o:gfxdata="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gZ4bYtYAAAAIAQAADwAAAAAAAAABACAAAAAiAAAAZHJzL2Rvd25yZXYueG1sUEsBAhQAFAAAAAgA&#10;h07iQFgFC5NgAgAAswQAAA4AAAAAAAAAAQAgAAAAJQEAAGRycy9lMm9Eb2MueG1sUEsFBgAAAAAG&#10;AAYAWQEAAPcFAAAAAA==&#10;" adj="10800">
                <v:fill on="t" focussize="0,0"/>
                <v:stroke on="f"/>
                <v:imagedata o:title=""/>
                <o:lock v:ext="edit" aspectratio="f"/>
              </v:shape>
            </w:pict>
          </mc:Fallback>
        </mc:AlternateContent>
      </w:r>
    </w:p>
    <w:p w14:paraId="3F163A0D"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2004352" behindDoc="0" locked="0" layoutInCell="1" allowOverlap="1">
                <wp:simplePos x="0" y="0"/>
                <wp:positionH relativeFrom="column">
                  <wp:posOffset>3587115</wp:posOffset>
                </wp:positionH>
                <wp:positionV relativeFrom="paragraph">
                  <wp:posOffset>76200</wp:posOffset>
                </wp:positionV>
                <wp:extent cx="2171700" cy="819150"/>
                <wp:effectExtent l="0" t="0" r="19050" b="19050"/>
                <wp:wrapNone/>
                <wp:docPr id="739657933" name="Caixa de texto 739657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819150"/>
                        </a:xfrm>
                        <a:prstGeom prst="rect">
                          <a:avLst/>
                        </a:prstGeom>
                        <a:solidFill>
                          <a:srgbClr val="0070C0"/>
                        </a:solidFill>
                        <a:ln w="9525">
                          <a:solidFill>
                            <a:srgbClr val="0070C0"/>
                          </a:solidFill>
                          <a:miter lim="800000"/>
                        </a:ln>
                      </wps:spPr>
                      <wps:txbx>
                        <w:txbxContent>
                          <w:p w14:paraId="75A5562D"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p>
                          <w:p w14:paraId="62E7E3BF"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751909B3"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739657933" o:spid="_x0000_s1250" type="#_x0000_t202" style="position:absolute;left:0;text-align:left;margin-left:282.45pt;margin-top:6pt;width:171pt;height:64.5pt;z-index:252004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" fillcolor="#0070c0" strokecolor="#0070c0">
                <v:textbox>
                  <w:txbxContent>
                    <w:p w14:paraId="75A5562D"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p>
                    <w:p w14:paraId="62E7E3BF"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751909B3"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2001280" behindDoc="0" locked="0" layoutInCell="1" allowOverlap="1">
                <wp:simplePos x="0" y="0"/>
                <wp:positionH relativeFrom="column">
                  <wp:posOffset>43815</wp:posOffset>
                </wp:positionH>
                <wp:positionV relativeFrom="paragraph">
                  <wp:posOffset>76200</wp:posOffset>
                </wp:positionV>
                <wp:extent cx="2171700" cy="819150"/>
                <wp:effectExtent l="0" t="0" r="19050" b="19050"/>
                <wp:wrapNone/>
                <wp:docPr id="739657932" name="Caixa de texto 739657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819150"/>
                        </a:xfrm>
                        <a:prstGeom prst="rect">
                          <a:avLst/>
                        </a:prstGeom>
                        <a:solidFill>
                          <a:srgbClr val="0070C0"/>
                        </a:solidFill>
                        <a:ln w="9525">
                          <a:solidFill>
                            <a:srgbClr val="0070C0"/>
                          </a:solidFill>
                          <a:miter lim="800000"/>
                        </a:ln>
                      </wps:spPr>
                      <wps:txbx>
                        <w:txbxContent>
                          <w:p w14:paraId="3485816A"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Vitamina B12</w:t>
                            </w:r>
                          </w:p>
                          <w:p w14:paraId="00C2A14C"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 50 mcg</w:t>
                            </w:r>
                          </w:p>
                          <w:p w14:paraId="45B2864C"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p>
                        </w:txbxContent>
                      </wps:txbx>
                      <wps:bodyPr rot="0" vert="horz" wrap="square" lIns="91440" tIns="45720" rIns="91440" bIns="45720" anchor="t" anchorCtr="0" upright="1">
                        <a:noAutofit/>
                      </wps:bodyPr>
                    </wps:wsp>
                  </a:graphicData>
                </a:graphic>
              </wp:anchor>
            </w:drawing>
          </mc:Choice>
          <mc:Fallback>
            <w:pict>
              <v:shape id="Caixa de texto 739657932" o:spid="_x0000_s1251" type="#_x0000_t202" style="position:absolute;left:0;text-align:left;margin-left:3.45pt;margin-top:6pt;width:171pt;height:64.5pt;z-index:25200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" fillcolor="#0070c0" strokecolor="#0070c0">
                <v:textbox>
                  <w:txbxContent>
                    <w:p w14:paraId="3485816A"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Vitamina B12</w:t>
                      </w:r>
                    </w:p>
                    <w:p w14:paraId="00C2A14C"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 50 mcg</w:t>
                      </w:r>
                    </w:p>
                    <w:p w14:paraId="45B2864C"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p>
                  </w:txbxContent>
                </v:textbox>
              </v:shape>
            </w:pict>
          </mc:Fallback>
        </mc:AlternateContent>
      </w:r>
    </w:p>
    <w:p w14:paraId="6CD6F975" w14:textId="77777777" w:rsidR="00CD65C2" w:rsidRDefault="00CD65C2">
      <w:pPr>
        <w:pStyle w:val="Corpo"/>
        <w:rPr>
          <w:rFonts w:hint="eastAsia"/>
          <w:color w:val="404040" w:themeColor="text1" w:themeTint="BF"/>
        </w:rPr>
      </w:pPr>
    </w:p>
    <w:p w14:paraId="0E2CFFBC" w14:textId="77777777" w:rsidR="00CD65C2" w:rsidRDefault="00CD65C2">
      <w:pPr>
        <w:pStyle w:val="Corpo"/>
        <w:rPr>
          <w:rFonts w:hint="eastAsia"/>
          <w:color w:val="404040" w:themeColor="text1" w:themeTint="BF"/>
        </w:rPr>
      </w:pPr>
    </w:p>
    <w:p w14:paraId="6F5B7715" w14:textId="77777777" w:rsidR="00CD65C2" w:rsidRDefault="00CD65C2">
      <w:pPr>
        <w:pStyle w:val="Corpo"/>
        <w:rPr>
          <w:rFonts w:hint="eastAsia"/>
          <w:color w:val="404040" w:themeColor="text1" w:themeTint="BF"/>
        </w:rPr>
      </w:pPr>
    </w:p>
    <w:p w14:paraId="22F44BC7" w14:textId="77777777" w:rsidR="00CD65C2" w:rsidRDefault="00CD65C2">
      <w:pPr>
        <w:pStyle w:val="Corpo"/>
        <w:rPr>
          <w:rFonts w:hint="eastAsia"/>
          <w:color w:val="404040" w:themeColor="text1" w:themeTint="BF"/>
        </w:rPr>
      </w:pPr>
    </w:p>
    <w:p w14:paraId="110BE18B" w14:textId="77777777" w:rsidR="00CD65C2" w:rsidRDefault="00FA41FC" w:rsidP="00D1428E">
      <w:pPr>
        <w:pStyle w:val="Corpo"/>
        <w:numPr>
          <w:ilvl w:val="0"/>
          <w:numId w:val="72"/>
        </w:numPr>
        <w:spacing w:line="276" w:lineRule="auto"/>
        <w:rPr>
          <w:rFonts w:hint="eastAsia"/>
          <w:color w:val="404040" w:themeColor="text1" w:themeTint="BF"/>
          <w:sz w:val="20"/>
          <w:szCs w:val="20"/>
          <w:lang w:val="pt-PT" w:eastAsia="pt-BR"/>
        </w:rPr>
      </w:pPr>
      <w:r>
        <w:rPr>
          <w:color w:val="404040" w:themeColor="text1" w:themeTint="BF"/>
          <w:sz w:val="20"/>
          <w:szCs w:val="20"/>
          <w:lang w:val="pt-PT" w:eastAsia="pt-BR"/>
        </w:rPr>
        <w:t xml:space="preserve">Das 366 mulheres que participaram do estudo, 256 recém-nascidos estavam aptos para participarem do estudo e destes 218 foram utilizados efetivamente para avaliação através do </w:t>
      </w:r>
      <w:r>
        <w:rPr>
          <w:i/>
          <w:color w:val="404040" w:themeColor="text1" w:themeTint="BF"/>
          <w:sz w:val="20"/>
          <w:szCs w:val="20"/>
          <w:lang w:val="pt-PT" w:eastAsia="pt-BR"/>
        </w:rPr>
        <w:t>Bayley Scales of Infant Development</w:t>
      </w:r>
      <w:r>
        <w:rPr>
          <w:color w:val="404040" w:themeColor="text1" w:themeTint="BF"/>
          <w:sz w:val="20"/>
          <w:szCs w:val="20"/>
          <w:lang w:val="pt-PT" w:eastAsia="pt-BR"/>
        </w:rPr>
        <w:t xml:space="preserve"> – terceira edição (BSID III).</w:t>
      </w:r>
    </w:p>
    <w:p w14:paraId="0FD85995" w14:textId="77777777" w:rsidR="00CD65C2" w:rsidRDefault="00CD65C2">
      <w:pPr>
        <w:pStyle w:val="Corpo"/>
        <w:rPr>
          <w:rFonts w:hint="eastAsia"/>
          <w:color w:val="404040" w:themeColor="text1" w:themeTint="BF"/>
          <w:lang w:val="pt-PT"/>
        </w:rPr>
      </w:pPr>
    </w:p>
    <w:p w14:paraId="79F15290" w14:textId="77777777" w:rsidR="00CD65C2" w:rsidRDefault="00CD65C2">
      <w:pPr>
        <w:pStyle w:val="Corpo"/>
        <w:rPr>
          <w:rFonts w:hint="eastAsia"/>
          <w:color w:val="404040" w:themeColor="text1" w:themeTint="BF"/>
        </w:rPr>
      </w:pPr>
    </w:p>
    <w:p w14:paraId="39F94950"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2B7E443A" w14:textId="77777777" w:rsidR="00CD65C2" w:rsidRDefault="00CD65C2">
      <w:pPr>
        <w:pStyle w:val="Corpo"/>
        <w:rPr>
          <w:rFonts w:hint="eastAsia"/>
          <w:color w:val="404040" w:themeColor="text1" w:themeTint="BF"/>
          <w:sz w:val="16"/>
          <w:szCs w:val="16"/>
        </w:rPr>
      </w:pPr>
    </w:p>
    <w:p w14:paraId="260C2775" w14:textId="7672C36F" w:rsidR="00CD65C2" w:rsidRDefault="00FA41FC" w:rsidP="00D1428E">
      <w:pPr>
        <w:pStyle w:val="Corpo"/>
        <w:numPr>
          <w:ilvl w:val="0"/>
          <w:numId w:val="73"/>
        </w:numPr>
        <w:spacing w:after="120"/>
        <w:rPr>
          <w:rFonts w:hint="eastAsia"/>
          <w:color w:val="404040" w:themeColor="text1" w:themeTint="BF"/>
          <w:sz w:val="24"/>
        </w:rPr>
      </w:pPr>
      <w:r>
        <w:rPr>
          <w:color w:val="404040" w:themeColor="text1" w:themeTint="BF"/>
          <w:sz w:val="24"/>
        </w:rPr>
        <w:t>As crianças nas quais as mães receberam vitamina B12 durante a gravidez apresentaram escores significativamente mais elevados no quesito linguagem quando comparado com as crianças de mães que foram tratadas apenas com placebo;</w:t>
      </w:r>
    </w:p>
    <w:p w14:paraId="3B528ACC" w14:textId="2BC0630D" w:rsidR="00CD65C2" w:rsidRDefault="00FA41FC" w:rsidP="00D1428E">
      <w:pPr>
        <w:pStyle w:val="Corpo"/>
        <w:numPr>
          <w:ilvl w:val="0"/>
          <w:numId w:val="73"/>
        </w:numPr>
        <w:spacing w:after="120"/>
        <w:rPr>
          <w:rFonts w:hint="eastAsia"/>
          <w:color w:val="404040" w:themeColor="text1" w:themeTint="BF"/>
          <w:sz w:val="24"/>
        </w:rPr>
      </w:pPr>
      <w:r>
        <w:rPr>
          <w:color w:val="404040" w:themeColor="text1" w:themeTint="BF"/>
          <w:sz w:val="24"/>
        </w:rPr>
        <w:t>As crianças de mães, não tratadas com a vitamina B12 e que apresentavam níveis elevados de homocisteína no segundo ou terceiro mês de gravidez, apresentavam escores mais baixos nos quesitos linguagem e domínios relacionados com a função motora.</w:t>
      </w:r>
    </w:p>
    <w:p w14:paraId="68A37F09" w14:textId="77777777" w:rsidR="00CD65C2" w:rsidRDefault="00CD65C2">
      <w:pPr>
        <w:pStyle w:val="Corpo"/>
        <w:spacing w:after="120"/>
        <w:ind w:left="360"/>
        <w:rPr>
          <w:rFonts w:hint="eastAsia"/>
          <w:color w:val="404040" w:themeColor="text1" w:themeTint="BF"/>
          <w:sz w:val="24"/>
        </w:rPr>
      </w:pPr>
    </w:p>
    <w:p w14:paraId="634D6EAF"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2C9C176D" w14:textId="77777777" w:rsidR="00CD65C2" w:rsidRDefault="00CD65C2">
      <w:pPr>
        <w:pStyle w:val="Corpo"/>
        <w:rPr>
          <w:rFonts w:hint="eastAsia"/>
          <w:b/>
          <w:color w:val="339966"/>
          <w:sz w:val="16"/>
          <w:szCs w:val="16"/>
          <w14:textFill>
            <w14:solidFill>
              <w14:srgbClr w14:val="339966">
                <w14:lumMod w14:val="75000"/>
                <w14:lumOff w14:val="25000"/>
              </w14:srgbClr>
            </w14:solidFill>
          </w14:textFill>
        </w:rPr>
      </w:pPr>
    </w:p>
    <w:p w14:paraId="7B3B80FE" w14:textId="0EA4A897" w:rsidR="00CD65C2" w:rsidRDefault="00FA41FC">
      <w:pPr>
        <w:jc w:val="center"/>
        <w:rPr>
          <w:rFonts w:ascii="Swis721 Th BT" w:hAnsi="Swis721 Th BT"/>
          <w:b/>
          <w:i/>
          <w:sz w:val="23"/>
          <w:szCs w:val="23"/>
        </w:rPr>
      </w:pPr>
      <w:r>
        <w:rPr>
          <w:rFonts w:ascii="Swis721 Th BT" w:hAnsi="Swis721 Th BT"/>
          <w:b/>
          <w:i/>
          <w:sz w:val="23"/>
          <w:szCs w:val="23"/>
        </w:rPr>
        <w:t xml:space="preserve">A suplementação materna de vitamina B12 durante a gravidez foi associada com elevada melhora nos escores que medem o grau de linguagem nas crianças com 30 meses de idade. Níveis elevados de homocisteína maternos (mães não tratadas com vitamina B12) foram associados com pontuações menores nos escores que medem a expressão da linguagem e os domínios motores.   </w:t>
      </w:r>
    </w:p>
    <w:p w14:paraId="34D08CA8" w14:textId="77777777" w:rsidR="00CD65C2" w:rsidRDefault="00FA41FC">
      <w:pPr>
        <w:pStyle w:val="Ttulo1"/>
        <w:jc w:val="center"/>
        <w:rPr>
          <w:rFonts w:hint="eastAsia"/>
        </w:rPr>
      </w:pPr>
      <w:bookmarkStart w:id="173" w:name="_Toc165537320"/>
      <w:r>
        <w:rPr>
          <w:rStyle w:val="Ttulo1Char"/>
          <w:b/>
        </w:rPr>
        <w:t>Formulário</w:t>
      </w:r>
      <w:bookmarkEnd w:id="173"/>
    </w:p>
    <w:p w14:paraId="3FB0D097" w14:textId="77777777" w:rsidR="00CD65C2" w:rsidRDefault="00CD65C2">
      <w:pPr>
        <w:pStyle w:val="Corpo"/>
        <w:rPr>
          <w:rFonts w:hint="eastAsia"/>
          <w:b/>
          <w:i/>
          <w:color w:val="404040" w:themeColor="text1" w:themeTint="BF"/>
        </w:rPr>
      </w:pPr>
    </w:p>
    <w:p w14:paraId="7D3EF63C" w14:textId="77777777" w:rsidR="00CD65C2" w:rsidRDefault="00CD65C2">
      <w:pPr>
        <w:pStyle w:val="Corpo"/>
        <w:rPr>
          <w:rFonts w:hint="eastAsia"/>
          <w:b/>
          <w:i/>
          <w:color w:val="404040" w:themeColor="text1" w:themeTint="BF"/>
        </w:rPr>
      </w:pPr>
    </w:p>
    <w:p w14:paraId="737963A4" w14:textId="77777777" w:rsidR="00CD65C2" w:rsidRDefault="00FA41FC">
      <w:pPr>
        <w:pStyle w:val="Corpo"/>
        <w:rPr>
          <w:rFonts w:hint="eastAsia"/>
          <w:b/>
          <w:i/>
          <w:color w:val="404040" w:themeColor="text1" w:themeTint="BF"/>
          <w:sz w:val="24"/>
        </w:rPr>
      </w:pPr>
      <w:r>
        <w:rPr>
          <w:b/>
          <w:i/>
          <w:color w:val="404040" w:themeColor="text1" w:themeTint="BF"/>
          <w:sz w:val="24"/>
        </w:rPr>
        <w:t xml:space="preserve">Suplementação de Vitamina B12 em Gestantes Melhora a Função Cognitiva do Recém-Nascido </w:t>
      </w:r>
    </w:p>
    <w:p w14:paraId="12F0708F"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7A1D460A"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2D1AD9AB" w14:textId="77777777" w:rsidR="00CD65C2" w:rsidRDefault="00FA41FC">
            <w:pPr>
              <w:pStyle w:val="Corpo"/>
              <w:jc w:val="center"/>
              <w:rPr>
                <w:rFonts w:hint="eastAsia"/>
                <w:b/>
                <w:color w:val="FFFFFF" w:themeColor="background1"/>
              </w:rPr>
            </w:pPr>
            <w:r>
              <w:rPr>
                <w:b/>
                <w:color w:val="FFFFFF" w:themeColor="background1"/>
                <w:sz w:val="22"/>
              </w:rPr>
              <w:t>Cápsulas de Vitamina B12</w:t>
            </w:r>
          </w:p>
        </w:tc>
      </w:tr>
      <w:tr w:rsidR="00CD65C2" w14:paraId="4EF1F11C"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014F46E" w14:textId="77777777" w:rsidR="00CD65C2" w:rsidRDefault="00FA41FC">
            <w:pPr>
              <w:pStyle w:val="Corpo"/>
              <w:rPr>
                <w:rFonts w:hint="eastAsia"/>
                <w:color w:val="404040" w:themeColor="text1" w:themeTint="BF"/>
              </w:rPr>
            </w:pPr>
            <w:r>
              <w:rPr>
                <w:color w:val="404040" w:themeColor="text1" w:themeTint="BF"/>
              </w:rPr>
              <w:t>Vitamina B12...................................50 mcg</w:t>
            </w:r>
          </w:p>
        </w:tc>
      </w:tr>
      <w:tr w:rsidR="00CD65C2" w14:paraId="60490C83"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2BB8E26" w14:textId="5DE46B8A" w:rsidR="00CD65C2" w:rsidRDefault="00FA41FC">
            <w:pPr>
              <w:pStyle w:val="Corpo"/>
              <w:rPr>
                <w:rFonts w:hint="eastAsia"/>
                <w:color w:val="404040" w:themeColor="text1" w:themeTint="BF"/>
              </w:rPr>
            </w:pPr>
            <w:r>
              <w:rPr>
                <w:color w:val="404040" w:themeColor="text1" w:themeTint="BF"/>
              </w:rPr>
              <w:t>Excipiente q.s.p. ........................1 Cápsula</w:t>
            </w:r>
          </w:p>
        </w:tc>
      </w:tr>
    </w:tbl>
    <w:p w14:paraId="6D71ED15" w14:textId="77777777" w:rsidR="00CD65C2" w:rsidRDefault="00FA41FC">
      <w:pPr>
        <w:pStyle w:val="Corpo"/>
        <w:ind w:right="4818"/>
        <w:jc w:val="center"/>
        <w:rPr>
          <w:rFonts w:hint="eastAsia"/>
          <w:color w:val="404040" w:themeColor="text1" w:themeTint="BF"/>
          <w:sz w:val="22"/>
          <w:szCs w:val="22"/>
        </w:rPr>
      </w:pPr>
      <w:r>
        <w:rPr>
          <w:color w:val="404040" w:themeColor="text1" w:themeTint="BF"/>
          <w:sz w:val="22"/>
          <w:szCs w:val="22"/>
        </w:rPr>
        <w:t>Administrar 1 cápsula ao dia ou conforme orientação médica.</w:t>
      </w:r>
    </w:p>
    <w:p w14:paraId="46A12342" w14:textId="77777777" w:rsidR="00CD65C2" w:rsidRDefault="00CD65C2">
      <w:pPr>
        <w:pStyle w:val="Corpo"/>
        <w:spacing w:line="276" w:lineRule="auto"/>
        <w:rPr>
          <w:rFonts w:hint="eastAsia"/>
          <w:b/>
          <w:color w:val="404040" w:themeColor="text1" w:themeTint="BF"/>
        </w:rPr>
      </w:pPr>
    </w:p>
    <w:p w14:paraId="2ED272B8" w14:textId="77777777" w:rsidR="00CD65C2" w:rsidRDefault="00CD65C2">
      <w:pPr>
        <w:pStyle w:val="SemEspaamento"/>
      </w:pPr>
    </w:p>
    <w:p w14:paraId="5A87CB38" w14:textId="77777777" w:rsidR="00CD65C2" w:rsidRDefault="00CD65C2">
      <w:pPr>
        <w:pStyle w:val="SemEspaamento"/>
      </w:pPr>
    </w:p>
    <w:p w14:paraId="268BFD09" w14:textId="77777777" w:rsidR="00CD65C2" w:rsidRDefault="00CD65C2">
      <w:pPr>
        <w:pStyle w:val="SemEspaamento"/>
      </w:pPr>
    </w:p>
    <w:p w14:paraId="63770601" w14:textId="77777777" w:rsidR="00CD65C2" w:rsidRDefault="00CD65C2">
      <w:pPr>
        <w:pStyle w:val="SemEspaamento"/>
      </w:pPr>
    </w:p>
    <w:p w14:paraId="682E35FE" w14:textId="77777777" w:rsidR="00CD65C2" w:rsidRDefault="00CD65C2">
      <w:pPr>
        <w:pStyle w:val="SemEspaamento"/>
      </w:pPr>
    </w:p>
    <w:p w14:paraId="4FDA451D" w14:textId="77777777" w:rsidR="00CD65C2" w:rsidRDefault="00CD65C2">
      <w:pPr>
        <w:pStyle w:val="SemEspaamento"/>
      </w:pPr>
    </w:p>
    <w:p w14:paraId="039A3C56" w14:textId="77777777" w:rsidR="00CD65C2" w:rsidRDefault="00CD65C2">
      <w:pPr>
        <w:pStyle w:val="SemEspaamento"/>
      </w:pPr>
    </w:p>
    <w:p w14:paraId="4F0957B4" w14:textId="77777777" w:rsidR="00CD65C2" w:rsidRDefault="00CD65C2">
      <w:pPr>
        <w:pStyle w:val="SemEspaamento"/>
      </w:pPr>
    </w:p>
    <w:p w14:paraId="34767187" w14:textId="77777777" w:rsidR="00CD65C2" w:rsidRDefault="00CD65C2">
      <w:pPr>
        <w:pStyle w:val="SemEspaamento"/>
      </w:pPr>
    </w:p>
    <w:p w14:paraId="3EEE196A" w14:textId="77777777" w:rsidR="00CD65C2" w:rsidRDefault="00CD65C2">
      <w:pPr>
        <w:pStyle w:val="SemEspaamento"/>
      </w:pPr>
    </w:p>
    <w:p w14:paraId="4F51DB63" w14:textId="77777777" w:rsidR="00CD65C2" w:rsidRDefault="00CD65C2">
      <w:pPr>
        <w:pStyle w:val="SemEspaamento"/>
      </w:pPr>
    </w:p>
    <w:p w14:paraId="125A43AD" w14:textId="77777777" w:rsidR="00CD65C2" w:rsidRDefault="00CD65C2">
      <w:pPr>
        <w:pStyle w:val="SemEspaamento"/>
      </w:pPr>
    </w:p>
    <w:p w14:paraId="2BE30E1A" w14:textId="77777777" w:rsidR="00CD65C2" w:rsidRDefault="00CD65C2">
      <w:pPr>
        <w:pStyle w:val="SemEspaamento"/>
      </w:pPr>
    </w:p>
    <w:p w14:paraId="40A0D582" w14:textId="77777777" w:rsidR="00CD65C2" w:rsidRDefault="00CD65C2">
      <w:pPr>
        <w:pStyle w:val="SemEspaamento"/>
      </w:pPr>
    </w:p>
    <w:p w14:paraId="752BC2CD" w14:textId="77777777" w:rsidR="00CD65C2" w:rsidRDefault="00CD65C2">
      <w:pPr>
        <w:pStyle w:val="SemEspaamento"/>
      </w:pPr>
    </w:p>
    <w:p w14:paraId="2ADD25DD" w14:textId="77777777" w:rsidR="00CD65C2" w:rsidRDefault="00CD65C2">
      <w:pPr>
        <w:pStyle w:val="SemEspaamento"/>
      </w:pPr>
    </w:p>
    <w:p w14:paraId="01025EA3" w14:textId="77777777" w:rsidR="00CD65C2" w:rsidRDefault="00CD65C2">
      <w:pPr>
        <w:pStyle w:val="SemEspaamento"/>
      </w:pPr>
    </w:p>
    <w:p w14:paraId="52F55467" w14:textId="77777777" w:rsidR="00CD65C2" w:rsidRDefault="00CD65C2">
      <w:pPr>
        <w:pStyle w:val="SemEspaamento"/>
      </w:pPr>
    </w:p>
    <w:p w14:paraId="28B3CE4F" w14:textId="77777777" w:rsidR="00CD65C2" w:rsidRDefault="00CD65C2">
      <w:pPr>
        <w:pStyle w:val="SemEspaamento"/>
      </w:pPr>
    </w:p>
    <w:p w14:paraId="14FE784E" w14:textId="77777777" w:rsidR="00CD65C2" w:rsidRDefault="00CD65C2">
      <w:pPr>
        <w:pStyle w:val="SemEspaamento"/>
      </w:pPr>
    </w:p>
    <w:p w14:paraId="015A0661" w14:textId="77777777" w:rsidR="00CD65C2" w:rsidRDefault="00CD65C2">
      <w:pPr>
        <w:pStyle w:val="SemEspaamento"/>
      </w:pPr>
    </w:p>
    <w:p w14:paraId="75B379FF" w14:textId="77777777" w:rsidR="00CD65C2" w:rsidRDefault="00CD65C2">
      <w:pPr>
        <w:pStyle w:val="SemEspaamento"/>
      </w:pPr>
    </w:p>
    <w:p w14:paraId="015C25C6" w14:textId="77777777" w:rsidR="00CD65C2" w:rsidRDefault="00CD65C2">
      <w:pPr>
        <w:pStyle w:val="SemEspaamento"/>
      </w:pPr>
    </w:p>
    <w:p w14:paraId="4721DECB" w14:textId="77777777" w:rsidR="00CD65C2" w:rsidRDefault="00CD65C2">
      <w:pPr>
        <w:pStyle w:val="SemEspaamento"/>
      </w:pPr>
    </w:p>
    <w:p w14:paraId="796CDE9F" w14:textId="77777777" w:rsidR="00CD65C2" w:rsidRDefault="00CD65C2">
      <w:pPr>
        <w:pStyle w:val="SemEspaamento"/>
      </w:pPr>
    </w:p>
    <w:p w14:paraId="60A56D00" w14:textId="77777777" w:rsidR="00CD65C2" w:rsidRDefault="00CD65C2">
      <w:pPr>
        <w:pStyle w:val="SemEspaamento"/>
      </w:pPr>
    </w:p>
    <w:p w14:paraId="455380ED" w14:textId="77777777" w:rsidR="00CD65C2" w:rsidRDefault="00CD65C2">
      <w:pPr>
        <w:pStyle w:val="SemEspaamento"/>
      </w:pPr>
    </w:p>
    <w:p w14:paraId="2F85DB77" w14:textId="77777777" w:rsidR="00CD65C2" w:rsidRDefault="00CD65C2">
      <w:pPr>
        <w:pStyle w:val="SemEspaamento"/>
      </w:pPr>
    </w:p>
    <w:p w14:paraId="3D413621" w14:textId="77777777" w:rsidR="00CD65C2" w:rsidRDefault="00CD65C2">
      <w:pPr>
        <w:pStyle w:val="SemEspaamento"/>
      </w:pPr>
    </w:p>
    <w:p w14:paraId="09C657EC" w14:textId="77777777" w:rsidR="00CD65C2" w:rsidRDefault="00FA41FC">
      <w:pPr>
        <w:pStyle w:val="Ttulo1"/>
        <w:jc w:val="center"/>
        <w:rPr>
          <w:rFonts w:hint="eastAsia"/>
        </w:rPr>
      </w:pPr>
      <w:bookmarkStart w:id="174" w:name="_Toc165537321"/>
      <w:r>
        <w:rPr>
          <w:bCs/>
          <w:iCs/>
        </w:rPr>
        <w:t>Ácido Fólico</w:t>
      </w:r>
      <w:bookmarkEnd w:id="174"/>
    </w:p>
    <w:p w14:paraId="1927BA99" w14:textId="77777777" w:rsidR="00CD65C2" w:rsidRDefault="00FA41FC">
      <w:pPr>
        <w:pStyle w:val="Subtitulocorpo"/>
        <w:rPr>
          <w:rFonts w:hint="eastAsia"/>
        </w:rPr>
      </w:pPr>
      <w:r>
        <w:t>Aumenta os Processos Cognitivos de Crianças as quais as Mães Receberam Ácido Fólico durante a Gestação</w:t>
      </w:r>
    </w:p>
    <w:p w14:paraId="242E4C76" w14:textId="77777777" w:rsidR="00CD65C2" w:rsidRDefault="00CD65C2">
      <w:pPr>
        <w:pStyle w:val="Corpo"/>
        <w:rPr>
          <w:rFonts w:hint="eastAsia"/>
          <w:color w:val="404040" w:themeColor="text1" w:themeTint="BF"/>
          <w:sz w:val="24"/>
        </w:rPr>
      </w:pPr>
    </w:p>
    <w:p w14:paraId="1F380C48" w14:textId="1EFE804D" w:rsidR="00CD65C2" w:rsidRDefault="00FA41FC">
      <w:pPr>
        <w:pStyle w:val="Corpo"/>
        <w:rPr>
          <w:rFonts w:hint="eastAsia"/>
          <w:color w:val="404040" w:themeColor="text1" w:themeTint="BF"/>
          <w:szCs w:val="23"/>
        </w:rPr>
      </w:pPr>
      <w:r>
        <w:rPr>
          <w:color w:val="404040" w:themeColor="text1" w:themeTint="BF"/>
          <w:szCs w:val="23"/>
        </w:rPr>
        <w:t xml:space="preserve">Um estudo conduzido por Mcnulty </w:t>
      </w:r>
      <w:r>
        <w:rPr>
          <w:i/>
          <w:color w:val="404040" w:themeColor="text1" w:themeTint="BF"/>
          <w:szCs w:val="23"/>
        </w:rPr>
        <w:t>et al.</w:t>
      </w:r>
      <w:r>
        <w:rPr>
          <w:color w:val="404040" w:themeColor="text1" w:themeTint="BF"/>
          <w:szCs w:val="23"/>
        </w:rPr>
        <w:t xml:space="preserve"> 2020 avaliou se a suplementação de ácido fólico durante o 2° e o 3° trimestres de gravidez causava efeitos no desempenho cognitivo do feto.</w:t>
      </w:r>
    </w:p>
    <w:p w14:paraId="443BEF96"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2008448" behindDoc="0" locked="0" layoutInCell="1" allowOverlap="1">
                <wp:simplePos x="0" y="0"/>
                <wp:positionH relativeFrom="margin">
                  <wp:posOffset>43815</wp:posOffset>
                </wp:positionH>
                <wp:positionV relativeFrom="paragraph">
                  <wp:posOffset>97155</wp:posOffset>
                </wp:positionV>
                <wp:extent cx="5715000" cy="628650"/>
                <wp:effectExtent l="0" t="0" r="19050" b="19050"/>
                <wp:wrapNone/>
                <wp:docPr id="739657935" name="Caixa de texto 739657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628650"/>
                        </a:xfrm>
                        <a:prstGeom prst="rect">
                          <a:avLst/>
                        </a:prstGeom>
                        <a:solidFill>
                          <a:schemeClr val="bg1">
                            <a:lumMod val="100000"/>
                            <a:lumOff val="0"/>
                          </a:schemeClr>
                        </a:solidFill>
                        <a:ln w="9525">
                          <a:solidFill>
                            <a:srgbClr val="0070C0"/>
                          </a:solidFill>
                          <a:miter lim="800000"/>
                        </a:ln>
                      </wps:spPr>
                      <wps:txbx>
                        <w:txbxContent>
                          <w:p w14:paraId="2C3CD72D" w14:textId="47D84BE3" w:rsidR="00FA41FC" w:rsidRDefault="00FA41FC">
                            <w:pPr>
                              <w:jc w:val="center"/>
                              <w:rPr>
                                <w:rFonts w:ascii="Swis721 Th BT" w:hAnsi="Swis721 Th BT"/>
                                <w:sz w:val="23"/>
                                <w:szCs w:val="23"/>
                              </w:rPr>
                            </w:pPr>
                            <w:r>
                              <w:rPr>
                                <w:rFonts w:ascii="Swis721 Th BT" w:hAnsi="Swis721 Th BT"/>
                                <w:sz w:val="23"/>
                                <w:szCs w:val="23"/>
                              </w:rPr>
                              <w:t>Dessa maneira, 119 grávidas participaram deste estudo clínico, randomizado e placebo-controlado. Elas foram divididas para receberem a seguinte posologia da 14° semana de gestação ante o parto:</w:t>
                            </w:r>
                          </w:p>
                          <w:p w14:paraId="3517A913"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935" o:spid="_x0000_s1252" type="#_x0000_t202" style="position:absolute;left:0;text-align:left;margin-left:3.45pt;margin-top:7.65pt;width:450pt;height:49.5pt;z-index:2520084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" fillcolor="white [3212]" strokecolor="#0070c0">
                <v:textbox>
                  <w:txbxContent>
                    <w:p w14:paraId="2C3CD72D" w14:textId="47D84BE3" w:rsidR="00FA41FC" w:rsidRDefault="00FA41FC">
                      <w:pPr>
                        <w:jc w:val="center"/>
                        <w:rPr>
                          <w:rFonts w:ascii="Swis721 Th BT" w:hAnsi="Swis721 Th BT"/>
                          <w:sz w:val="23"/>
                          <w:szCs w:val="23"/>
                        </w:rPr>
                      </w:pPr>
                      <w:r>
                        <w:rPr>
                          <w:rFonts w:ascii="Swis721 Th BT" w:hAnsi="Swis721 Th BT"/>
                          <w:sz w:val="23"/>
                          <w:szCs w:val="23"/>
                        </w:rPr>
                        <w:t>Dessa maneira, 119 grávidas participaram deste estudo clínico, randomizado e placebo-controlado. Elas foram divididas para receberem a seguinte posologia da 14° semana de gestação ante o parto:</w:t>
                      </w:r>
                    </w:p>
                    <w:p w14:paraId="3517A913"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67BDFB91" w14:textId="77777777" w:rsidR="00CD65C2" w:rsidRDefault="00CD65C2">
      <w:pPr>
        <w:pStyle w:val="Corpo"/>
        <w:rPr>
          <w:rFonts w:hint="eastAsia"/>
          <w:color w:val="404040" w:themeColor="text1" w:themeTint="BF"/>
        </w:rPr>
      </w:pPr>
    </w:p>
    <w:p w14:paraId="7E68D651" w14:textId="77777777" w:rsidR="00CD65C2" w:rsidRDefault="00CD65C2">
      <w:pPr>
        <w:pStyle w:val="Corpo"/>
        <w:rPr>
          <w:rFonts w:hint="eastAsia"/>
          <w:color w:val="404040" w:themeColor="text1" w:themeTint="BF"/>
        </w:rPr>
      </w:pPr>
    </w:p>
    <w:p w14:paraId="16F2F02B"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2010496" behindDoc="0" locked="0" layoutInCell="1" allowOverlap="1">
                <wp:simplePos x="0" y="0"/>
                <wp:positionH relativeFrom="column">
                  <wp:posOffset>4543425</wp:posOffset>
                </wp:positionH>
                <wp:positionV relativeFrom="paragraph">
                  <wp:posOffset>26670</wp:posOffset>
                </wp:positionV>
                <wp:extent cx="226695" cy="138430"/>
                <wp:effectExtent l="0" t="0" r="1905" b="0"/>
                <wp:wrapNone/>
                <wp:docPr id="739657936" name="Triângulo isósceles 7396579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936" o:spid="_x0000_s1026" o:spt="5" type="#_x0000_t5" style="position:absolute;left:0pt;flip:y;margin-left:357.75pt;margin-top:2.1pt;height:10.9pt;width:17.85pt;z-index:252010496;mso-width-relative:page;mso-height-relative:page;" fillcolor="#D9D9D9 [3212]" filled="t" stroked="f" coordsize="21600,21600" o:gfxdata="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I95UtbXAAAACAEAAA8AAAAAAAAAAQAgAAAAIgAAAGRycy9kb3ducmV2LnhtbFBLAQIUABQAAAAI&#10;AIdO4kBBt5OYYAIAALMEAAAOAAAAAAAAAAEAIAAAACYBAABkcnMvZTJvRG9jLnhtbFBLBQYAAAAA&#10;BgAGAFkBAAD4BQ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2007424" behindDoc="0" locked="0" layoutInCell="1" allowOverlap="1">
                <wp:simplePos x="0" y="0"/>
                <wp:positionH relativeFrom="column">
                  <wp:posOffset>986790</wp:posOffset>
                </wp:positionH>
                <wp:positionV relativeFrom="paragraph">
                  <wp:posOffset>23495</wp:posOffset>
                </wp:positionV>
                <wp:extent cx="226695" cy="138430"/>
                <wp:effectExtent l="0" t="0" r="1905" b="0"/>
                <wp:wrapNone/>
                <wp:docPr id="739657937" name="Triângulo isósceles 739657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937" o:spid="_x0000_s1026" o:spt="5" type="#_x0000_t5" style="position:absolute;left:0pt;flip:y;margin-left:77.7pt;margin-top:1.85pt;height:10.9pt;width:17.85pt;z-index:252007424;mso-width-relative:page;mso-height-relative:page;" fillcolor="#D9D9D9 [3212]" filled="t" stroked="f" coordsize="21600,21600" o:gfxdata="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gZ4bYtYAAAAIAQAADwAAAAAAAAABACAAAAAiAAAAZHJzL2Rvd25yZXYueG1sUEsBAhQAFAAAAAgA&#10;h07iQOnma95gAgAAswQAAA4AAAAAAAAAAQAgAAAAJQEAAGRycy9lMm9Eb2MueG1sUEsFBgAAAAAG&#10;AAYAWQEAAPcFAAAAAA==&#10;" adj="10800">
                <v:fill on="t" focussize="0,0"/>
                <v:stroke on="f"/>
                <v:imagedata o:title=""/>
                <o:lock v:ext="edit" aspectratio="f"/>
              </v:shape>
            </w:pict>
          </mc:Fallback>
        </mc:AlternateContent>
      </w:r>
    </w:p>
    <w:p w14:paraId="00F45626"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2009472" behindDoc="0" locked="0" layoutInCell="1" allowOverlap="1">
                <wp:simplePos x="0" y="0"/>
                <wp:positionH relativeFrom="column">
                  <wp:posOffset>3587115</wp:posOffset>
                </wp:positionH>
                <wp:positionV relativeFrom="paragraph">
                  <wp:posOffset>76200</wp:posOffset>
                </wp:positionV>
                <wp:extent cx="2171700" cy="819150"/>
                <wp:effectExtent l="0" t="0" r="19050" b="19050"/>
                <wp:wrapNone/>
                <wp:docPr id="739657938" name="Caixa de texto 739657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819150"/>
                        </a:xfrm>
                        <a:prstGeom prst="rect">
                          <a:avLst/>
                        </a:prstGeom>
                        <a:solidFill>
                          <a:srgbClr val="0070C0"/>
                        </a:solidFill>
                        <a:ln w="9525">
                          <a:solidFill>
                            <a:srgbClr val="0070C0"/>
                          </a:solidFill>
                          <a:miter lim="800000"/>
                        </a:ln>
                      </wps:spPr>
                      <wps:txbx>
                        <w:txbxContent>
                          <w:p w14:paraId="3B35DB64"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p>
                          <w:p w14:paraId="1C2E6A91"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3BBAEAFB"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739657938" o:spid="_x0000_s1253" type="#_x0000_t202" style="position:absolute;left:0;text-align:left;margin-left:282.45pt;margin-top:6pt;width:171pt;height:64.5pt;z-index:252009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" fillcolor="#0070c0" strokecolor="#0070c0">
                <v:textbox>
                  <w:txbxContent>
                    <w:p w14:paraId="3B35DB64"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p>
                    <w:p w14:paraId="1C2E6A91"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3BBAEAFB"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2006400" behindDoc="0" locked="0" layoutInCell="1" allowOverlap="1">
                <wp:simplePos x="0" y="0"/>
                <wp:positionH relativeFrom="column">
                  <wp:posOffset>43815</wp:posOffset>
                </wp:positionH>
                <wp:positionV relativeFrom="paragraph">
                  <wp:posOffset>76200</wp:posOffset>
                </wp:positionV>
                <wp:extent cx="2171700" cy="819150"/>
                <wp:effectExtent l="0" t="0" r="19050" b="19050"/>
                <wp:wrapNone/>
                <wp:docPr id="739657939" name="Caixa de texto 7396579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819150"/>
                        </a:xfrm>
                        <a:prstGeom prst="rect">
                          <a:avLst/>
                        </a:prstGeom>
                        <a:solidFill>
                          <a:srgbClr val="0070C0"/>
                        </a:solidFill>
                        <a:ln w="9525">
                          <a:solidFill>
                            <a:srgbClr val="0070C0"/>
                          </a:solidFill>
                          <a:miter lim="800000"/>
                        </a:ln>
                      </wps:spPr>
                      <wps:txbx>
                        <w:txbxContent>
                          <w:p w14:paraId="6D05C65E"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Ácido fólico 400 mcg</w:t>
                            </w:r>
                          </w:p>
                          <w:p w14:paraId="11980328"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0FBDC484"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739657939" o:spid="_x0000_s1254" type="#_x0000_t202" style="position:absolute;left:0;text-align:left;margin-left:3.45pt;margin-top:6pt;width:171pt;height:64.5pt;z-index:252006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" fillcolor="#0070c0" strokecolor="#0070c0">
                <v:textbox>
                  <w:txbxContent>
                    <w:p w14:paraId="6D05C65E"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Ácido fólico 400 mcg</w:t>
                      </w:r>
                    </w:p>
                    <w:p w14:paraId="11980328"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0FBDC484"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p>
    <w:p w14:paraId="7E28AB28" w14:textId="77777777" w:rsidR="00CD65C2" w:rsidRDefault="00CD65C2">
      <w:pPr>
        <w:pStyle w:val="Corpo"/>
        <w:rPr>
          <w:rFonts w:hint="eastAsia"/>
          <w:color w:val="404040" w:themeColor="text1" w:themeTint="BF"/>
        </w:rPr>
      </w:pPr>
    </w:p>
    <w:p w14:paraId="793B0800" w14:textId="77777777" w:rsidR="00CD65C2" w:rsidRDefault="00CD65C2">
      <w:pPr>
        <w:pStyle w:val="Corpo"/>
        <w:rPr>
          <w:rFonts w:hint="eastAsia"/>
          <w:color w:val="404040" w:themeColor="text1" w:themeTint="BF"/>
        </w:rPr>
      </w:pPr>
    </w:p>
    <w:p w14:paraId="68AEEC8C" w14:textId="77777777" w:rsidR="00CD65C2" w:rsidRDefault="00CD65C2">
      <w:pPr>
        <w:pStyle w:val="Corpo"/>
        <w:rPr>
          <w:rFonts w:hint="eastAsia"/>
          <w:color w:val="404040" w:themeColor="text1" w:themeTint="BF"/>
        </w:rPr>
      </w:pPr>
    </w:p>
    <w:p w14:paraId="19B59D24" w14:textId="77777777" w:rsidR="00CD65C2" w:rsidRDefault="00CD65C2">
      <w:pPr>
        <w:pStyle w:val="Corpo"/>
        <w:rPr>
          <w:rFonts w:hint="eastAsia"/>
          <w:color w:val="404040" w:themeColor="text1" w:themeTint="BF"/>
        </w:rPr>
      </w:pPr>
    </w:p>
    <w:p w14:paraId="675A1F3B" w14:textId="77777777" w:rsidR="00CD65C2" w:rsidRDefault="00FA41FC" w:rsidP="00D1428E">
      <w:pPr>
        <w:pStyle w:val="Corpo"/>
        <w:numPr>
          <w:ilvl w:val="0"/>
          <w:numId w:val="72"/>
        </w:numPr>
        <w:rPr>
          <w:rFonts w:hint="eastAsia"/>
          <w:color w:val="404040" w:themeColor="text1" w:themeTint="BF"/>
          <w:sz w:val="20"/>
          <w:szCs w:val="20"/>
          <w:lang w:eastAsia="pt-BR"/>
        </w:rPr>
      </w:pPr>
      <w:r>
        <w:rPr>
          <w:color w:val="404040" w:themeColor="text1" w:themeTint="BF"/>
          <w:sz w:val="20"/>
          <w:szCs w:val="20"/>
          <w:lang w:eastAsia="pt-BR"/>
        </w:rPr>
        <w:t>Foram avaliados o desempenho cognitivo de 70 crianças até os 7 anos de idade e usou-se para isso o</w:t>
      </w:r>
      <w:r>
        <w:rPr>
          <w:i/>
          <w:color w:val="404040" w:themeColor="text1" w:themeTint="BF"/>
          <w:sz w:val="20"/>
          <w:szCs w:val="20"/>
          <w:lang w:eastAsia="pt-BR"/>
        </w:rPr>
        <w:t xml:space="preserve"> Wechsler Preschool and Primary Scale of Intelligence</w:t>
      </w:r>
      <w:r>
        <w:rPr>
          <w:color w:val="404040" w:themeColor="text1" w:themeTint="BF"/>
          <w:sz w:val="20"/>
          <w:szCs w:val="20"/>
          <w:lang w:eastAsia="pt-BR"/>
        </w:rPr>
        <w:t xml:space="preserve"> (WPPSI-III). Também foram avaliados o desempenho cognitivo de 39 crianças até os 3 anos e para isso usou-se o </w:t>
      </w:r>
      <w:r>
        <w:rPr>
          <w:i/>
          <w:color w:val="404040" w:themeColor="text1" w:themeTint="BF"/>
          <w:sz w:val="20"/>
          <w:szCs w:val="20"/>
          <w:lang w:eastAsia="pt-BR"/>
        </w:rPr>
        <w:t>Bayley's Scale of Infant and Toddler Development</w:t>
      </w:r>
      <w:r>
        <w:rPr>
          <w:color w:val="404040" w:themeColor="text1" w:themeTint="BF"/>
          <w:sz w:val="20"/>
          <w:szCs w:val="20"/>
          <w:lang w:eastAsia="pt-BR"/>
        </w:rPr>
        <w:t xml:space="preserve"> (BSITD-III).</w:t>
      </w:r>
    </w:p>
    <w:p w14:paraId="076CFA45" w14:textId="77777777" w:rsidR="00CD65C2" w:rsidRDefault="00CD65C2">
      <w:pPr>
        <w:pStyle w:val="Corpo"/>
        <w:ind w:left="360"/>
        <w:rPr>
          <w:rFonts w:hint="eastAsia"/>
          <w:color w:val="404040" w:themeColor="text1" w:themeTint="BF"/>
        </w:rPr>
      </w:pPr>
    </w:p>
    <w:p w14:paraId="7AC9E8C1" w14:textId="77777777" w:rsidR="00CD65C2" w:rsidRDefault="00CD65C2">
      <w:pPr>
        <w:pStyle w:val="Corpo"/>
        <w:rPr>
          <w:rFonts w:hint="eastAsia"/>
          <w:color w:val="404040" w:themeColor="text1" w:themeTint="BF"/>
        </w:rPr>
      </w:pPr>
    </w:p>
    <w:p w14:paraId="2EF31D17"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3FAFC144" w14:textId="77777777" w:rsidR="00CD65C2" w:rsidRDefault="00CD65C2">
      <w:pPr>
        <w:pStyle w:val="Corpo"/>
        <w:rPr>
          <w:rFonts w:hint="eastAsia"/>
          <w:color w:val="404040" w:themeColor="text1" w:themeTint="BF"/>
          <w:sz w:val="16"/>
          <w:szCs w:val="16"/>
        </w:rPr>
      </w:pPr>
    </w:p>
    <w:p w14:paraId="5496133C" w14:textId="77777777" w:rsidR="00CD65C2" w:rsidRDefault="00FA41FC" w:rsidP="00D1428E">
      <w:pPr>
        <w:pStyle w:val="Corpo"/>
        <w:numPr>
          <w:ilvl w:val="0"/>
          <w:numId w:val="74"/>
        </w:numPr>
        <w:spacing w:after="120"/>
        <w:rPr>
          <w:rFonts w:hint="eastAsia"/>
          <w:color w:val="404040" w:themeColor="text1" w:themeTint="BF"/>
          <w:szCs w:val="23"/>
        </w:rPr>
      </w:pPr>
      <w:r>
        <w:rPr>
          <w:color w:val="404040" w:themeColor="text1" w:themeTint="BF"/>
          <w:szCs w:val="23"/>
        </w:rPr>
        <w:t xml:space="preserve">Aos 7 anos, os filhos de mães tratadas com ácido fólico tiveram uma pontuação significativamente maior que o grupo placebo no raciocínio por palavras: média de pontuação 13,3 no grupo 1 </w:t>
      </w:r>
      <w:r w:rsidRPr="00D1428E">
        <w:rPr>
          <w:rFonts w:hint="eastAsia"/>
          <w:i/>
          <w:iCs/>
          <w:color w:val="404040" w:themeColor="text1" w:themeTint="BF"/>
          <w:szCs w:val="23"/>
        </w:rPr>
        <w:t>vs</w:t>
      </w:r>
      <w:r>
        <w:rPr>
          <w:color w:val="404040" w:themeColor="text1" w:themeTint="BF"/>
          <w:szCs w:val="23"/>
        </w:rPr>
        <w:t>. 11,0 no grupo placebo (p = 0,027);</w:t>
      </w:r>
    </w:p>
    <w:p w14:paraId="1C6CD438" w14:textId="77777777" w:rsidR="00CD65C2" w:rsidRDefault="00FA41FC" w:rsidP="00D1428E">
      <w:pPr>
        <w:pStyle w:val="Corpo"/>
        <w:numPr>
          <w:ilvl w:val="0"/>
          <w:numId w:val="74"/>
        </w:numPr>
        <w:spacing w:after="120"/>
        <w:rPr>
          <w:rFonts w:hint="eastAsia"/>
          <w:color w:val="404040" w:themeColor="text1" w:themeTint="BF"/>
          <w:szCs w:val="23"/>
        </w:rPr>
      </w:pPr>
      <w:r>
        <w:rPr>
          <w:color w:val="404040" w:themeColor="text1" w:themeTint="BF"/>
          <w:szCs w:val="23"/>
        </w:rPr>
        <w:t xml:space="preserve">Aos 3 anos, os filhos de mães tratadas com ácido fólico apresentaram uma pontuação superior nas medidas cognitivas 10,3 </w:t>
      </w:r>
      <w:r w:rsidRPr="00D1428E">
        <w:rPr>
          <w:rFonts w:hint="eastAsia"/>
          <w:i/>
          <w:iCs/>
          <w:color w:val="404040" w:themeColor="text1" w:themeTint="BF"/>
          <w:szCs w:val="23"/>
        </w:rPr>
        <w:t>vs</w:t>
      </w:r>
      <w:r>
        <w:rPr>
          <w:color w:val="404040" w:themeColor="text1" w:themeTint="BF"/>
          <w:szCs w:val="23"/>
        </w:rPr>
        <w:t>. 9,5 no grupo placebo (p = 0,040);</w:t>
      </w:r>
    </w:p>
    <w:p w14:paraId="16161FA5" w14:textId="77777777" w:rsidR="00CD65C2" w:rsidRDefault="00FA41FC" w:rsidP="00D1428E">
      <w:pPr>
        <w:pStyle w:val="Corpo"/>
        <w:numPr>
          <w:ilvl w:val="0"/>
          <w:numId w:val="74"/>
        </w:numPr>
        <w:spacing w:after="120"/>
        <w:rPr>
          <w:rFonts w:hint="eastAsia"/>
          <w:color w:val="404040" w:themeColor="text1" w:themeTint="BF"/>
          <w:szCs w:val="23"/>
        </w:rPr>
      </w:pPr>
      <w:r>
        <w:rPr>
          <w:color w:val="404040" w:themeColor="text1" w:themeTint="BF"/>
          <w:szCs w:val="23"/>
        </w:rPr>
        <w:t xml:space="preserve">Uma proporção maior de crianças de mães tratadas com ácido fólico, em comparação com o placebo, apresentaram escores cognitivos acima dos valores medianos de 10 (meninos e meninas) para o </w:t>
      </w:r>
      <w:r>
        <w:rPr>
          <w:color w:val="404040" w:themeColor="text1" w:themeTint="BF"/>
          <w:szCs w:val="23"/>
          <w:lang w:val="pt-PT"/>
        </w:rPr>
        <w:t>BSITD-III e 24,5 (meninas) e 21,5 (meninos) para o WPPSI-III).</w:t>
      </w:r>
    </w:p>
    <w:p w14:paraId="69C8B25D" w14:textId="77777777" w:rsidR="00CD65C2" w:rsidRDefault="00CD65C2">
      <w:pPr>
        <w:pStyle w:val="Corpo"/>
        <w:spacing w:after="120"/>
        <w:ind w:left="360"/>
        <w:rPr>
          <w:rFonts w:hint="eastAsia"/>
          <w:color w:val="404040" w:themeColor="text1" w:themeTint="BF"/>
          <w:sz w:val="24"/>
        </w:rPr>
      </w:pPr>
    </w:p>
    <w:p w14:paraId="536F872E"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78A1D10A" w14:textId="77777777" w:rsidR="00CD65C2" w:rsidRDefault="00CD65C2">
      <w:pPr>
        <w:pStyle w:val="Corpo"/>
        <w:rPr>
          <w:rFonts w:hint="eastAsia"/>
          <w:b/>
          <w:color w:val="339966"/>
          <w:sz w:val="16"/>
          <w:szCs w:val="16"/>
          <w14:textFill>
            <w14:solidFill>
              <w14:srgbClr w14:val="339966">
                <w14:lumMod w14:val="75000"/>
                <w14:lumOff w14:val="25000"/>
              </w14:srgbClr>
            </w14:solidFill>
          </w14:textFill>
        </w:rPr>
      </w:pPr>
    </w:p>
    <w:p w14:paraId="72DD6AF6" w14:textId="47580A6C" w:rsidR="00CD65C2" w:rsidRDefault="00FA41FC">
      <w:pPr>
        <w:jc w:val="center"/>
        <w:rPr>
          <w:rFonts w:ascii="Swis721 Th BT" w:hAnsi="Swis721 Th BT"/>
          <w:b/>
          <w:i/>
          <w:sz w:val="23"/>
          <w:szCs w:val="23"/>
        </w:rPr>
      </w:pPr>
      <w:r>
        <w:rPr>
          <w:rFonts w:ascii="Swis721 Th BT" w:hAnsi="Swis721 Th BT"/>
          <w:b/>
          <w:i/>
          <w:sz w:val="23"/>
          <w:szCs w:val="23"/>
        </w:rPr>
        <w:t xml:space="preserve">A suplementação continuada de ácido fólico na gravidez, além do período inicial recomendado para prevenir as alteração no tubo neural, pode ter efeitos benéficos no desenvolvimento cognitvo da criança.    </w:t>
      </w:r>
    </w:p>
    <w:p w14:paraId="335D42CC" w14:textId="77777777" w:rsidR="00CD65C2" w:rsidRDefault="00FA41FC">
      <w:pPr>
        <w:pStyle w:val="Ttulo1"/>
        <w:jc w:val="center"/>
        <w:rPr>
          <w:rFonts w:hint="eastAsia"/>
        </w:rPr>
      </w:pPr>
      <w:bookmarkStart w:id="175" w:name="_Toc165537322"/>
      <w:r>
        <w:rPr>
          <w:rStyle w:val="Ttulo1Char"/>
          <w:b/>
        </w:rPr>
        <w:t>Formulário</w:t>
      </w:r>
      <w:bookmarkEnd w:id="175"/>
    </w:p>
    <w:p w14:paraId="1BD86773" w14:textId="77777777" w:rsidR="00CD65C2" w:rsidRDefault="00CD65C2">
      <w:pPr>
        <w:pStyle w:val="Corpo"/>
        <w:rPr>
          <w:rFonts w:hint="eastAsia"/>
          <w:b/>
          <w:i/>
          <w:color w:val="404040" w:themeColor="text1" w:themeTint="BF"/>
        </w:rPr>
      </w:pPr>
    </w:p>
    <w:p w14:paraId="58056A5D" w14:textId="77777777" w:rsidR="00CD65C2" w:rsidRDefault="00CD65C2">
      <w:pPr>
        <w:pStyle w:val="Corpo"/>
        <w:rPr>
          <w:rFonts w:hint="eastAsia"/>
          <w:b/>
          <w:i/>
          <w:color w:val="404040" w:themeColor="text1" w:themeTint="BF"/>
        </w:rPr>
      </w:pPr>
    </w:p>
    <w:p w14:paraId="62CE457A" w14:textId="77777777" w:rsidR="00CD65C2" w:rsidRDefault="00FA41FC">
      <w:pPr>
        <w:pStyle w:val="Corpo"/>
        <w:rPr>
          <w:rFonts w:hint="eastAsia"/>
          <w:b/>
          <w:i/>
          <w:color w:val="404040" w:themeColor="text1" w:themeTint="BF"/>
          <w:sz w:val="24"/>
        </w:rPr>
      </w:pPr>
      <w:r>
        <w:rPr>
          <w:b/>
          <w:i/>
          <w:color w:val="404040" w:themeColor="text1" w:themeTint="BF"/>
          <w:sz w:val="24"/>
        </w:rPr>
        <w:t>Ácido Fólico em Grávidas Melhora a Função Cognitiva da Criança</w:t>
      </w:r>
    </w:p>
    <w:p w14:paraId="1E4C5567"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35B80519"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71752276" w14:textId="77777777" w:rsidR="00CD65C2" w:rsidRDefault="00FA41FC">
            <w:pPr>
              <w:pStyle w:val="Corpo"/>
              <w:jc w:val="center"/>
              <w:rPr>
                <w:rFonts w:hint="eastAsia"/>
                <w:b/>
                <w:color w:val="FFFFFF" w:themeColor="background1"/>
              </w:rPr>
            </w:pPr>
            <w:r>
              <w:rPr>
                <w:b/>
                <w:color w:val="FFFFFF" w:themeColor="background1"/>
                <w:sz w:val="22"/>
              </w:rPr>
              <w:t>Cápsulas de Ácido Fólico</w:t>
            </w:r>
          </w:p>
        </w:tc>
      </w:tr>
      <w:tr w:rsidR="00CD65C2" w14:paraId="2BE5C98B"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FA87036" w14:textId="77777777" w:rsidR="00CD65C2" w:rsidRDefault="00FA41FC">
            <w:pPr>
              <w:pStyle w:val="Corpo"/>
              <w:rPr>
                <w:rFonts w:hint="eastAsia"/>
                <w:color w:val="404040" w:themeColor="text1" w:themeTint="BF"/>
              </w:rPr>
            </w:pPr>
            <w:r>
              <w:rPr>
                <w:color w:val="404040" w:themeColor="text1" w:themeTint="BF"/>
              </w:rPr>
              <w:t>Ácido fólico...................................400 mcg</w:t>
            </w:r>
          </w:p>
        </w:tc>
      </w:tr>
      <w:tr w:rsidR="00CD65C2" w14:paraId="09CBBDFD"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971B223" w14:textId="1794AB00" w:rsidR="00CD65C2" w:rsidRDefault="00FA41FC">
            <w:pPr>
              <w:pStyle w:val="Corpo"/>
              <w:rPr>
                <w:rFonts w:hint="eastAsia"/>
                <w:color w:val="404040" w:themeColor="text1" w:themeTint="BF"/>
              </w:rPr>
            </w:pPr>
            <w:r>
              <w:rPr>
                <w:color w:val="404040" w:themeColor="text1" w:themeTint="BF"/>
              </w:rPr>
              <w:t>Excipiente q.s.p. ........................1 Cápsula</w:t>
            </w:r>
          </w:p>
        </w:tc>
      </w:tr>
    </w:tbl>
    <w:p w14:paraId="68443B25" w14:textId="77777777" w:rsidR="00CD65C2" w:rsidRDefault="00FA41FC">
      <w:pPr>
        <w:pStyle w:val="Corpo"/>
        <w:ind w:right="4960"/>
        <w:jc w:val="center"/>
        <w:rPr>
          <w:rFonts w:hint="eastAsia"/>
          <w:color w:val="404040" w:themeColor="text1" w:themeTint="BF"/>
          <w:sz w:val="22"/>
          <w:szCs w:val="22"/>
        </w:rPr>
      </w:pPr>
      <w:r>
        <w:rPr>
          <w:color w:val="404040" w:themeColor="text1" w:themeTint="BF"/>
          <w:sz w:val="22"/>
          <w:szCs w:val="22"/>
        </w:rPr>
        <w:t>Administrar 1 cápsula ao dia ou conforme orientação médica.</w:t>
      </w:r>
    </w:p>
    <w:p w14:paraId="1C9DE90A" w14:textId="77777777" w:rsidR="00CD65C2" w:rsidRDefault="00CD65C2">
      <w:pPr>
        <w:pStyle w:val="Corpo"/>
        <w:spacing w:line="276" w:lineRule="auto"/>
        <w:rPr>
          <w:rFonts w:hint="eastAsia"/>
          <w:b/>
          <w:color w:val="404040" w:themeColor="text1" w:themeTint="BF"/>
        </w:rPr>
      </w:pPr>
    </w:p>
    <w:p w14:paraId="7101DC01" w14:textId="77777777" w:rsidR="00CD65C2" w:rsidRDefault="00CD65C2">
      <w:pPr>
        <w:pStyle w:val="SemEspaamento"/>
      </w:pPr>
    </w:p>
    <w:p w14:paraId="6F61F51E" w14:textId="77777777" w:rsidR="00CD65C2" w:rsidRDefault="00CD65C2">
      <w:pPr>
        <w:pStyle w:val="SemEspaamento"/>
      </w:pPr>
    </w:p>
    <w:p w14:paraId="1C056953" w14:textId="77777777" w:rsidR="00CD65C2" w:rsidRDefault="00CD65C2">
      <w:pPr>
        <w:pStyle w:val="SemEspaamento"/>
      </w:pPr>
    </w:p>
    <w:p w14:paraId="16A65E83" w14:textId="77777777" w:rsidR="00CD65C2" w:rsidRDefault="00CD65C2">
      <w:pPr>
        <w:pStyle w:val="SemEspaamento"/>
      </w:pPr>
    </w:p>
    <w:p w14:paraId="07847467" w14:textId="77777777" w:rsidR="00CD65C2" w:rsidRDefault="00CD65C2">
      <w:pPr>
        <w:pStyle w:val="SemEspaamento"/>
      </w:pPr>
    </w:p>
    <w:p w14:paraId="7F72385B" w14:textId="77777777" w:rsidR="00CD65C2" w:rsidRDefault="00CD65C2">
      <w:pPr>
        <w:pStyle w:val="SemEspaamento"/>
      </w:pPr>
    </w:p>
    <w:p w14:paraId="5BE8E9F3" w14:textId="77777777" w:rsidR="00CD65C2" w:rsidRDefault="00CD65C2">
      <w:pPr>
        <w:pStyle w:val="SemEspaamento"/>
      </w:pPr>
    </w:p>
    <w:p w14:paraId="116408E4" w14:textId="77777777" w:rsidR="00CD65C2" w:rsidRDefault="00CD65C2">
      <w:pPr>
        <w:pStyle w:val="SemEspaamento"/>
      </w:pPr>
    </w:p>
    <w:p w14:paraId="45B5BEBC" w14:textId="77777777" w:rsidR="00CD65C2" w:rsidRDefault="00CD65C2">
      <w:pPr>
        <w:pStyle w:val="SemEspaamento"/>
      </w:pPr>
    </w:p>
    <w:p w14:paraId="68631D11" w14:textId="77777777" w:rsidR="00CD65C2" w:rsidRDefault="00CD65C2">
      <w:pPr>
        <w:pStyle w:val="SemEspaamento"/>
      </w:pPr>
    </w:p>
    <w:p w14:paraId="3D5F0F29" w14:textId="77777777" w:rsidR="00CD65C2" w:rsidRDefault="00CD65C2">
      <w:pPr>
        <w:pStyle w:val="SemEspaamento"/>
      </w:pPr>
    </w:p>
    <w:p w14:paraId="02D566A6" w14:textId="77777777" w:rsidR="00CD65C2" w:rsidRDefault="00CD65C2">
      <w:pPr>
        <w:pStyle w:val="SemEspaamento"/>
      </w:pPr>
    </w:p>
    <w:p w14:paraId="4FCF9E1C" w14:textId="77777777" w:rsidR="00CD65C2" w:rsidRDefault="00CD65C2">
      <w:pPr>
        <w:pStyle w:val="SemEspaamento"/>
      </w:pPr>
    </w:p>
    <w:p w14:paraId="6AF16DAA" w14:textId="77777777" w:rsidR="00CD65C2" w:rsidRDefault="00CD65C2">
      <w:pPr>
        <w:pStyle w:val="SemEspaamento"/>
      </w:pPr>
    </w:p>
    <w:p w14:paraId="4B090D44" w14:textId="77777777" w:rsidR="00CD65C2" w:rsidRDefault="00CD65C2">
      <w:pPr>
        <w:pStyle w:val="SemEspaamento"/>
      </w:pPr>
    </w:p>
    <w:p w14:paraId="354EC2F2" w14:textId="77777777" w:rsidR="00CD65C2" w:rsidRDefault="00CD65C2">
      <w:pPr>
        <w:pStyle w:val="SemEspaamento"/>
      </w:pPr>
    </w:p>
    <w:p w14:paraId="29997E34" w14:textId="77777777" w:rsidR="00CD65C2" w:rsidRDefault="00CD65C2">
      <w:pPr>
        <w:pStyle w:val="SemEspaamento"/>
      </w:pPr>
    </w:p>
    <w:p w14:paraId="008B64E4" w14:textId="77777777" w:rsidR="00CD65C2" w:rsidRDefault="00CD65C2">
      <w:pPr>
        <w:pStyle w:val="SemEspaamento"/>
      </w:pPr>
    </w:p>
    <w:p w14:paraId="7EAA23B0" w14:textId="77777777" w:rsidR="00CD65C2" w:rsidRDefault="00CD65C2">
      <w:pPr>
        <w:pStyle w:val="SemEspaamento"/>
      </w:pPr>
    </w:p>
    <w:p w14:paraId="6028253A" w14:textId="77777777" w:rsidR="00CD65C2" w:rsidRDefault="00CD65C2">
      <w:pPr>
        <w:pStyle w:val="SemEspaamento"/>
      </w:pPr>
    </w:p>
    <w:p w14:paraId="7F29050C" w14:textId="77777777" w:rsidR="00CD65C2" w:rsidRDefault="00CD65C2">
      <w:pPr>
        <w:pStyle w:val="SemEspaamento"/>
      </w:pPr>
    </w:p>
    <w:p w14:paraId="63B39B89" w14:textId="77777777" w:rsidR="00CD65C2" w:rsidRDefault="00CD65C2">
      <w:pPr>
        <w:pStyle w:val="SemEspaamento"/>
      </w:pPr>
    </w:p>
    <w:p w14:paraId="7C62D279" w14:textId="77777777" w:rsidR="00CD65C2" w:rsidRDefault="00CD65C2">
      <w:pPr>
        <w:pStyle w:val="SemEspaamento"/>
      </w:pPr>
    </w:p>
    <w:p w14:paraId="763167E3" w14:textId="77777777" w:rsidR="00CD65C2" w:rsidRDefault="00CD65C2">
      <w:pPr>
        <w:pStyle w:val="SemEspaamento"/>
      </w:pPr>
    </w:p>
    <w:p w14:paraId="606B5A16" w14:textId="77777777" w:rsidR="00CD65C2" w:rsidRDefault="00CD65C2">
      <w:pPr>
        <w:pStyle w:val="SemEspaamento"/>
      </w:pPr>
    </w:p>
    <w:p w14:paraId="116BEA1E" w14:textId="77777777" w:rsidR="00CD65C2" w:rsidRDefault="00CD65C2">
      <w:pPr>
        <w:pStyle w:val="SemEspaamento"/>
      </w:pPr>
    </w:p>
    <w:p w14:paraId="7401387E" w14:textId="77777777" w:rsidR="00CD65C2" w:rsidRDefault="00CD65C2">
      <w:pPr>
        <w:pStyle w:val="SemEspaamento"/>
      </w:pPr>
    </w:p>
    <w:p w14:paraId="6DE1316E" w14:textId="77777777" w:rsidR="00CD65C2" w:rsidRDefault="00FA41FC">
      <w:pPr>
        <w:pStyle w:val="Ttulo1"/>
        <w:jc w:val="center"/>
        <w:rPr>
          <w:rFonts w:hint="eastAsia"/>
        </w:rPr>
      </w:pPr>
      <w:bookmarkStart w:id="176" w:name="_Toc165537323"/>
      <w:r>
        <w:rPr>
          <w:bCs/>
          <w:iCs/>
        </w:rPr>
        <w:t>Vitamina D</w:t>
      </w:r>
      <w:bookmarkEnd w:id="176"/>
    </w:p>
    <w:p w14:paraId="73324C4F" w14:textId="77777777" w:rsidR="00CD65C2" w:rsidRDefault="00FA41FC">
      <w:pPr>
        <w:pStyle w:val="Subtitulocorpo"/>
        <w:rPr>
          <w:rFonts w:hint="eastAsia"/>
          <w:szCs w:val="40"/>
        </w:rPr>
      </w:pPr>
      <w:r>
        <w:t>Previne o Aparecimento do Diabetes Gestacional e Melhora o Metabolismo da Glicose</w:t>
      </w:r>
    </w:p>
    <w:p w14:paraId="6BA65C92" w14:textId="77777777" w:rsidR="00CD65C2" w:rsidRDefault="00CD65C2">
      <w:pPr>
        <w:pStyle w:val="Corpo"/>
        <w:spacing w:after="120"/>
        <w:jc w:val="center"/>
        <w:rPr>
          <w:rFonts w:hint="eastAsia"/>
          <w:color w:val="404040" w:themeColor="text1" w:themeTint="BF"/>
          <w:sz w:val="24"/>
        </w:rPr>
      </w:pPr>
    </w:p>
    <w:p w14:paraId="683A4034" w14:textId="77777777" w:rsidR="00CD65C2" w:rsidRDefault="00CD65C2">
      <w:pPr>
        <w:pStyle w:val="Corpo"/>
        <w:rPr>
          <w:rFonts w:hint="eastAsia"/>
          <w:color w:val="404040" w:themeColor="text1" w:themeTint="BF"/>
          <w:sz w:val="24"/>
        </w:rPr>
      </w:pPr>
    </w:p>
    <w:p w14:paraId="1DBDEBC6" w14:textId="3D70E9B4" w:rsidR="00CD65C2" w:rsidRDefault="00FA41FC">
      <w:pPr>
        <w:pStyle w:val="Corpo"/>
        <w:rPr>
          <w:rFonts w:hint="eastAsia"/>
          <w:color w:val="404040" w:themeColor="text1" w:themeTint="BF"/>
          <w:szCs w:val="23"/>
        </w:rPr>
      </w:pPr>
      <w:r>
        <w:rPr>
          <w:color w:val="404040" w:themeColor="text1" w:themeTint="BF"/>
          <w:szCs w:val="23"/>
        </w:rPr>
        <w:t>O objetivo deste estudo clínico foi avaliar os efeitos da suplementação da vitamina D em pacientes com diabetes mellitus gestacional e também determinar a ação dessa vitamina no metabolismo da glicose (</w:t>
      </w:r>
      <w:r>
        <w:rPr>
          <w:color w:val="404040" w:themeColor="text1" w:themeTint="BF"/>
        </w:rPr>
        <w:t xml:space="preserve">YIN </w:t>
      </w:r>
      <w:r>
        <w:rPr>
          <w:i/>
          <w:color w:val="404040" w:themeColor="text1" w:themeTint="BF"/>
        </w:rPr>
        <w:t xml:space="preserve">et al., </w:t>
      </w:r>
      <w:r>
        <w:rPr>
          <w:color w:val="404040" w:themeColor="text1" w:themeTint="BF"/>
        </w:rPr>
        <w:t>2020).</w:t>
      </w:r>
    </w:p>
    <w:p w14:paraId="1A0ADF74"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991040" behindDoc="0" locked="0" layoutInCell="1" allowOverlap="1">
                <wp:simplePos x="0" y="0"/>
                <wp:positionH relativeFrom="margin">
                  <wp:posOffset>43815</wp:posOffset>
                </wp:positionH>
                <wp:positionV relativeFrom="paragraph">
                  <wp:posOffset>91440</wp:posOffset>
                </wp:positionV>
                <wp:extent cx="5715000" cy="704850"/>
                <wp:effectExtent l="0" t="0" r="19050" b="19050"/>
                <wp:wrapNone/>
                <wp:docPr id="739657914" name="Caixa de texto 739657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704850"/>
                        </a:xfrm>
                        <a:prstGeom prst="rect">
                          <a:avLst/>
                        </a:prstGeom>
                        <a:solidFill>
                          <a:schemeClr val="bg1">
                            <a:lumMod val="100000"/>
                            <a:lumOff val="0"/>
                          </a:schemeClr>
                        </a:solidFill>
                        <a:ln w="9525">
                          <a:solidFill>
                            <a:srgbClr val="0070C0"/>
                          </a:solidFill>
                          <a:miter lim="800000"/>
                        </a:ln>
                      </wps:spPr>
                      <wps:txbx>
                        <w:txbxContent>
                          <w:p w14:paraId="3B525D0D" w14:textId="77777777" w:rsidR="00FA41FC" w:rsidRDefault="00FA41FC">
                            <w:pPr>
                              <w:pStyle w:val="Corpo"/>
                              <w:spacing w:line="276" w:lineRule="auto"/>
                              <w:jc w:val="center"/>
                              <w:rPr>
                                <w:rFonts w:hint="eastAsia"/>
                                <w:color w:val="404040" w:themeColor="text1" w:themeTint="BF"/>
                                <w:szCs w:val="23"/>
                              </w:rPr>
                            </w:pPr>
                            <w:r>
                              <w:rPr>
                                <w:color w:val="404040" w:themeColor="text1" w:themeTint="BF"/>
                                <w:szCs w:val="23"/>
                              </w:rPr>
                              <w:t>Este estudo prospectivo avaliou 4984 grávidas. Os níveis e a quantidade suplementada de vitamina D foram avaliados pelos médicos durante o segundo trimestre de gravidez. O teste de tolerância à glicose foi realizado entre a 24</w:t>
                            </w:r>
                            <w:r>
                              <w:rPr>
                                <w:rFonts w:ascii="Corbel Light" w:hAnsi="Corbel Light"/>
                                <w:color w:val="404040" w:themeColor="text1" w:themeTint="BF"/>
                                <w:szCs w:val="23"/>
                              </w:rPr>
                              <w:t>°</w:t>
                            </w:r>
                            <w:r>
                              <w:rPr>
                                <w:color w:val="404040" w:themeColor="text1" w:themeTint="BF"/>
                                <w:szCs w:val="23"/>
                              </w:rPr>
                              <w:t xml:space="preserve"> e 28</w:t>
                            </w:r>
                            <w:r>
                              <w:rPr>
                                <w:rFonts w:ascii="Corbel Light" w:hAnsi="Corbel Light"/>
                                <w:color w:val="404040" w:themeColor="text1" w:themeTint="BF"/>
                                <w:szCs w:val="23"/>
                              </w:rPr>
                              <w:t>°</w:t>
                            </w:r>
                            <w:r>
                              <w:rPr>
                                <w:color w:val="404040" w:themeColor="text1" w:themeTint="BF"/>
                                <w:szCs w:val="23"/>
                              </w:rPr>
                              <w:t xml:space="preserve"> semanas de gestação.</w:t>
                            </w:r>
                          </w:p>
                          <w:p w14:paraId="61C89B54"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914" o:spid="_x0000_s1255" type="#_x0000_t202" style="position:absolute;left:0;text-align:left;margin-left:3.45pt;margin-top:7.2pt;width:450pt;height:55.5pt;z-index:2519910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" fillcolor="white [3212]" strokecolor="#0070c0">
                <v:textbox>
                  <w:txbxContent>
                    <w:p w14:paraId="3B525D0D" w14:textId="77777777" w:rsidR="00FA41FC" w:rsidRDefault="00FA41FC">
                      <w:pPr>
                        <w:pStyle w:val="Corpo"/>
                        <w:spacing w:line="276" w:lineRule="auto"/>
                        <w:jc w:val="center"/>
                        <w:rPr>
                          <w:rFonts w:hint="eastAsia"/>
                          <w:color w:val="404040" w:themeColor="text1" w:themeTint="BF"/>
                          <w:szCs w:val="23"/>
                        </w:rPr>
                      </w:pPr>
                      <w:r>
                        <w:rPr>
                          <w:color w:val="404040" w:themeColor="text1" w:themeTint="BF"/>
                          <w:szCs w:val="23"/>
                        </w:rPr>
                        <w:t>Este estudo prospectivo avaliou 4984 grávidas. Os níveis e a quantidade suplementada de vitamina D foram avaliados pelos médicos durante o segundo trimestre de gravidez. O teste de tolerância à glicose foi realizado entre a 24</w:t>
                      </w:r>
                      <w:r>
                        <w:rPr>
                          <w:rFonts w:ascii="Corbel Light" w:hAnsi="Corbel Light"/>
                          <w:color w:val="404040" w:themeColor="text1" w:themeTint="BF"/>
                          <w:szCs w:val="23"/>
                        </w:rPr>
                        <w:t>°</w:t>
                      </w:r>
                      <w:r>
                        <w:rPr>
                          <w:color w:val="404040" w:themeColor="text1" w:themeTint="BF"/>
                          <w:szCs w:val="23"/>
                        </w:rPr>
                        <w:t xml:space="preserve"> e 28</w:t>
                      </w:r>
                      <w:r>
                        <w:rPr>
                          <w:rFonts w:ascii="Corbel Light" w:hAnsi="Corbel Light"/>
                          <w:color w:val="404040" w:themeColor="text1" w:themeTint="BF"/>
                          <w:szCs w:val="23"/>
                        </w:rPr>
                        <w:t>°</w:t>
                      </w:r>
                      <w:r>
                        <w:rPr>
                          <w:color w:val="404040" w:themeColor="text1" w:themeTint="BF"/>
                          <w:szCs w:val="23"/>
                        </w:rPr>
                        <w:t xml:space="preserve"> semanas de gestação.</w:t>
                      </w:r>
                    </w:p>
                    <w:p w14:paraId="61C89B54"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67FBDD06" w14:textId="77777777" w:rsidR="00CD65C2" w:rsidRDefault="00CD65C2">
      <w:pPr>
        <w:pStyle w:val="Corpo"/>
        <w:rPr>
          <w:rFonts w:hint="eastAsia"/>
          <w:color w:val="404040" w:themeColor="text1" w:themeTint="BF"/>
        </w:rPr>
      </w:pPr>
    </w:p>
    <w:p w14:paraId="445B2484" w14:textId="77777777" w:rsidR="00CD65C2" w:rsidRDefault="00CD65C2">
      <w:pPr>
        <w:pStyle w:val="Corpo"/>
        <w:rPr>
          <w:rFonts w:hint="eastAsia"/>
          <w:color w:val="404040" w:themeColor="text1" w:themeTint="BF"/>
        </w:rPr>
      </w:pPr>
    </w:p>
    <w:p w14:paraId="7794C706"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990016" behindDoc="0" locked="0" layoutInCell="1" allowOverlap="1">
                <wp:simplePos x="0" y="0"/>
                <wp:positionH relativeFrom="column">
                  <wp:posOffset>2863215</wp:posOffset>
                </wp:positionH>
                <wp:positionV relativeFrom="paragraph">
                  <wp:posOffset>123190</wp:posOffset>
                </wp:positionV>
                <wp:extent cx="226695" cy="138430"/>
                <wp:effectExtent l="0" t="0" r="1905" b="0"/>
                <wp:wrapNone/>
                <wp:docPr id="739657916" name="Triângulo isósceles 7396579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916" o:spid="_x0000_s1026" o:spt="5" type="#_x0000_t5" style="position:absolute;left:0pt;flip:y;margin-left:225.45pt;margin-top:9.7pt;height:10.9pt;width:17.85pt;z-index:251990016;mso-width-relative:page;mso-height-relative:page;" fillcolor="#D9D9D9 [3212]" filled="t" stroked="f" coordsize="21600,21600" o:gfxdata="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N4hpnXAAAACQEAAA8AAAAAAAAAAQAgAAAAIgAAAGRycy9kb3ducmV2LnhtbFBLAQIUABQAAAAI&#10;AIdO4kAWFnXzYAIAALMEAAAOAAAAAAAAAAEAIAAAACYBAABkcnMvZTJvRG9jLnhtbFBLBQYAAAAA&#10;BgAGAFkBAAD4BQAAAAA=&#10;" adj="10800">
                <v:fill on="t" focussize="0,0"/>
                <v:stroke on="f"/>
                <v:imagedata o:title=""/>
                <o:lock v:ext="edit" aspectratio="f"/>
              </v:shape>
            </w:pict>
          </mc:Fallback>
        </mc:AlternateContent>
      </w:r>
    </w:p>
    <w:p w14:paraId="21A420AD"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988992" behindDoc="0" locked="0" layoutInCell="1" allowOverlap="1">
                <wp:simplePos x="0" y="0"/>
                <wp:positionH relativeFrom="column">
                  <wp:posOffset>1920240</wp:posOffset>
                </wp:positionH>
                <wp:positionV relativeFrom="paragraph">
                  <wp:posOffset>174625</wp:posOffset>
                </wp:positionV>
                <wp:extent cx="2171700" cy="685800"/>
                <wp:effectExtent l="0" t="0" r="19050" b="19050"/>
                <wp:wrapNone/>
                <wp:docPr id="739657918" name="Caixa de texto 7396579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685800"/>
                        </a:xfrm>
                        <a:prstGeom prst="rect">
                          <a:avLst/>
                        </a:prstGeom>
                        <a:solidFill>
                          <a:srgbClr val="0070C0"/>
                        </a:solidFill>
                        <a:ln w="9525">
                          <a:solidFill>
                            <a:srgbClr val="0070C0"/>
                          </a:solidFill>
                          <a:miter lim="800000"/>
                        </a:ln>
                      </wps:spPr>
                      <wps:txbx>
                        <w:txbxContent>
                          <w:p w14:paraId="3142E54C"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400 a 600 UI</w:t>
                            </w:r>
                          </w:p>
                          <w:p w14:paraId="6E63726B"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78295C98"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739657918" o:spid="_x0000_s1256" type="#_x0000_t202" style="position:absolute;left:0;text-align:left;margin-left:151.2pt;margin-top:13.75pt;width:171pt;height:54pt;z-index:25198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" fillcolor="#0070c0" strokecolor="#0070c0">
                <v:textbox>
                  <w:txbxContent>
                    <w:p w14:paraId="3142E54C"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400 a 600 UI</w:t>
                      </w:r>
                    </w:p>
                    <w:p w14:paraId="6E63726B"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78295C98"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p>
    <w:p w14:paraId="65D21872" w14:textId="77777777" w:rsidR="00CD65C2" w:rsidRDefault="00CD65C2">
      <w:pPr>
        <w:pStyle w:val="Corpo"/>
        <w:rPr>
          <w:rFonts w:hint="eastAsia"/>
          <w:color w:val="404040" w:themeColor="text1" w:themeTint="BF"/>
        </w:rPr>
      </w:pPr>
    </w:p>
    <w:p w14:paraId="4800B68A" w14:textId="77777777" w:rsidR="00CD65C2" w:rsidRDefault="00CD65C2">
      <w:pPr>
        <w:pStyle w:val="Corpo"/>
        <w:rPr>
          <w:rFonts w:hint="eastAsia"/>
          <w:color w:val="404040" w:themeColor="text1" w:themeTint="BF"/>
        </w:rPr>
      </w:pPr>
    </w:p>
    <w:p w14:paraId="5E679FE7" w14:textId="77777777" w:rsidR="00CD65C2" w:rsidRDefault="00CD65C2">
      <w:pPr>
        <w:pStyle w:val="Corpo"/>
        <w:rPr>
          <w:rFonts w:hint="eastAsia"/>
          <w:color w:val="404040" w:themeColor="text1" w:themeTint="BF"/>
        </w:rPr>
      </w:pPr>
    </w:p>
    <w:p w14:paraId="486E3D9B" w14:textId="77777777" w:rsidR="00CD65C2" w:rsidRDefault="00CD65C2">
      <w:pPr>
        <w:pStyle w:val="Corpo"/>
        <w:rPr>
          <w:rFonts w:hint="eastAsia"/>
          <w:color w:val="404040" w:themeColor="text1" w:themeTint="BF"/>
        </w:rPr>
      </w:pPr>
    </w:p>
    <w:p w14:paraId="483E313C" w14:textId="77777777" w:rsidR="00CD65C2" w:rsidRDefault="00CD65C2">
      <w:pPr>
        <w:pStyle w:val="Corpo"/>
        <w:rPr>
          <w:rFonts w:hint="eastAsia"/>
          <w:color w:val="404040" w:themeColor="text1" w:themeTint="BF"/>
        </w:rPr>
      </w:pPr>
    </w:p>
    <w:p w14:paraId="14F3A10B"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6175D918" w14:textId="77777777" w:rsidR="00CD65C2" w:rsidRDefault="00CD65C2">
      <w:pPr>
        <w:pStyle w:val="Corpo"/>
        <w:rPr>
          <w:rFonts w:hint="eastAsia"/>
          <w:color w:val="404040" w:themeColor="text1" w:themeTint="BF"/>
          <w:sz w:val="16"/>
          <w:szCs w:val="16"/>
        </w:rPr>
      </w:pPr>
    </w:p>
    <w:p w14:paraId="01164D1B" w14:textId="77777777" w:rsidR="00CD65C2" w:rsidRDefault="00FA41FC">
      <w:pPr>
        <w:pStyle w:val="Corpo"/>
        <w:numPr>
          <w:ilvl w:val="0"/>
          <w:numId w:val="5"/>
        </w:numPr>
        <w:spacing w:after="120" w:line="276" w:lineRule="auto"/>
        <w:ind w:left="357" w:hanging="357"/>
        <w:rPr>
          <w:rFonts w:hint="eastAsia"/>
          <w:color w:val="404040" w:themeColor="text1" w:themeTint="BF"/>
          <w:sz w:val="24"/>
        </w:rPr>
      </w:pPr>
      <w:r>
        <w:rPr>
          <w:color w:val="404040" w:themeColor="text1" w:themeTint="BF"/>
          <w:sz w:val="24"/>
        </w:rPr>
        <w:t>Das 4984 gestantes avaliadas 18,5% estavam com diabetes gestacional;</w:t>
      </w:r>
    </w:p>
    <w:p w14:paraId="4F98C10D" w14:textId="77777777" w:rsidR="00CD65C2" w:rsidRDefault="00FA41FC">
      <w:pPr>
        <w:pStyle w:val="Corpo"/>
        <w:numPr>
          <w:ilvl w:val="0"/>
          <w:numId w:val="5"/>
        </w:numPr>
        <w:spacing w:after="120" w:line="276" w:lineRule="auto"/>
        <w:ind w:left="357" w:hanging="357"/>
        <w:rPr>
          <w:rFonts w:hint="eastAsia"/>
          <w:color w:val="404040" w:themeColor="text1" w:themeTint="BF"/>
          <w:sz w:val="24"/>
        </w:rPr>
      </w:pPr>
      <w:r>
        <w:rPr>
          <w:color w:val="404040" w:themeColor="text1" w:themeTint="BF"/>
          <w:sz w:val="24"/>
        </w:rPr>
        <w:t>O risco de se desenvolver diabetes gestacional foi maior no grupo que apresentava concentrações de vitamina D menores que 25 nmol/l, em mulheres com níveis superiores a 50 nmol/l;</w:t>
      </w:r>
    </w:p>
    <w:p w14:paraId="3232EB10" w14:textId="77777777" w:rsidR="00CD65C2" w:rsidRDefault="00FA41FC">
      <w:pPr>
        <w:pStyle w:val="Corpo"/>
        <w:numPr>
          <w:ilvl w:val="0"/>
          <w:numId w:val="5"/>
        </w:numPr>
        <w:spacing w:after="120" w:line="276" w:lineRule="auto"/>
        <w:ind w:left="357" w:hanging="357"/>
        <w:rPr>
          <w:rFonts w:hint="eastAsia"/>
          <w:color w:val="404040" w:themeColor="text1" w:themeTint="BF"/>
          <w:sz w:val="24"/>
        </w:rPr>
      </w:pPr>
      <w:r>
        <w:rPr>
          <w:color w:val="404040" w:themeColor="text1" w:themeTint="BF"/>
          <w:sz w:val="24"/>
        </w:rPr>
        <w:t>A concentração de vitamina D reduziu o risco de se desenvolver diabetes gestacional, diminuiu a glicose em jejum e melhorou a área sob a curva da glicemia após o teste de tolerância à glicose;</w:t>
      </w:r>
    </w:p>
    <w:p w14:paraId="667093DC" w14:textId="77777777"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O risco de diabetes gestacional foi diminuído somente nas mulheres suplementadas com doses diárias entre 400 a 600 UI.</w:t>
      </w:r>
    </w:p>
    <w:p w14:paraId="07E550F7" w14:textId="77777777" w:rsidR="00CD65C2" w:rsidRDefault="00CD65C2">
      <w:pPr>
        <w:pStyle w:val="Corpo"/>
        <w:spacing w:after="120"/>
        <w:ind w:left="360"/>
        <w:rPr>
          <w:rFonts w:hint="eastAsia"/>
          <w:color w:val="404040" w:themeColor="text1" w:themeTint="BF"/>
          <w:sz w:val="24"/>
        </w:rPr>
      </w:pPr>
    </w:p>
    <w:p w14:paraId="035FD8BE"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0F0AAFAB" w14:textId="77777777" w:rsidR="00CD65C2" w:rsidRDefault="00CD65C2">
      <w:pPr>
        <w:pStyle w:val="Corpo"/>
        <w:rPr>
          <w:rFonts w:hint="eastAsia"/>
          <w:b/>
          <w:color w:val="339966"/>
          <w:sz w:val="16"/>
          <w:szCs w:val="16"/>
          <w14:textFill>
            <w14:solidFill>
              <w14:srgbClr w14:val="339966">
                <w14:lumMod w14:val="75000"/>
                <w14:lumOff w14:val="25000"/>
              </w14:srgbClr>
            </w14:solidFill>
          </w14:textFill>
        </w:rPr>
      </w:pPr>
    </w:p>
    <w:p w14:paraId="2801E0E7" w14:textId="53181AC5" w:rsidR="00CD65C2" w:rsidRDefault="00FA41FC">
      <w:pPr>
        <w:jc w:val="center"/>
        <w:rPr>
          <w:rFonts w:ascii="Swis721 Th BT" w:hAnsi="Swis721 Th BT"/>
          <w:b/>
          <w:i/>
          <w:sz w:val="23"/>
          <w:szCs w:val="23"/>
        </w:rPr>
      </w:pPr>
      <w:r>
        <w:rPr>
          <w:rFonts w:ascii="Swis721 Th BT" w:hAnsi="Swis721 Th BT"/>
          <w:b/>
          <w:i/>
          <w:sz w:val="23"/>
          <w:szCs w:val="23"/>
        </w:rPr>
        <w:t xml:space="preserve">O risco de desenvolvimento de diabetes gestacional reduziu somente em grávidas com níveis de vitamina D maiores que 50 nmol/l. As mulheres que foram suplementadas com vitamina D nas doses diárias entre 400 a 600 UI apresentaram menores chances de terem diabetes gestacional. </w:t>
      </w:r>
    </w:p>
    <w:p w14:paraId="6B1DD715" w14:textId="77777777" w:rsidR="00CD65C2" w:rsidRDefault="00FA41FC">
      <w:pPr>
        <w:pStyle w:val="Ttulo1"/>
        <w:jc w:val="center"/>
        <w:rPr>
          <w:rFonts w:hint="eastAsia"/>
        </w:rPr>
      </w:pPr>
      <w:bookmarkStart w:id="177" w:name="_Toc165537324"/>
      <w:r>
        <w:rPr>
          <w:rStyle w:val="Ttulo1Char"/>
          <w:b/>
        </w:rPr>
        <w:t>Formulário</w:t>
      </w:r>
      <w:bookmarkEnd w:id="177"/>
    </w:p>
    <w:p w14:paraId="72D1204F" w14:textId="77777777" w:rsidR="00CD65C2" w:rsidRDefault="00CD65C2">
      <w:pPr>
        <w:pStyle w:val="Corpo"/>
        <w:rPr>
          <w:rFonts w:hint="eastAsia"/>
          <w:b/>
          <w:i/>
          <w:color w:val="404040" w:themeColor="text1" w:themeTint="BF"/>
        </w:rPr>
      </w:pPr>
    </w:p>
    <w:p w14:paraId="5BD17540" w14:textId="77777777" w:rsidR="00CD65C2" w:rsidRDefault="00CD65C2">
      <w:pPr>
        <w:pStyle w:val="Corpo"/>
        <w:rPr>
          <w:rFonts w:hint="eastAsia"/>
          <w:b/>
          <w:i/>
          <w:color w:val="404040" w:themeColor="text1" w:themeTint="BF"/>
        </w:rPr>
      </w:pPr>
    </w:p>
    <w:p w14:paraId="0D8C1083" w14:textId="77777777" w:rsidR="00CD65C2" w:rsidRDefault="00FA41FC">
      <w:pPr>
        <w:pStyle w:val="Corpo"/>
        <w:rPr>
          <w:rFonts w:hint="eastAsia"/>
          <w:b/>
          <w:i/>
          <w:color w:val="404040" w:themeColor="text1" w:themeTint="BF"/>
          <w:sz w:val="24"/>
        </w:rPr>
      </w:pPr>
      <w:r>
        <w:rPr>
          <w:b/>
          <w:i/>
          <w:color w:val="404040" w:themeColor="text1" w:themeTint="BF"/>
          <w:sz w:val="24"/>
        </w:rPr>
        <w:t>Vitamina D Diminui o Risco de Diabetes Gestacional</w:t>
      </w:r>
    </w:p>
    <w:p w14:paraId="51623985"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4707205F"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40458B8B" w14:textId="77777777" w:rsidR="00CD65C2" w:rsidRDefault="00FA41FC">
            <w:pPr>
              <w:pStyle w:val="Corpo"/>
              <w:jc w:val="center"/>
              <w:rPr>
                <w:rFonts w:hint="eastAsia"/>
                <w:b/>
                <w:color w:val="FFFFFF" w:themeColor="background1"/>
              </w:rPr>
            </w:pPr>
            <w:r>
              <w:rPr>
                <w:b/>
                <w:color w:val="FFFFFF" w:themeColor="background1"/>
                <w:sz w:val="22"/>
              </w:rPr>
              <w:t>Cápsulas de Vitamina D</w:t>
            </w:r>
          </w:p>
        </w:tc>
      </w:tr>
      <w:tr w:rsidR="00CD65C2" w14:paraId="6284145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771C449" w14:textId="77777777" w:rsidR="00CD65C2" w:rsidRDefault="00FA41FC">
            <w:pPr>
              <w:pStyle w:val="Corpo"/>
              <w:rPr>
                <w:rFonts w:hint="eastAsia"/>
                <w:color w:val="404040" w:themeColor="text1" w:themeTint="BF"/>
              </w:rPr>
            </w:pPr>
            <w:r>
              <w:rPr>
                <w:color w:val="404040" w:themeColor="text1" w:themeTint="BF"/>
              </w:rPr>
              <w:t>Vitamina D...............................400 a 600 UI</w:t>
            </w:r>
          </w:p>
        </w:tc>
      </w:tr>
      <w:tr w:rsidR="00CD65C2" w14:paraId="6B7C6112"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00C1B35" w14:textId="5EC7C6D7" w:rsidR="00CD65C2" w:rsidRDefault="00FA41FC">
            <w:pPr>
              <w:pStyle w:val="Corpo"/>
              <w:rPr>
                <w:rFonts w:hint="eastAsia"/>
                <w:color w:val="404040" w:themeColor="text1" w:themeTint="BF"/>
              </w:rPr>
            </w:pPr>
            <w:r>
              <w:rPr>
                <w:color w:val="404040" w:themeColor="text1" w:themeTint="BF"/>
              </w:rPr>
              <w:t>Excipiente q.s.p. ........................1 Cápsula</w:t>
            </w:r>
          </w:p>
        </w:tc>
      </w:tr>
    </w:tbl>
    <w:p w14:paraId="1DA4DED0" w14:textId="77777777" w:rsidR="00CD65C2" w:rsidRDefault="00FA41FC">
      <w:pPr>
        <w:pStyle w:val="Corpo"/>
        <w:ind w:right="4676"/>
        <w:jc w:val="center"/>
        <w:rPr>
          <w:rFonts w:hint="eastAsia"/>
          <w:color w:val="404040" w:themeColor="text1" w:themeTint="BF"/>
          <w:sz w:val="22"/>
          <w:szCs w:val="22"/>
        </w:rPr>
      </w:pPr>
      <w:r>
        <w:rPr>
          <w:color w:val="404040" w:themeColor="text1" w:themeTint="BF"/>
          <w:sz w:val="22"/>
          <w:szCs w:val="22"/>
        </w:rPr>
        <w:t>Administrar 1 cápsula ao dia ou conforme orientação médica.</w:t>
      </w:r>
    </w:p>
    <w:p w14:paraId="590488A2" w14:textId="77777777" w:rsidR="00CD65C2" w:rsidRDefault="00CD65C2">
      <w:pPr>
        <w:pStyle w:val="Corpo"/>
        <w:spacing w:line="276" w:lineRule="auto"/>
        <w:rPr>
          <w:rFonts w:hint="eastAsia"/>
          <w:b/>
          <w:color w:val="404040" w:themeColor="text1" w:themeTint="BF"/>
        </w:rPr>
      </w:pPr>
    </w:p>
    <w:p w14:paraId="1DFA9C19" w14:textId="77777777" w:rsidR="00CD65C2" w:rsidRDefault="00CD65C2">
      <w:pPr>
        <w:pStyle w:val="Corpo"/>
        <w:spacing w:line="276" w:lineRule="auto"/>
        <w:rPr>
          <w:rFonts w:hint="eastAsia"/>
          <w:b/>
          <w:color w:val="404040" w:themeColor="text1" w:themeTint="BF"/>
        </w:rPr>
      </w:pPr>
    </w:p>
    <w:p w14:paraId="32433E7A" w14:textId="77777777" w:rsidR="00CD65C2" w:rsidRDefault="00CD65C2">
      <w:pPr>
        <w:pStyle w:val="Corpo"/>
        <w:spacing w:line="276" w:lineRule="auto"/>
        <w:rPr>
          <w:rFonts w:hint="eastAsia"/>
          <w:b/>
          <w:color w:val="404040" w:themeColor="text1" w:themeTint="BF"/>
        </w:rPr>
      </w:pPr>
    </w:p>
    <w:p w14:paraId="58C0AE87" w14:textId="77777777" w:rsidR="00CD65C2" w:rsidRDefault="00CD65C2">
      <w:pPr>
        <w:pStyle w:val="Corpo"/>
        <w:spacing w:line="276" w:lineRule="auto"/>
        <w:rPr>
          <w:rFonts w:hint="eastAsia"/>
          <w:b/>
          <w:color w:val="404040" w:themeColor="text1" w:themeTint="BF"/>
        </w:rPr>
      </w:pPr>
    </w:p>
    <w:p w14:paraId="72F45392" w14:textId="77777777" w:rsidR="00CD65C2" w:rsidRDefault="00CD65C2">
      <w:pPr>
        <w:pStyle w:val="Corpo"/>
        <w:spacing w:line="276" w:lineRule="auto"/>
        <w:rPr>
          <w:rFonts w:hint="eastAsia"/>
          <w:b/>
          <w:color w:val="404040" w:themeColor="text1" w:themeTint="BF"/>
        </w:rPr>
      </w:pPr>
    </w:p>
    <w:p w14:paraId="223702C6" w14:textId="77777777" w:rsidR="00CD65C2" w:rsidRDefault="00CD65C2">
      <w:pPr>
        <w:pStyle w:val="Corpo"/>
        <w:spacing w:line="276" w:lineRule="auto"/>
        <w:rPr>
          <w:rFonts w:hint="eastAsia"/>
          <w:b/>
          <w:color w:val="404040" w:themeColor="text1" w:themeTint="BF"/>
        </w:rPr>
      </w:pPr>
    </w:p>
    <w:p w14:paraId="33722DC9" w14:textId="77777777" w:rsidR="00CD65C2" w:rsidRDefault="00CD65C2">
      <w:pPr>
        <w:pStyle w:val="Corpo"/>
        <w:spacing w:line="276" w:lineRule="auto"/>
        <w:rPr>
          <w:rFonts w:hint="eastAsia"/>
          <w:b/>
          <w:color w:val="404040" w:themeColor="text1" w:themeTint="BF"/>
        </w:rPr>
      </w:pPr>
    </w:p>
    <w:p w14:paraId="3E535947" w14:textId="77777777" w:rsidR="00CD65C2" w:rsidRDefault="00CD65C2">
      <w:pPr>
        <w:pStyle w:val="Corpo"/>
        <w:spacing w:line="276" w:lineRule="auto"/>
        <w:rPr>
          <w:rFonts w:hint="eastAsia"/>
          <w:b/>
          <w:color w:val="404040" w:themeColor="text1" w:themeTint="BF"/>
        </w:rPr>
      </w:pPr>
    </w:p>
    <w:p w14:paraId="1E94C9CB" w14:textId="77777777" w:rsidR="00CD65C2" w:rsidRDefault="00CD65C2">
      <w:pPr>
        <w:pStyle w:val="Corpo"/>
        <w:spacing w:line="276" w:lineRule="auto"/>
        <w:rPr>
          <w:rFonts w:hint="eastAsia"/>
          <w:b/>
          <w:color w:val="404040" w:themeColor="text1" w:themeTint="BF"/>
        </w:rPr>
      </w:pPr>
    </w:p>
    <w:p w14:paraId="4D0E31C9" w14:textId="77777777" w:rsidR="00CD65C2" w:rsidRDefault="00CD65C2">
      <w:pPr>
        <w:pStyle w:val="Corpo"/>
        <w:spacing w:line="276" w:lineRule="auto"/>
        <w:rPr>
          <w:rFonts w:hint="eastAsia"/>
          <w:b/>
          <w:color w:val="404040" w:themeColor="text1" w:themeTint="BF"/>
        </w:rPr>
      </w:pPr>
    </w:p>
    <w:p w14:paraId="3498B8F9" w14:textId="77777777" w:rsidR="00CD65C2" w:rsidRDefault="00CD65C2">
      <w:pPr>
        <w:pStyle w:val="Corpo"/>
        <w:spacing w:line="276" w:lineRule="auto"/>
        <w:rPr>
          <w:rFonts w:hint="eastAsia"/>
          <w:b/>
          <w:color w:val="404040" w:themeColor="text1" w:themeTint="BF"/>
        </w:rPr>
      </w:pPr>
    </w:p>
    <w:p w14:paraId="61FCF0D6" w14:textId="77777777" w:rsidR="00CD65C2" w:rsidRDefault="00CD65C2">
      <w:pPr>
        <w:pStyle w:val="Corpo"/>
        <w:spacing w:line="276" w:lineRule="auto"/>
        <w:rPr>
          <w:rFonts w:hint="eastAsia"/>
          <w:b/>
          <w:color w:val="404040" w:themeColor="text1" w:themeTint="BF"/>
        </w:rPr>
      </w:pPr>
    </w:p>
    <w:p w14:paraId="3FB02D6A" w14:textId="77777777" w:rsidR="00CD65C2" w:rsidRDefault="00CD65C2">
      <w:pPr>
        <w:pStyle w:val="Corpo"/>
        <w:spacing w:line="276" w:lineRule="auto"/>
        <w:rPr>
          <w:rFonts w:hint="eastAsia"/>
          <w:b/>
          <w:color w:val="404040" w:themeColor="text1" w:themeTint="BF"/>
        </w:rPr>
      </w:pPr>
    </w:p>
    <w:p w14:paraId="64CB1605" w14:textId="77777777" w:rsidR="00CD65C2" w:rsidRDefault="00CD65C2">
      <w:pPr>
        <w:pStyle w:val="Corpo"/>
        <w:spacing w:line="276" w:lineRule="auto"/>
        <w:rPr>
          <w:rFonts w:hint="eastAsia"/>
          <w:b/>
          <w:color w:val="404040" w:themeColor="text1" w:themeTint="BF"/>
        </w:rPr>
      </w:pPr>
    </w:p>
    <w:p w14:paraId="5E18A7D7" w14:textId="77777777" w:rsidR="00CD65C2" w:rsidRDefault="00CD65C2">
      <w:pPr>
        <w:pStyle w:val="Corpo"/>
        <w:spacing w:line="276" w:lineRule="auto"/>
        <w:rPr>
          <w:rFonts w:hint="eastAsia"/>
          <w:b/>
          <w:color w:val="404040" w:themeColor="text1" w:themeTint="BF"/>
        </w:rPr>
      </w:pPr>
    </w:p>
    <w:p w14:paraId="72EBBDC4" w14:textId="77777777" w:rsidR="00CD65C2" w:rsidRDefault="00CD65C2">
      <w:pPr>
        <w:pStyle w:val="Corpo"/>
        <w:spacing w:line="276" w:lineRule="auto"/>
        <w:rPr>
          <w:rFonts w:hint="eastAsia"/>
          <w:b/>
          <w:color w:val="404040" w:themeColor="text1" w:themeTint="BF"/>
        </w:rPr>
      </w:pPr>
    </w:p>
    <w:p w14:paraId="58DC002A" w14:textId="77777777" w:rsidR="00CD65C2" w:rsidRDefault="00CD65C2">
      <w:pPr>
        <w:pStyle w:val="Corpo"/>
        <w:spacing w:line="276" w:lineRule="auto"/>
        <w:rPr>
          <w:rFonts w:hint="eastAsia"/>
          <w:b/>
          <w:color w:val="404040" w:themeColor="text1" w:themeTint="BF"/>
        </w:rPr>
      </w:pPr>
    </w:p>
    <w:p w14:paraId="0AFF1DC2" w14:textId="77777777" w:rsidR="00CD65C2" w:rsidRDefault="00CD65C2">
      <w:pPr>
        <w:pStyle w:val="Corpo"/>
        <w:spacing w:line="276" w:lineRule="auto"/>
        <w:rPr>
          <w:rFonts w:hint="eastAsia"/>
          <w:b/>
          <w:color w:val="404040" w:themeColor="text1" w:themeTint="BF"/>
        </w:rPr>
      </w:pPr>
    </w:p>
    <w:p w14:paraId="78254E6D" w14:textId="77777777" w:rsidR="00CD65C2" w:rsidRDefault="00CD65C2">
      <w:pPr>
        <w:pStyle w:val="Corpo"/>
        <w:spacing w:line="276" w:lineRule="auto"/>
        <w:rPr>
          <w:rFonts w:hint="eastAsia"/>
          <w:b/>
          <w:color w:val="404040" w:themeColor="text1" w:themeTint="BF"/>
        </w:rPr>
      </w:pPr>
    </w:p>
    <w:p w14:paraId="4A3E9938" w14:textId="77777777" w:rsidR="00CD65C2" w:rsidRDefault="00CD65C2">
      <w:pPr>
        <w:pStyle w:val="Corpo"/>
        <w:spacing w:line="276" w:lineRule="auto"/>
        <w:rPr>
          <w:rFonts w:hint="eastAsia"/>
          <w:b/>
          <w:color w:val="404040" w:themeColor="text1" w:themeTint="BF"/>
        </w:rPr>
      </w:pPr>
    </w:p>
    <w:p w14:paraId="5E88C94A" w14:textId="77777777" w:rsidR="00CD65C2" w:rsidRDefault="00CD65C2">
      <w:pPr>
        <w:pStyle w:val="Corpo"/>
        <w:spacing w:line="276" w:lineRule="auto"/>
        <w:rPr>
          <w:rFonts w:hint="eastAsia"/>
          <w:b/>
          <w:color w:val="404040" w:themeColor="text1" w:themeTint="BF"/>
        </w:rPr>
      </w:pPr>
    </w:p>
    <w:p w14:paraId="409F14D1" w14:textId="77777777" w:rsidR="00CD65C2" w:rsidRDefault="00CD65C2">
      <w:pPr>
        <w:pStyle w:val="Corpo"/>
        <w:spacing w:line="276" w:lineRule="auto"/>
        <w:rPr>
          <w:rFonts w:hint="eastAsia"/>
          <w:b/>
          <w:color w:val="404040" w:themeColor="text1" w:themeTint="BF"/>
        </w:rPr>
      </w:pPr>
    </w:p>
    <w:p w14:paraId="31EE7636" w14:textId="77777777" w:rsidR="00CD65C2" w:rsidRDefault="00CD65C2">
      <w:pPr>
        <w:pStyle w:val="Corpo"/>
        <w:spacing w:line="276" w:lineRule="auto"/>
        <w:rPr>
          <w:rFonts w:hint="eastAsia"/>
          <w:b/>
          <w:color w:val="404040" w:themeColor="text1" w:themeTint="BF"/>
        </w:rPr>
      </w:pPr>
    </w:p>
    <w:p w14:paraId="2439B8C1" w14:textId="77777777" w:rsidR="00CD65C2" w:rsidRDefault="00CD65C2">
      <w:pPr>
        <w:pStyle w:val="Corpo"/>
        <w:spacing w:line="276" w:lineRule="auto"/>
        <w:rPr>
          <w:rFonts w:hint="eastAsia"/>
          <w:b/>
          <w:color w:val="404040" w:themeColor="text1" w:themeTint="BF"/>
        </w:rPr>
      </w:pPr>
    </w:p>
    <w:p w14:paraId="5571945C" w14:textId="77777777" w:rsidR="00CD65C2" w:rsidRDefault="00CD65C2">
      <w:pPr>
        <w:pStyle w:val="Corpo"/>
        <w:spacing w:line="276" w:lineRule="auto"/>
        <w:rPr>
          <w:rFonts w:hint="eastAsia"/>
          <w:b/>
          <w:color w:val="404040" w:themeColor="text1" w:themeTint="BF"/>
        </w:rPr>
      </w:pPr>
    </w:p>
    <w:p w14:paraId="01557BDF" w14:textId="77777777" w:rsidR="00CD65C2" w:rsidRDefault="00FA41FC">
      <w:pPr>
        <w:pStyle w:val="Ttulo1"/>
        <w:jc w:val="center"/>
        <w:rPr>
          <w:rFonts w:hint="eastAsia"/>
          <w:i/>
        </w:rPr>
      </w:pPr>
      <w:bookmarkStart w:id="178" w:name="_Toc165537325"/>
      <w:r>
        <w:rPr>
          <w:bCs/>
          <w:i/>
          <w:iCs/>
        </w:rPr>
        <w:t>Lactobacillus</w:t>
      </w:r>
      <w:bookmarkEnd w:id="178"/>
    </w:p>
    <w:p w14:paraId="477DC372" w14:textId="77777777" w:rsidR="00CD65C2" w:rsidRPr="00D1428E" w:rsidRDefault="00FA41FC">
      <w:pPr>
        <w:pStyle w:val="Corpo"/>
        <w:spacing w:after="120"/>
        <w:jc w:val="center"/>
        <w:rPr>
          <w:rFonts w:hint="eastAsia"/>
          <w:color w:val="0070C0"/>
          <w:sz w:val="24"/>
        </w:rPr>
      </w:pPr>
      <w:r w:rsidRPr="00D1428E">
        <w:rPr>
          <w:b/>
          <w:color w:val="0070C0"/>
          <w:sz w:val="40"/>
          <w:szCs w:val="22"/>
        </w:rPr>
        <w:t>Eficaz no Manejo do Diabetes Gestacional</w:t>
      </w:r>
    </w:p>
    <w:p w14:paraId="3EBFD76A" w14:textId="77777777" w:rsidR="00CD65C2" w:rsidRDefault="00CD65C2">
      <w:pPr>
        <w:pStyle w:val="Corpo"/>
        <w:rPr>
          <w:rFonts w:hint="eastAsia"/>
          <w:color w:val="404040" w:themeColor="text1" w:themeTint="BF"/>
          <w:sz w:val="24"/>
        </w:rPr>
      </w:pPr>
    </w:p>
    <w:p w14:paraId="60B7CB22" w14:textId="77777777" w:rsidR="00CD65C2" w:rsidRDefault="00FA41FC">
      <w:pPr>
        <w:pStyle w:val="Corpo"/>
        <w:rPr>
          <w:rFonts w:hint="eastAsia"/>
          <w:color w:val="404040" w:themeColor="text1" w:themeTint="BF"/>
          <w:sz w:val="24"/>
        </w:rPr>
      </w:pPr>
      <w:r>
        <w:rPr>
          <w:color w:val="404040" w:themeColor="text1" w:themeTint="BF"/>
          <w:sz w:val="24"/>
        </w:rPr>
        <w:t xml:space="preserve">Este estudo duplo-cego, placebo-controlado e randomizado teve como objetivo avaliar a suplementação de </w:t>
      </w:r>
      <w:r>
        <w:rPr>
          <w:i/>
          <w:iCs/>
          <w:color w:val="404040" w:themeColor="text1" w:themeTint="BF"/>
          <w:sz w:val="24"/>
        </w:rPr>
        <w:t>Lactobacillus rhamnosus</w:t>
      </w:r>
      <w:r>
        <w:rPr>
          <w:color w:val="404040" w:themeColor="text1" w:themeTint="BF"/>
          <w:sz w:val="24"/>
        </w:rPr>
        <w:t xml:space="preserve"> no início da gravidez no desenvolvimento infantil subsequente de eczema, resultado primário e diabetes mellitus gestacional, resultado secundário </w:t>
      </w:r>
      <w:r>
        <w:rPr>
          <w:color w:val="404040" w:themeColor="text1" w:themeTint="BF"/>
          <w:sz w:val="24"/>
        </w:rPr>
        <w:fldChar w:fldCharType="begin"/>
      </w:r>
      <w:r>
        <w:rPr>
          <w:color w:val="404040" w:themeColor="text1" w:themeTint="BF"/>
          <w:sz w:val="24"/>
        </w:rPr>
        <w:instrText xml:space="preserve"> ADDIN EN.CITE &lt;EndNote&gt;&lt;Cite&gt;&lt;Author&gt;Chen&lt;/Author&gt;&lt;Year&gt;2021&lt;/Year&gt;&lt;IDText&gt;Effect of Lactobacillus rhamnosus Probiotic in Early Pregnancy on Plasma Conjugated Bile Acids in a Randomised Controlled Trial&lt;/IDText&gt;&lt;DisplayText&gt;(CHEN; LU; WICKENS; STANLEY&lt;style face="italic"&gt; et al.&lt;/style&gt;, 2021)&lt;/DisplayText&gt;&lt;record&gt;&lt;keywords&gt;&lt;keyword&gt;LC-MS&lt;/keyword&gt;&lt;keyword&gt;bile acids&lt;/keyword&gt;&lt;keyword&gt;conjugated bile acids&lt;/keyword&gt;&lt;keyword&gt;gestational diabetes&lt;/keyword&gt;&lt;keyword&gt;insulin sensitivity&lt;/keyword&gt;&lt;keyword&gt;probiotics&lt;/keyword&gt;&lt;keyword&gt;randomised controlled trial&lt;/keyword&gt;&lt;/keywords&gt;&lt;urls&gt;&lt;related-urls&gt;&lt;url&gt;https://pubmed.ncbi.nlm.nih.gov/33450885&lt;/url&gt;&lt;url&gt;https://www.ncbi.nlm.nih.gov/pmc/articles/PMC7828313/&lt;/url&gt;&lt;/related-urls&gt;&lt;/urls&gt;&lt;isbn&gt;2072-6643&lt;/isbn&gt;&lt;titles&gt;&lt;title&gt;Effect of Lactobacillus rhamnosus Probiotic in Early Pregnancy on Plasma Conjugated Bile Acids in a Randomised Controlled Trial&lt;/title&gt;&lt;secondary-title&gt;Nutrients&lt;/secondary-title&gt;&lt;alt-title&gt;Nutrients&lt;/alt-title&gt;&lt;/titles&gt;&lt;pages&gt;209&lt;/pages&gt;&lt;number&gt;1&lt;/number&gt;&lt;contributors&gt;&lt;authors&gt;&lt;author&gt;Chen, Yutao&lt;/author&gt;&lt;author&gt;Lu, Jun&lt;/author&gt;&lt;author&gt;Wickens, Kristin&lt;/author&gt;&lt;author&gt;Stanley, Thorsten&lt;/author&gt;&lt;author&gt;Maude, Robyn&lt;/author&gt;&lt;author&gt;Stone, Peter&lt;/author&gt;&lt;author&gt;Barthow, Christine&lt;/author&gt;&lt;author&gt;Crane, Julian&lt;/author&gt;&lt;author&gt;Mitchell, Edwin A.&lt;/author&gt;&lt;author&gt;Merien, Fabrice&lt;/author&gt;&lt;author&gt;Murphy, Rinki&lt;/author&gt;&lt;/authors&gt;&lt;/contributors&gt;&lt;language&gt;eng&lt;/language&gt;&lt;added-date format="utc"&gt;1612299579&lt;/added-date&gt;&lt;ref-type name="Journal Article"&gt;17&lt;/ref-type&gt;&lt;dates&gt;&lt;year&gt;2021&lt;/year&gt;&lt;/dates&gt;&lt;rec-number&gt;1828&lt;/rec-number&gt;&lt;publisher&gt;MDPI&lt;/publisher&gt;&lt;last-updated-date format="utc"&gt;1612299579&lt;/last-updated-date&gt;&lt;accession-num&gt;33450885&lt;/accession-num&gt;&lt;electronic-resource-num&gt;10.3390/nu13010209&lt;/electronic-resource-num&gt;&lt;volume&gt;13&lt;/volume&gt;&lt;remote-database-name&gt;PubMed&lt;/remote-database-name&gt;&lt;/record&gt;&lt;/Cite&gt;&lt;/EndNote&gt;</w:instrText>
      </w:r>
      <w:r>
        <w:rPr>
          <w:color w:val="404040" w:themeColor="text1" w:themeTint="BF"/>
          <w:sz w:val="24"/>
        </w:rPr>
        <w:fldChar w:fldCharType="separate"/>
      </w:r>
      <w:r>
        <w:rPr>
          <w:color w:val="404040" w:themeColor="text1" w:themeTint="BF"/>
          <w:sz w:val="24"/>
        </w:rPr>
        <w:t>(CHEN; LU; WICKENS; STANLEY</w:t>
      </w:r>
      <w:r>
        <w:rPr>
          <w:i/>
          <w:color w:val="404040" w:themeColor="text1" w:themeTint="BF"/>
          <w:sz w:val="24"/>
        </w:rPr>
        <w:t xml:space="preserve"> et al.</w:t>
      </w:r>
      <w:r>
        <w:rPr>
          <w:color w:val="404040" w:themeColor="text1" w:themeTint="BF"/>
          <w:sz w:val="24"/>
        </w:rPr>
        <w:t>, 2021)</w:t>
      </w:r>
      <w:r>
        <w:rPr>
          <w:color w:val="404040" w:themeColor="text1" w:themeTint="BF"/>
          <w:sz w:val="24"/>
        </w:rPr>
        <w:fldChar w:fldCharType="end"/>
      </w:r>
      <w:r>
        <w:rPr>
          <w:color w:val="404040" w:themeColor="text1" w:themeTint="BF"/>
          <w:sz w:val="24"/>
        </w:rPr>
        <w:t>.</w:t>
      </w:r>
    </w:p>
    <w:p w14:paraId="05F8B816"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1994112" behindDoc="0" locked="0" layoutInCell="1" allowOverlap="1">
                <wp:simplePos x="0" y="0"/>
                <wp:positionH relativeFrom="margin">
                  <wp:posOffset>43815</wp:posOffset>
                </wp:positionH>
                <wp:positionV relativeFrom="paragraph">
                  <wp:posOffset>201930</wp:posOffset>
                </wp:positionV>
                <wp:extent cx="5715000" cy="561975"/>
                <wp:effectExtent l="0" t="0" r="19050" b="28575"/>
                <wp:wrapNone/>
                <wp:docPr id="739657919" name="Caixa de texto 739657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61975"/>
                        </a:xfrm>
                        <a:prstGeom prst="rect">
                          <a:avLst/>
                        </a:prstGeom>
                        <a:solidFill>
                          <a:schemeClr val="bg1">
                            <a:lumMod val="100000"/>
                            <a:lumOff val="0"/>
                          </a:schemeClr>
                        </a:solidFill>
                        <a:ln w="9525">
                          <a:solidFill>
                            <a:srgbClr val="0070C0"/>
                          </a:solidFill>
                          <a:miter lim="800000"/>
                        </a:ln>
                      </wps:spPr>
                      <wps:txbx>
                        <w:txbxContent>
                          <w:p w14:paraId="4546CC36" w14:textId="77777777" w:rsidR="00FA41FC" w:rsidRDefault="00FA41FC">
                            <w:pPr>
                              <w:jc w:val="center"/>
                              <w:rPr>
                                <w:rFonts w:ascii="Swis721 Th BT" w:eastAsia="MS Mincho" w:hAnsi="Swis721 Th BT" w:hint="eastAsia"/>
                                <w:color w:val="404040" w:themeColor="text1" w:themeTint="BF"/>
                                <w:sz w:val="23"/>
                                <w:szCs w:val="23"/>
                              </w:rPr>
                            </w:pPr>
                            <w:r>
                              <w:rPr>
                                <w:rFonts w:ascii="Swis721 Th BT" w:eastAsia="MS Mincho" w:hAnsi="Swis721 Th BT"/>
                                <w:color w:val="404040" w:themeColor="text1" w:themeTint="BF"/>
                                <w:sz w:val="23"/>
                                <w:szCs w:val="23"/>
                              </w:rPr>
                              <w:t>Para isso, 348 mulheres entre a 14ª e 16ª semana de gestação foram selecionadas para receberem:</w:t>
                            </w:r>
                          </w:p>
                          <w:p w14:paraId="481514A6"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919" o:spid="_x0000_s1257" type="#_x0000_t202" style="position:absolute;left:0;text-align:left;margin-left:3.45pt;margin-top:15.9pt;width:450pt;height:44.25pt;z-index:2519941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" fillcolor="white [3212]" strokecolor="#0070c0">
                <v:textbox>
                  <w:txbxContent>
                    <w:p w14:paraId="4546CC36" w14:textId="77777777" w:rsidR="00FA41FC" w:rsidRDefault="00FA41FC">
                      <w:pPr>
                        <w:jc w:val="center"/>
                        <w:rPr>
                          <w:rFonts w:ascii="Swis721 Th BT" w:eastAsia="MS Mincho" w:hAnsi="Swis721 Th BT" w:hint="eastAsia"/>
                          <w:color w:val="404040" w:themeColor="text1" w:themeTint="BF"/>
                          <w:sz w:val="23"/>
                          <w:szCs w:val="23"/>
                        </w:rPr>
                      </w:pPr>
                      <w:r>
                        <w:rPr>
                          <w:rFonts w:ascii="Swis721 Th BT" w:eastAsia="MS Mincho" w:hAnsi="Swis721 Th BT"/>
                          <w:color w:val="404040" w:themeColor="text1" w:themeTint="BF"/>
                          <w:sz w:val="23"/>
                          <w:szCs w:val="23"/>
                        </w:rPr>
                        <w:t>Para isso, 348 mulheres entre a 14ª e 16ª semana de gestação foram selecionadas para receberem:</w:t>
                      </w:r>
                    </w:p>
                    <w:p w14:paraId="481514A6"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6BC606C2" w14:textId="77777777" w:rsidR="00CD65C2" w:rsidRDefault="00CD65C2">
      <w:pPr>
        <w:pStyle w:val="Corpo"/>
        <w:rPr>
          <w:rFonts w:hint="eastAsia"/>
          <w:color w:val="404040" w:themeColor="text1" w:themeTint="BF"/>
        </w:rPr>
      </w:pPr>
    </w:p>
    <w:p w14:paraId="26FE343E" w14:textId="77777777" w:rsidR="00CD65C2" w:rsidRDefault="00CD65C2">
      <w:pPr>
        <w:pStyle w:val="Corpo"/>
        <w:rPr>
          <w:rFonts w:hint="eastAsia"/>
          <w:color w:val="404040" w:themeColor="text1" w:themeTint="BF"/>
        </w:rPr>
      </w:pPr>
    </w:p>
    <w:p w14:paraId="0126FA6E"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996160" behindDoc="0" locked="0" layoutInCell="1" allowOverlap="1">
                <wp:simplePos x="0" y="0"/>
                <wp:positionH relativeFrom="column">
                  <wp:posOffset>4533900</wp:posOffset>
                </wp:positionH>
                <wp:positionV relativeFrom="paragraph">
                  <wp:posOffset>113665</wp:posOffset>
                </wp:positionV>
                <wp:extent cx="226695" cy="138430"/>
                <wp:effectExtent l="0" t="0" r="1905" b="0"/>
                <wp:wrapNone/>
                <wp:docPr id="739657923" name="Triângulo isósceles 7396579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923" o:spid="_x0000_s1026" o:spt="5" type="#_x0000_t5" style="position:absolute;left:0pt;flip:y;margin-left:357pt;margin-top:8.95pt;height:10.9pt;width:17.85pt;z-index:251996160;mso-width-relative:page;mso-height-relative:page;" fillcolor="#D9D9D9 [3212]" filled="t" stroked="f" coordsize="21600,21600" o:gfxdata="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y6uLg2AAAAAkBAAAPAAAAAAAAAAEAIAAAACIAAABkcnMvZG93bnJldi54bWxQSwECFAAUAAAA&#10;CACHTuJAg3WwxmACAACzBAAADgAAAAAAAAABACAAAAAnAQAAZHJzL2Uyb0RvYy54bWxQSwUGAAAA&#10;AAYABgBZAQAA+QU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1993088" behindDoc="0" locked="0" layoutInCell="1" allowOverlap="1">
                <wp:simplePos x="0" y="0"/>
                <wp:positionH relativeFrom="column">
                  <wp:posOffset>986790</wp:posOffset>
                </wp:positionH>
                <wp:positionV relativeFrom="paragraph">
                  <wp:posOffset>113665</wp:posOffset>
                </wp:positionV>
                <wp:extent cx="226695" cy="138430"/>
                <wp:effectExtent l="0" t="0" r="1905" b="0"/>
                <wp:wrapNone/>
                <wp:docPr id="739657920" name="Triângulo isósceles 7396579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920" o:spid="_x0000_s1026" o:spt="5" type="#_x0000_t5" style="position:absolute;left:0pt;flip:y;margin-left:77.7pt;margin-top:8.95pt;height:10.9pt;width:17.85pt;z-index:251993088;mso-width-relative:page;mso-height-relative:page;" fillcolor="#D9D9D9 [3212]" filled="t" stroked="f" coordsize="21600,21600" o:gfxdata="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Gz35cHXAAAACQEAAA8AAAAAAAAAAQAgAAAAIgAAAGRycy9kb3ducmV2LnhtbFBLAQIUABQAAAAI&#10;AIdO4kB7h7gNYAIAALMEAAAOAAAAAAAAAAEAIAAAACYBAABkcnMvZTJvRG9jLnhtbFBLBQYAAAAA&#10;BgAGAFkBAAD4BQAAAAA=&#10;" adj="10800">
                <v:fill on="t" focussize="0,0"/>
                <v:stroke on="f"/>
                <v:imagedata o:title=""/>
                <o:lock v:ext="edit" aspectratio="f"/>
              </v:shape>
            </w:pict>
          </mc:Fallback>
        </mc:AlternateContent>
      </w:r>
    </w:p>
    <w:p w14:paraId="4F620183"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1995136" behindDoc="0" locked="0" layoutInCell="1" allowOverlap="1">
                <wp:simplePos x="0" y="0"/>
                <wp:positionH relativeFrom="column">
                  <wp:posOffset>3590925</wp:posOffset>
                </wp:positionH>
                <wp:positionV relativeFrom="paragraph">
                  <wp:posOffset>165100</wp:posOffset>
                </wp:positionV>
                <wp:extent cx="2171700" cy="685800"/>
                <wp:effectExtent l="0" t="0" r="19050" b="19050"/>
                <wp:wrapNone/>
                <wp:docPr id="739657922" name="Caixa de texto 739657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685800"/>
                        </a:xfrm>
                        <a:prstGeom prst="rect">
                          <a:avLst/>
                        </a:prstGeom>
                        <a:solidFill>
                          <a:srgbClr val="0070C0"/>
                        </a:solidFill>
                        <a:ln w="9525">
                          <a:solidFill>
                            <a:srgbClr val="0070C0"/>
                          </a:solidFill>
                          <a:miter lim="800000"/>
                        </a:ln>
                      </wps:spPr>
                      <wps:txbx>
                        <w:txbxContent>
                          <w:p w14:paraId="688ADF47"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p>
                          <w:p w14:paraId="32A48BA6"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6D8E2583"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739657922" o:spid="_x0000_s1258" type="#_x0000_t202" style="position:absolute;left:0;text-align:left;margin-left:282.75pt;margin-top:13pt;width:171pt;height:54pt;z-index:25199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" fillcolor="#0070c0" strokecolor="#0070c0">
                <v:textbox>
                  <w:txbxContent>
                    <w:p w14:paraId="688ADF47"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p>
                    <w:p w14:paraId="32A48BA6"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6D8E2583"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1992064" behindDoc="0" locked="0" layoutInCell="1" allowOverlap="1">
                <wp:simplePos x="0" y="0"/>
                <wp:positionH relativeFrom="column">
                  <wp:posOffset>43815</wp:posOffset>
                </wp:positionH>
                <wp:positionV relativeFrom="paragraph">
                  <wp:posOffset>165100</wp:posOffset>
                </wp:positionV>
                <wp:extent cx="2171700" cy="685800"/>
                <wp:effectExtent l="0" t="0" r="19050" b="19050"/>
                <wp:wrapNone/>
                <wp:docPr id="739657921" name="Caixa de texto 7396579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685800"/>
                        </a:xfrm>
                        <a:prstGeom prst="rect">
                          <a:avLst/>
                        </a:prstGeom>
                        <a:solidFill>
                          <a:srgbClr val="0070C0"/>
                        </a:solidFill>
                        <a:ln w="9525">
                          <a:solidFill>
                            <a:srgbClr val="0070C0"/>
                          </a:solidFill>
                          <a:miter lim="800000"/>
                        </a:ln>
                      </wps:spPr>
                      <wps:txbx>
                        <w:txbxContent>
                          <w:p w14:paraId="0BFE2C34"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400 a 600 UI</w:t>
                            </w:r>
                          </w:p>
                          <w:p w14:paraId="30F279B1"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61335AFC"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739657921" o:spid="_x0000_s1259" type="#_x0000_t202" style="position:absolute;left:0;text-align:left;margin-left:3.45pt;margin-top:13pt;width:171pt;height:54pt;z-index:25199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" fillcolor="#0070c0" strokecolor="#0070c0">
                <v:textbox>
                  <w:txbxContent>
                    <w:p w14:paraId="0BFE2C34"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400 a 600 UI</w:t>
                      </w:r>
                    </w:p>
                    <w:p w14:paraId="30F279B1"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61335AFC"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p>
    <w:p w14:paraId="0A364DAB" w14:textId="77777777" w:rsidR="00CD65C2" w:rsidRDefault="00CD65C2">
      <w:pPr>
        <w:pStyle w:val="Corpo"/>
        <w:rPr>
          <w:rFonts w:hint="eastAsia"/>
          <w:color w:val="404040" w:themeColor="text1" w:themeTint="BF"/>
        </w:rPr>
      </w:pPr>
    </w:p>
    <w:p w14:paraId="604E3D9C" w14:textId="77777777" w:rsidR="00CD65C2" w:rsidRDefault="00CD65C2">
      <w:pPr>
        <w:pStyle w:val="Corpo"/>
        <w:rPr>
          <w:rFonts w:hint="eastAsia"/>
          <w:color w:val="404040" w:themeColor="text1" w:themeTint="BF"/>
        </w:rPr>
      </w:pPr>
    </w:p>
    <w:p w14:paraId="349E751F" w14:textId="77777777" w:rsidR="00CD65C2" w:rsidRDefault="00CD65C2">
      <w:pPr>
        <w:pStyle w:val="Corpo"/>
        <w:rPr>
          <w:rFonts w:hint="eastAsia"/>
          <w:color w:val="404040" w:themeColor="text1" w:themeTint="BF"/>
        </w:rPr>
      </w:pPr>
    </w:p>
    <w:p w14:paraId="3DFFEBDF" w14:textId="77777777" w:rsidR="00CD65C2" w:rsidRDefault="00CD65C2">
      <w:pPr>
        <w:pStyle w:val="Corpo"/>
        <w:rPr>
          <w:rFonts w:hint="eastAsia"/>
          <w:color w:val="404040" w:themeColor="text1" w:themeTint="BF"/>
        </w:rPr>
      </w:pPr>
    </w:p>
    <w:p w14:paraId="1E089A0A" w14:textId="77777777" w:rsidR="00CD65C2" w:rsidRDefault="00CD65C2">
      <w:pPr>
        <w:pStyle w:val="Corpo"/>
        <w:rPr>
          <w:rFonts w:hint="eastAsia"/>
          <w:color w:val="404040" w:themeColor="text1" w:themeTint="BF"/>
        </w:rPr>
      </w:pPr>
    </w:p>
    <w:p w14:paraId="4B0A24CF"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5F32F55C" w14:textId="77777777" w:rsidR="00CD65C2" w:rsidRDefault="00CD65C2">
      <w:pPr>
        <w:pStyle w:val="Corpo"/>
        <w:rPr>
          <w:rFonts w:hint="eastAsia"/>
          <w:color w:val="404040" w:themeColor="text1" w:themeTint="BF"/>
          <w:sz w:val="16"/>
          <w:szCs w:val="16"/>
        </w:rPr>
      </w:pPr>
    </w:p>
    <w:p w14:paraId="40FBB44C" w14:textId="77777777"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As mulheres do grupo 1 tiveram menor glicemia em jejum e DMG comparado com as mulheres do grupo placebo;</w:t>
      </w:r>
    </w:p>
    <w:p w14:paraId="13409457" w14:textId="77777777"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Os ácidos biliares em jejum mais baixos foram observados em mulheres do grupo 1;</w:t>
      </w:r>
    </w:p>
    <w:p w14:paraId="2F878115" w14:textId="77777777"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 xml:space="preserve">Uma diminuição significativa do ácido glicocólico (GCA) foi encontrada em mulheres mais velhas (idade ≥ 35) que receberam </w:t>
      </w:r>
      <w:r>
        <w:rPr>
          <w:i/>
          <w:iCs/>
          <w:color w:val="404040" w:themeColor="text1" w:themeTint="BF"/>
          <w:sz w:val="24"/>
        </w:rPr>
        <w:t>Lactobacillus rhamnosus</w:t>
      </w:r>
      <w:r>
        <w:rPr>
          <w:color w:val="404040" w:themeColor="text1" w:themeTint="BF"/>
          <w:sz w:val="24"/>
        </w:rPr>
        <w:t>, enquanto as mulheres com DMG mostraram redução significativa do ácido taurodeoxicólico (TDCA);</w:t>
      </w:r>
    </w:p>
    <w:p w14:paraId="7C6FD44C" w14:textId="77777777"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Os ácidos biliares conjugados em jejum foram positivamente correlacionados com glicose em jejum e insulina em jejum.</w:t>
      </w:r>
    </w:p>
    <w:p w14:paraId="6930675C" w14:textId="77777777" w:rsidR="00CD65C2" w:rsidRDefault="00CD65C2">
      <w:pPr>
        <w:pStyle w:val="Corpo"/>
        <w:spacing w:after="120"/>
        <w:ind w:left="360"/>
        <w:rPr>
          <w:rFonts w:hint="eastAsia"/>
          <w:color w:val="404040" w:themeColor="text1" w:themeTint="BF"/>
          <w:sz w:val="24"/>
        </w:rPr>
      </w:pPr>
    </w:p>
    <w:p w14:paraId="00FA2917"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180703B7" w14:textId="77777777" w:rsidR="00CD65C2" w:rsidRDefault="00CD65C2">
      <w:pPr>
        <w:pStyle w:val="Corpo"/>
        <w:rPr>
          <w:rFonts w:hint="eastAsia"/>
          <w:b/>
          <w:color w:val="339966"/>
          <w:sz w:val="16"/>
          <w:szCs w:val="16"/>
          <w14:textFill>
            <w14:solidFill>
              <w14:srgbClr w14:val="339966">
                <w14:lumMod w14:val="75000"/>
                <w14:lumOff w14:val="25000"/>
              </w14:srgbClr>
            </w14:solidFill>
          </w14:textFill>
        </w:rPr>
      </w:pPr>
    </w:p>
    <w:p w14:paraId="60264B56" w14:textId="77777777" w:rsidR="00CD65C2" w:rsidRDefault="00FA41FC">
      <w:pPr>
        <w:pStyle w:val="Corpo"/>
        <w:jc w:val="center"/>
        <w:rPr>
          <w:rFonts w:hint="eastAsia"/>
          <w:b/>
          <w:i/>
          <w:color w:val="404040" w:themeColor="text1" w:themeTint="BF"/>
        </w:rPr>
      </w:pPr>
      <w:r>
        <w:rPr>
          <w:b/>
          <w:i/>
          <w:color w:val="404040" w:themeColor="text1" w:themeTint="BF"/>
        </w:rPr>
        <w:t xml:space="preserve">De acordo com os resultados, a suplementação com probiótico </w:t>
      </w:r>
      <w:r>
        <w:rPr>
          <w:b/>
          <w:iCs/>
          <w:color w:val="404040" w:themeColor="text1" w:themeTint="BF"/>
        </w:rPr>
        <w:t>Lactobacillus rhamnosus</w:t>
      </w:r>
      <w:r>
        <w:rPr>
          <w:b/>
          <w:i/>
          <w:color w:val="404040" w:themeColor="text1" w:themeTint="BF"/>
        </w:rPr>
        <w:t xml:space="preserve"> diminui os ácidos biliares conjugados, podendo desempenhar um papel na melhora do metabolismo da glicose em mulheres grávidas.</w:t>
      </w:r>
    </w:p>
    <w:p w14:paraId="38250F00" w14:textId="77777777" w:rsidR="00CD65C2" w:rsidRDefault="00CD65C2">
      <w:pPr>
        <w:pStyle w:val="Corpo"/>
        <w:jc w:val="center"/>
        <w:rPr>
          <w:rFonts w:hint="eastAsia"/>
          <w:b/>
          <w:i/>
          <w:color w:val="404040" w:themeColor="text1" w:themeTint="BF"/>
        </w:rPr>
      </w:pPr>
    </w:p>
    <w:p w14:paraId="00BD529D" w14:textId="77777777" w:rsidR="00CD65C2" w:rsidRDefault="00CD65C2">
      <w:pPr>
        <w:pStyle w:val="Corpo"/>
        <w:jc w:val="center"/>
        <w:rPr>
          <w:rFonts w:hint="eastAsia"/>
          <w:b/>
          <w:i/>
          <w:color w:val="404040" w:themeColor="text1" w:themeTint="BF"/>
        </w:rPr>
      </w:pPr>
    </w:p>
    <w:p w14:paraId="7A16FBD1" w14:textId="77777777" w:rsidR="00CD65C2" w:rsidRDefault="00FA41FC">
      <w:pPr>
        <w:pStyle w:val="Ttulo1"/>
        <w:jc w:val="center"/>
        <w:rPr>
          <w:rFonts w:hint="eastAsia"/>
        </w:rPr>
      </w:pPr>
      <w:bookmarkStart w:id="179" w:name="_Toc165537326"/>
      <w:r>
        <w:rPr>
          <w:rStyle w:val="Ttulo1Char"/>
          <w:b/>
        </w:rPr>
        <w:t>Formulário</w:t>
      </w:r>
      <w:bookmarkEnd w:id="179"/>
    </w:p>
    <w:p w14:paraId="5EC77643" w14:textId="77777777" w:rsidR="00CD65C2" w:rsidRDefault="00CD65C2">
      <w:pPr>
        <w:pStyle w:val="Corpo"/>
        <w:rPr>
          <w:rFonts w:hint="eastAsia"/>
          <w:b/>
          <w:i/>
          <w:color w:val="404040" w:themeColor="text1" w:themeTint="BF"/>
        </w:rPr>
      </w:pPr>
    </w:p>
    <w:p w14:paraId="2510DEF4" w14:textId="77777777" w:rsidR="00CD65C2" w:rsidRDefault="00CD65C2">
      <w:pPr>
        <w:pStyle w:val="Corpo"/>
        <w:rPr>
          <w:rFonts w:hint="eastAsia"/>
          <w:b/>
          <w:i/>
          <w:color w:val="404040" w:themeColor="text1" w:themeTint="BF"/>
        </w:rPr>
      </w:pPr>
    </w:p>
    <w:p w14:paraId="1345FEBA" w14:textId="77777777" w:rsidR="00CD65C2" w:rsidRDefault="00FA41FC">
      <w:pPr>
        <w:pStyle w:val="Corpo"/>
        <w:rPr>
          <w:rFonts w:hint="eastAsia"/>
          <w:b/>
          <w:i/>
          <w:color w:val="404040" w:themeColor="text1" w:themeTint="BF"/>
          <w:sz w:val="24"/>
        </w:rPr>
      </w:pPr>
      <w:r>
        <w:rPr>
          <w:b/>
          <w:i/>
          <w:color w:val="404040" w:themeColor="text1" w:themeTint="BF"/>
          <w:sz w:val="24"/>
        </w:rPr>
        <w:t>Redução da Glicemia e Ácidos Biliares em Jejum no Diabetes Gestacional</w:t>
      </w:r>
    </w:p>
    <w:p w14:paraId="7F49CF01"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3F2665F2"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4D97445C" w14:textId="77777777" w:rsidR="00CD65C2" w:rsidRDefault="00FA41FC">
            <w:pPr>
              <w:pStyle w:val="Corpo"/>
              <w:jc w:val="center"/>
              <w:rPr>
                <w:rFonts w:hint="eastAsia"/>
                <w:b/>
                <w:i/>
                <w:color w:val="FFFFFF" w:themeColor="background1"/>
              </w:rPr>
            </w:pPr>
            <w:r>
              <w:rPr>
                <w:b/>
                <w:color w:val="FFFFFF" w:themeColor="background1"/>
              </w:rPr>
              <w:t xml:space="preserve">Cápsulas de </w:t>
            </w:r>
            <w:r>
              <w:rPr>
                <w:b/>
                <w:i/>
                <w:iCs/>
                <w:color w:val="FFFFFF" w:themeColor="background1"/>
              </w:rPr>
              <w:t>Lactobacillus rhamnosus</w:t>
            </w:r>
          </w:p>
        </w:tc>
      </w:tr>
      <w:tr w:rsidR="00CD65C2" w14:paraId="11419A0D"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F21DDAA" w14:textId="77777777" w:rsidR="00CD65C2" w:rsidRDefault="00FA41FC">
            <w:pPr>
              <w:pStyle w:val="Corpo"/>
              <w:rPr>
                <w:rFonts w:hint="eastAsia"/>
                <w:color w:val="404040" w:themeColor="text1" w:themeTint="BF"/>
              </w:rPr>
            </w:pPr>
            <w:r>
              <w:rPr>
                <w:i/>
                <w:iCs/>
                <w:color w:val="404040" w:themeColor="text1" w:themeTint="BF"/>
              </w:rPr>
              <w:t>Lactobacillus rhamnosus</w:t>
            </w:r>
            <w:r>
              <w:rPr>
                <w:color w:val="404040" w:themeColor="text1" w:themeTint="BF"/>
              </w:rPr>
              <w:t>............6x10</w:t>
            </w:r>
            <w:r>
              <w:rPr>
                <w:color w:val="404040" w:themeColor="text1" w:themeTint="BF"/>
                <w:vertAlign w:val="superscript"/>
              </w:rPr>
              <w:t>9</w:t>
            </w:r>
            <w:r>
              <w:rPr>
                <w:color w:val="404040" w:themeColor="text1" w:themeTint="BF"/>
              </w:rPr>
              <w:t xml:space="preserve"> UFC</w:t>
            </w:r>
          </w:p>
        </w:tc>
      </w:tr>
      <w:tr w:rsidR="00CD65C2" w14:paraId="00C265B9"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CBFAFA7" w14:textId="4E216CF2" w:rsidR="00CD65C2" w:rsidRDefault="00FA41FC">
            <w:pPr>
              <w:pStyle w:val="Corpo"/>
              <w:rPr>
                <w:rFonts w:hint="eastAsia"/>
                <w:color w:val="404040" w:themeColor="text1" w:themeTint="BF"/>
              </w:rPr>
            </w:pPr>
            <w:r>
              <w:rPr>
                <w:color w:val="404040" w:themeColor="text1" w:themeTint="BF"/>
              </w:rPr>
              <w:t>Excipiente q.s.p.. ……………..1 Cápsula</w:t>
            </w:r>
          </w:p>
        </w:tc>
      </w:tr>
    </w:tbl>
    <w:p w14:paraId="3CC52BB2" w14:textId="77777777" w:rsidR="00CD65C2" w:rsidRDefault="00FA41FC">
      <w:pPr>
        <w:pStyle w:val="Corpo"/>
        <w:ind w:right="4762"/>
        <w:jc w:val="center"/>
        <w:rPr>
          <w:rFonts w:hint="eastAsia"/>
          <w:color w:val="404040" w:themeColor="text1" w:themeTint="BF"/>
          <w:sz w:val="22"/>
          <w:szCs w:val="22"/>
        </w:rPr>
      </w:pPr>
      <w:r>
        <w:rPr>
          <w:color w:val="404040" w:themeColor="text1" w:themeTint="BF"/>
          <w:sz w:val="22"/>
          <w:szCs w:val="22"/>
        </w:rPr>
        <w:t>Administrar 1 cápsula ao dia ou conforme orientação médica.</w:t>
      </w:r>
    </w:p>
    <w:p w14:paraId="732A1C0F" w14:textId="77777777" w:rsidR="00CD65C2" w:rsidRDefault="00CD65C2">
      <w:pPr>
        <w:pStyle w:val="Corpo"/>
        <w:spacing w:line="276" w:lineRule="auto"/>
        <w:rPr>
          <w:rFonts w:hint="eastAsia"/>
          <w:b/>
          <w:color w:val="404040" w:themeColor="text1" w:themeTint="BF"/>
        </w:rPr>
      </w:pPr>
    </w:p>
    <w:p w14:paraId="3183734C" w14:textId="77777777" w:rsidR="00CD65C2" w:rsidRDefault="00CD65C2">
      <w:pPr>
        <w:pStyle w:val="Corpo"/>
        <w:spacing w:line="276" w:lineRule="auto"/>
        <w:rPr>
          <w:rFonts w:hint="eastAsia"/>
          <w:b/>
          <w:color w:val="404040" w:themeColor="text1" w:themeTint="BF"/>
        </w:rPr>
      </w:pPr>
    </w:p>
    <w:p w14:paraId="1AEAEA3A" w14:textId="77777777" w:rsidR="00CD65C2" w:rsidRDefault="00CD65C2">
      <w:pPr>
        <w:pStyle w:val="Corpo"/>
        <w:spacing w:line="276" w:lineRule="auto"/>
        <w:rPr>
          <w:rFonts w:hint="eastAsia"/>
          <w:b/>
          <w:color w:val="404040" w:themeColor="text1" w:themeTint="BF"/>
        </w:rPr>
      </w:pPr>
    </w:p>
    <w:p w14:paraId="41286EB7" w14:textId="77777777" w:rsidR="00CD65C2" w:rsidRDefault="00CD65C2">
      <w:pPr>
        <w:pStyle w:val="Corpo"/>
        <w:spacing w:line="276" w:lineRule="auto"/>
        <w:rPr>
          <w:rFonts w:hint="eastAsia"/>
          <w:b/>
          <w:color w:val="404040" w:themeColor="text1" w:themeTint="BF"/>
        </w:rPr>
      </w:pPr>
    </w:p>
    <w:p w14:paraId="472C2C6F" w14:textId="77777777" w:rsidR="00CD65C2" w:rsidRDefault="00CD65C2">
      <w:pPr>
        <w:pStyle w:val="Corpo"/>
        <w:spacing w:line="276" w:lineRule="auto"/>
        <w:rPr>
          <w:rFonts w:hint="eastAsia"/>
          <w:b/>
          <w:color w:val="404040" w:themeColor="text1" w:themeTint="BF"/>
        </w:rPr>
      </w:pPr>
    </w:p>
    <w:p w14:paraId="04B182E2" w14:textId="77777777" w:rsidR="00CD65C2" w:rsidRDefault="00CD65C2">
      <w:pPr>
        <w:pStyle w:val="Corpo"/>
        <w:spacing w:line="276" w:lineRule="auto"/>
        <w:rPr>
          <w:rFonts w:hint="eastAsia"/>
          <w:b/>
          <w:color w:val="404040" w:themeColor="text1" w:themeTint="BF"/>
        </w:rPr>
      </w:pPr>
    </w:p>
    <w:p w14:paraId="28F6C270" w14:textId="77777777" w:rsidR="00CD65C2" w:rsidRDefault="00CD65C2">
      <w:pPr>
        <w:pStyle w:val="Corpo"/>
        <w:spacing w:line="276" w:lineRule="auto"/>
        <w:rPr>
          <w:rFonts w:hint="eastAsia"/>
          <w:b/>
          <w:color w:val="404040" w:themeColor="text1" w:themeTint="BF"/>
        </w:rPr>
      </w:pPr>
    </w:p>
    <w:p w14:paraId="1D8E0E38" w14:textId="77777777" w:rsidR="00CD65C2" w:rsidRDefault="00CD65C2">
      <w:pPr>
        <w:pStyle w:val="Corpo"/>
        <w:spacing w:line="276" w:lineRule="auto"/>
        <w:rPr>
          <w:rFonts w:hint="eastAsia"/>
          <w:b/>
          <w:color w:val="404040" w:themeColor="text1" w:themeTint="BF"/>
        </w:rPr>
      </w:pPr>
    </w:p>
    <w:p w14:paraId="6DC4316A" w14:textId="77777777" w:rsidR="00CD65C2" w:rsidRDefault="00CD65C2">
      <w:pPr>
        <w:pStyle w:val="Corpo"/>
        <w:spacing w:line="276" w:lineRule="auto"/>
        <w:rPr>
          <w:rFonts w:hint="eastAsia"/>
          <w:b/>
          <w:color w:val="404040" w:themeColor="text1" w:themeTint="BF"/>
        </w:rPr>
      </w:pPr>
    </w:p>
    <w:p w14:paraId="1AA89CC2" w14:textId="77777777" w:rsidR="00CD65C2" w:rsidRDefault="00CD65C2">
      <w:pPr>
        <w:pStyle w:val="Corpo"/>
        <w:spacing w:line="276" w:lineRule="auto"/>
        <w:rPr>
          <w:rFonts w:hint="eastAsia"/>
          <w:b/>
          <w:color w:val="404040" w:themeColor="text1" w:themeTint="BF"/>
        </w:rPr>
      </w:pPr>
    </w:p>
    <w:p w14:paraId="51926BA8" w14:textId="77777777" w:rsidR="00CD65C2" w:rsidRDefault="00CD65C2">
      <w:pPr>
        <w:pStyle w:val="Corpo"/>
        <w:spacing w:line="276" w:lineRule="auto"/>
        <w:rPr>
          <w:rFonts w:hint="eastAsia"/>
          <w:b/>
          <w:color w:val="404040" w:themeColor="text1" w:themeTint="BF"/>
        </w:rPr>
      </w:pPr>
    </w:p>
    <w:p w14:paraId="7938FA2C" w14:textId="77777777" w:rsidR="00CD65C2" w:rsidRDefault="00CD65C2">
      <w:pPr>
        <w:pStyle w:val="Corpo"/>
        <w:spacing w:line="276" w:lineRule="auto"/>
        <w:rPr>
          <w:rFonts w:hint="eastAsia"/>
          <w:b/>
          <w:color w:val="404040" w:themeColor="text1" w:themeTint="BF"/>
        </w:rPr>
      </w:pPr>
    </w:p>
    <w:p w14:paraId="19E26AA4" w14:textId="77777777" w:rsidR="00CD65C2" w:rsidRDefault="00CD65C2">
      <w:pPr>
        <w:pStyle w:val="Corpo"/>
        <w:spacing w:line="276" w:lineRule="auto"/>
        <w:rPr>
          <w:rFonts w:hint="eastAsia"/>
          <w:b/>
          <w:color w:val="404040" w:themeColor="text1" w:themeTint="BF"/>
        </w:rPr>
      </w:pPr>
    </w:p>
    <w:p w14:paraId="1E21C469" w14:textId="77777777" w:rsidR="00CD65C2" w:rsidRDefault="00CD65C2">
      <w:pPr>
        <w:pStyle w:val="Corpo"/>
        <w:spacing w:line="276" w:lineRule="auto"/>
        <w:rPr>
          <w:rFonts w:hint="eastAsia"/>
          <w:b/>
          <w:color w:val="404040" w:themeColor="text1" w:themeTint="BF"/>
        </w:rPr>
      </w:pPr>
    </w:p>
    <w:p w14:paraId="1078B7C7" w14:textId="77777777" w:rsidR="00CD65C2" w:rsidRDefault="00CD65C2">
      <w:pPr>
        <w:pStyle w:val="Corpo"/>
        <w:spacing w:line="276" w:lineRule="auto"/>
        <w:rPr>
          <w:rFonts w:hint="eastAsia"/>
          <w:b/>
          <w:color w:val="404040" w:themeColor="text1" w:themeTint="BF"/>
        </w:rPr>
      </w:pPr>
    </w:p>
    <w:p w14:paraId="022F19A6" w14:textId="77777777" w:rsidR="00CD65C2" w:rsidRDefault="00CD65C2">
      <w:pPr>
        <w:pStyle w:val="Corpo"/>
        <w:spacing w:line="276" w:lineRule="auto"/>
        <w:rPr>
          <w:rFonts w:hint="eastAsia"/>
          <w:b/>
          <w:color w:val="404040" w:themeColor="text1" w:themeTint="BF"/>
        </w:rPr>
      </w:pPr>
    </w:p>
    <w:p w14:paraId="63F7AC4D" w14:textId="77777777" w:rsidR="00CD65C2" w:rsidRDefault="00CD65C2">
      <w:pPr>
        <w:pStyle w:val="Corpo"/>
        <w:spacing w:line="276" w:lineRule="auto"/>
        <w:rPr>
          <w:rFonts w:hint="eastAsia"/>
          <w:b/>
          <w:color w:val="404040" w:themeColor="text1" w:themeTint="BF"/>
        </w:rPr>
      </w:pPr>
    </w:p>
    <w:p w14:paraId="2F99EC41" w14:textId="77777777" w:rsidR="00CD65C2" w:rsidRDefault="00CD65C2">
      <w:pPr>
        <w:pStyle w:val="Corpo"/>
        <w:spacing w:line="276" w:lineRule="auto"/>
        <w:rPr>
          <w:rFonts w:hint="eastAsia"/>
          <w:b/>
          <w:color w:val="404040" w:themeColor="text1" w:themeTint="BF"/>
        </w:rPr>
      </w:pPr>
    </w:p>
    <w:p w14:paraId="3F0941C5" w14:textId="77777777" w:rsidR="00CD65C2" w:rsidRDefault="00CD65C2">
      <w:pPr>
        <w:pStyle w:val="Corpo"/>
        <w:spacing w:line="276" w:lineRule="auto"/>
        <w:rPr>
          <w:rFonts w:hint="eastAsia"/>
          <w:b/>
          <w:color w:val="404040" w:themeColor="text1" w:themeTint="BF"/>
        </w:rPr>
      </w:pPr>
    </w:p>
    <w:p w14:paraId="612CF955" w14:textId="77777777" w:rsidR="00CD65C2" w:rsidRDefault="00CD65C2">
      <w:pPr>
        <w:pStyle w:val="Corpo"/>
        <w:spacing w:line="276" w:lineRule="auto"/>
        <w:rPr>
          <w:rFonts w:hint="eastAsia"/>
          <w:b/>
          <w:color w:val="404040" w:themeColor="text1" w:themeTint="BF"/>
        </w:rPr>
      </w:pPr>
    </w:p>
    <w:p w14:paraId="156618C2" w14:textId="77777777" w:rsidR="00CD65C2" w:rsidRDefault="00CD65C2">
      <w:pPr>
        <w:pStyle w:val="Corpo"/>
        <w:spacing w:line="276" w:lineRule="auto"/>
        <w:rPr>
          <w:rFonts w:hint="eastAsia"/>
          <w:b/>
          <w:color w:val="404040" w:themeColor="text1" w:themeTint="BF"/>
        </w:rPr>
      </w:pPr>
    </w:p>
    <w:p w14:paraId="08D08D04" w14:textId="77777777" w:rsidR="00CD65C2" w:rsidRDefault="00CD65C2">
      <w:pPr>
        <w:pStyle w:val="Corpo"/>
        <w:spacing w:line="276" w:lineRule="auto"/>
        <w:rPr>
          <w:rFonts w:hint="eastAsia"/>
          <w:b/>
          <w:color w:val="404040" w:themeColor="text1" w:themeTint="BF"/>
        </w:rPr>
      </w:pPr>
    </w:p>
    <w:p w14:paraId="43BE9151" w14:textId="77777777" w:rsidR="00CD65C2" w:rsidRDefault="00CD65C2">
      <w:pPr>
        <w:pStyle w:val="Corpo"/>
        <w:spacing w:line="276" w:lineRule="auto"/>
        <w:rPr>
          <w:rFonts w:hint="eastAsia"/>
          <w:b/>
          <w:color w:val="404040" w:themeColor="text1" w:themeTint="BF"/>
        </w:rPr>
      </w:pPr>
    </w:p>
    <w:p w14:paraId="00D9B97B" w14:textId="77777777" w:rsidR="00CD65C2" w:rsidRDefault="00CD65C2">
      <w:pPr>
        <w:pStyle w:val="Corpo"/>
        <w:spacing w:line="276" w:lineRule="auto"/>
        <w:rPr>
          <w:rFonts w:hint="eastAsia"/>
          <w:b/>
          <w:color w:val="404040" w:themeColor="text1" w:themeTint="BF"/>
        </w:rPr>
      </w:pPr>
    </w:p>
    <w:p w14:paraId="3BAD4A1F" w14:textId="77777777" w:rsidR="00CD65C2" w:rsidRDefault="00CD65C2">
      <w:pPr>
        <w:pStyle w:val="Corpo"/>
        <w:spacing w:line="276" w:lineRule="auto"/>
        <w:rPr>
          <w:rFonts w:hint="eastAsia"/>
          <w:b/>
          <w:color w:val="404040" w:themeColor="text1" w:themeTint="BF"/>
        </w:rPr>
      </w:pPr>
    </w:p>
    <w:p w14:paraId="02016813" w14:textId="77777777" w:rsidR="00CD65C2" w:rsidRDefault="00FA41FC">
      <w:pPr>
        <w:pStyle w:val="Ttulo1"/>
        <w:jc w:val="center"/>
        <w:rPr>
          <w:rFonts w:hint="eastAsia"/>
        </w:rPr>
      </w:pPr>
      <w:bookmarkStart w:id="180" w:name="_Toc165537327"/>
      <w:r>
        <w:rPr>
          <w:bCs/>
          <w:iCs/>
        </w:rPr>
        <w:t>Selênio</w:t>
      </w:r>
      <w:bookmarkEnd w:id="180"/>
    </w:p>
    <w:p w14:paraId="0B02538F" w14:textId="77777777" w:rsidR="00CD65C2" w:rsidRPr="00D1428E" w:rsidRDefault="00FA41FC">
      <w:pPr>
        <w:pStyle w:val="Corpo"/>
        <w:jc w:val="center"/>
        <w:rPr>
          <w:rFonts w:hint="eastAsia"/>
          <w:b/>
          <w:color w:val="0070C0"/>
          <w:sz w:val="40"/>
        </w:rPr>
      </w:pPr>
      <w:r w:rsidRPr="00D1428E">
        <w:rPr>
          <w:b/>
          <w:color w:val="0070C0"/>
          <w:sz w:val="40"/>
        </w:rPr>
        <w:t>Melhora os Níveis de Selênio e os Marcadores do Perfil Metabólico e de Saúde Mental</w:t>
      </w:r>
    </w:p>
    <w:p w14:paraId="734C4055" w14:textId="77777777" w:rsidR="00CD65C2" w:rsidRDefault="00CD65C2">
      <w:pPr>
        <w:pStyle w:val="Corpo"/>
        <w:rPr>
          <w:rFonts w:hint="eastAsia"/>
          <w:color w:val="404040" w:themeColor="text1" w:themeTint="BF"/>
          <w:sz w:val="24"/>
        </w:rPr>
      </w:pPr>
    </w:p>
    <w:p w14:paraId="4F4CF43B" w14:textId="77777777" w:rsidR="00CD65C2" w:rsidRDefault="00FA41FC">
      <w:pPr>
        <w:pStyle w:val="Corpo"/>
        <w:rPr>
          <w:rFonts w:hint="eastAsia"/>
          <w:color w:val="404040" w:themeColor="text1" w:themeTint="BF"/>
          <w:szCs w:val="23"/>
        </w:rPr>
      </w:pPr>
      <w:r>
        <w:rPr>
          <w:color w:val="404040" w:themeColor="text1" w:themeTint="BF"/>
          <w:szCs w:val="23"/>
        </w:rPr>
        <w:t xml:space="preserve">Este estudo randomizado, duplo-cego e placebo-controlado avaliou os efeitos da suplementação de Se nos resultados clínicos, perfis metabólicos e índice de pulsatilidade (IP) da artéria uterina no ultrassom Doppler em mães de alto risco de PE em termos de triagem com marcador quádruplo </w:t>
      </w:r>
      <w:r>
        <w:rPr>
          <w:color w:val="404040" w:themeColor="text1" w:themeTint="BF"/>
          <w:szCs w:val="23"/>
        </w:rPr>
        <w:fldChar w:fldCharType="begin">
          <w:fldData xml:space="preserve">PEVuZE5vdGU+PENpdGU+PEF1dGhvcj5NZXNkYWdoaW5pYTwvQXV0aG9yPjxZZWFyPjIwMjI8L1ll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</w:fldData>
        </w:fldChar>
      </w:r>
      <w:r>
        <w:rPr>
          <w:color w:val="404040" w:themeColor="text1" w:themeTint="BF"/>
          <w:szCs w:val="23"/>
        </w:rPr>
        <w:instrText xml:space="preserve"> ADDIN EN.CITE </w:instrText>
      </w:r>
      <w:r>
        <w:rPr>
          <w:color w:val="404040" w:themeColor="text1" w:themeTint="BF"/>
          <w:szCs w:val="23"/>
        </w:rPr>
        <w:fldChar w:fldCharType="begin">
          <w:fldData xml:space="preserve">PEVuZE5vdGU+PENpdGU+PEF1dGhvcj5NZXNkYWdoaW5pYTwvQXV0aG9yPjxZZWFyPjIwMjI8L1ll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</w:fldData>
        </w:fldChar>
      </w:r>
      <w:r>
        <w:rPr>
          <w:color w:val="404040" w:themeColor="text1" w:themeTint="BF"/>
          <w:szCs w:val="23"/>
        </w:rPr>
        <w:instrText xml:space="preserve"> ADDIN EN.CITE.DATA </w:instrText>
      </w:r>
      <w:r>
        <w:rPr>
          <w:color w:val="404040" w:themeColor="text1" w:themeTint="BF"/>
          <w:szCs w:val="23"/>
        </w:rPr>
      </w:r>
      <w:r>
        <w:rPr>
          <w:color w:val="404040" w:themeColor="text1" w:themeTint="BF"/>
          <w:szCs w:val="23"/>
        </w:rPr>
        <w:fldChar w:fldCharType="end"/>
      </w:r>
      <w:r>
        <w:rPr>
          <w:color w:val="404040" w:themeColor="text1" w:themeTint="BF"/>
          <w:szCs w:val="23"/>
        </w:rPr>
      </w:r>
      <w:r>
        <w:rPr>
          <w:color w:val="404040" w:themeColor="text1" w:themeTint="BF"/>
          <w:szCs w:val="23"/>
        </w:rPr>
        <w:fldChar w:fldCharType="separate"/>
      </w:r>
      <w:r>
        <w:rPr>
          <w:color w:val="404040" w:themeColor="text1" w:themeTint="BF"/>
          <w:szCs w:val="23"/>
        </w:rPr>
        <w:t>(MESDAGHINIA; SHAHIN; GHADERI; SHAHIN</w:t>
      </w:r>
      <w:r>
        <w:rPr>
          <w:i/>
          <w:color w:val="404040" w:themeColor="text1" w:themeTint="BF"/>
          <w:szCs w:val="23"/>
        </w:rPr>
        <w:t xml:space="preserve"> et al.</w:t>
      </w:r>
      <w:r>
        <w:rPr>
          <w:color w:val="404040" w:themeColor="text1" w:themeTint="BF"/>
          <w:szCs w:val="23"/>
        </w:rPr>
        <w:t>, 2022)</w:t>
      </w:r>
      <w:r>
        <w:rPr>
          <w:color w:val="404040" w:themeColor="text1" w:themeTint="BF"/>
          <w:szCs w:val="23"/>
        </w:rPr>
        <w:fldChar w:fldCharType="end"/>
      </w:r>
      <w:r>
        <w:rPr>
          <w:color w:val="404040" w:themeColor="text1" w:themeTint="BF"/>
          <w:szCs w:val="23"/>
        </w:rPr>
        <w:t xml:space="preserve">. </w:t>
      </w:r>
    </w:p>
    <w:p w14:paraId="564253A0"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2013568" behindDoc="0" locked="0" layoutInCell="1" allowOverlap="1">
                <wp:simplePos x="0" y="0"/>
                <wp:positionH relativeFrom="margin">
                  <wp:posOffset>43815</wp:posOffset>
                </wp:positionH>
                <wp:positionV relativeFrom="paragraph">
                  <wp:posOffset>95885</wp:posOffset>
                </wp:positionV>
                <wp:extent cx="5715000" cy="523875"/>
                <wp:effectExtent l="0" t="0" r="19050" b="28575"/>
                <wp:wrapNone/>
                <wp:docPr id="739657940" name="Caixa de texto 739657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23875"/>
                        </a:xfrm>
                        <a:prstGeom prst="rect">
                          <a:avLst/>
                        </a:prstGeom>
                        <a:solidFill>
                          <a:schemeClr val="bg1">
                            <a:lumMod val="100000"/>
                            <a:lumOff val="0"/>
                          </a:schemeClr>
                        </a:solidFill>
                        <a:ln w="9525">
                          <a:solidFill>
                            <a:srgbClr val="0070C0"/>
                          </a:solidFill>
                          <a:miter lim="800000"/>
                        </a:ln>
                      </wps:spPr>
                      <wps:txbx>
                        <w:txbxContent>
                          <w:p w14:paraId="203AB182" w14:textId="77777777" w:rsidR="00FA41FC" w:rsidRDefault="00FA41FC">
                            <w:pPr>
                              <w:jc w:val="center"/>
                              <w:rPr>
                                <w:rFonts w:ascii="Swis721 Th BT" w:hAnsi="Swis721 Th BT"/>
                                <w:sz w:val="23"/>
                                <w:szCs w:val="23"/>
                              </w:rPr>
                            </w:pPr>
                            <w:r>
                              <w:rPr>
                                <w:rFonts w:ascii="Swis721 Th BT" w:hAnsi="Swis721 Th BT"/>
                                <w:sz w:val="23"/>
                                <w:szCs w:val="23"/>
                              </w:rPr>
                              <w:t>Para isso, 60 mulheres grávidas que se encaixavam nesse quadro clínico, na 16ª a 18ª semana de gestação, foram selecionadas para receberem durante 12 semanas:</w:t>
                            </w:r>
                          </w:p>
                          <w:p w14:paraId="06B894BB"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940" o:spid="_x0000_s1260" type="#_x0000_t202" style="position:absolute;left:0;text-align:left;margin-left:3.45pt;margin-top:7.55pt;width:450pt;height:41.25pt;z-index:2520135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" fillcolor="white [3212]" strokecolor="#0070c0">
                <v:textbox>
                  <w:txbxContent>
                    <w:p w14:paraId="203AB182" w14:textId="77777777" w:rsidR="00FA41FC" w:rsidRDefault="00FA41FC">
                      <w:pPr>
                        <w:jc w:val="center"/>
                        <w:rPr>
                          <w:rFonts w:ascii="Swis721 Th BT" w:hAnsi="Swis721 Th BT"/>
                          <w:sz w:val="23"/>
                          <w:szCs w:val="23"/>
                        </w:rPr>
                      </w:pPr>
                      <w:r>
                        <w:rPr>
                          <w:rFonts w:ascii="Swis721 Th BT" w:hAnsi="Swis721 Th BT"/>
                          <w:sz w:val="23"/>
                          <w:szCs w:val="23"/>
                        </w:rPr>
                        <w:t>Para isso, 60 mulheres grávidas que se encaixavam nesse quadro clínico, na 16ª a 18ª semana de gestação, foram selecionadas para receberem durante 12 semanas:</w:t>
                      </w:r>
                    </w:p>
                    <w:p w14:paraId="06B894BB"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722E8EDD" w14:textId="77777777" w:rsidR="00CD65C2" w:rsidRDefault="00CD65C2">
      <w:pPr>
        <w:pStyle w:val="Corpo"/>
        <w:rPr>
          <w:rFonts w:hint="eastAsia"/>
          <w:color w:val="404040" w:themeColor="text1" w:themeTint="BF"/>
        </w:rPr>
      </w:pPr>
    </w:p>
    <w:p w14:paraId="7F2BB8AE" w14:textId="77777777" w:rsidR="00CD65C2" w:rsidRDefault="00CD65C2">
      <w:pPr>
        <w:pStyle w:val="Corpo"/>
        <w:rPr>
          <w:rFonts w:hint="eastAsia"/>
          <w:color w:val="404040" w:themeColor="text1" w:themeTint="BF"/>
        </w:rPr>
      </w:pPr>
    </w:p>
    <w:p w14:paraId="4B58E9EA"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2015616" behindDoc="0" locked="0" layoutInCell="1" allowOverlap="1">
                <wp:simplePos x="0" y="0"/>
                <wp:positionH relativeFrom="column">
                  <wp:posOffset>4543425</wp:posOffset>
                </wp:positionH>
                <wp:positionV relativeFrom="paragraph">
                  <wp:posOffset>26670</wp:posOffset>
                </wp:positionV>
                <wp:extent cx="226695" cy="138430"/>
                <wp:effectExtent l="0" t="0" r="1905" b="0"/>
                <wp:wrapNone/>
                <wp:docPr id="739657941" name="Triângulo isósceles 7396579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941" o:spid="_x0000_s1026" o:spt="5" type="#_x0000_t5" style="position:absolute;left:0pt;flip:y;margin-left:357.75pt;margin-top:2.1pt;height:10.9pt;width:17.85pt;z-index:252015616;mso-width-relative:page;mso-height-relative:page;" fillcolor="#D9D9D9 [3212]" filled="t" stroked="f" coordsize="21600,21600" o:gfxdata="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I95UtbXAAAACAEAAA8AAAAAAAAAAQAgAAAAIgAAAGRycy9kb3ducmV2LnhtbFBLAQIUABQAAAAI&#10;AIdO4kAqNWv3YAIAALMEAAAOAAAAAAAAAAEAIAAAACYBAABkcnMvZTJvRG9jLnhtbFBLBQYAAAAA&#10;BgAGAFkBAAD4BQ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2012544" behindDoc="0" locked="0" layoutInCell="1" allowOverlap="1">
                <wp:simplePos x="0" y="0"/>
                <wp:positionH relativeFrom="column">
                  <wp:posOffset>986790</wp:posOffset>
                </wp:positionH>
                <wp:positionV relativeFrom="paragraph">
                  <wp:posOffset>23495</wp:posOffset>
                </wp:positionV>
                <wp:extent cx="226695" cy="138430"/>
                <wp:effectExtent l="0" t="0" r="1905" b="0"/>
                <wp:wrapNone/>
                <wp:docPr id="739657942" name="Triângulo isósceles 7396579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942" o:spid="_x0000_s1026" o:spt="5" type="#_x0000_t5" style="position:absolute;left:0pt;flip:y;margin-left:77.7pt;margin-top:1.85pt;height:10.9pt;width:17.85pt;z-index:252012544;mso-width-relative:page;mso-height-relative:page;" fillcolor="#D9D9D9 [3212]" filled="t" stroked="f" coordsize="21600,21600" o:gfxdata="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gZ4bYtYAAAAIAQAADwAAAAAAAAABACAAAAAiAAAAZHJzL2Rvd25yZXYueG1sUEsBAhQAFAAAAAgA&#10;h07iQNLHYzxgAgAAswQAAA4AAAAAAAAAAQAgAAAAJQEAAGRycy9lMm9Eb2MueG1sUEsFBgAAAAAG&#10;AAYAWQEAAPcFAAAAAA==&#10;" adj="10800">
                <v:fill on="t" focussize="0,0"/>
                <v:stroke on="f"/>
                <v:imagedata o:title=""/>
                <o:lock v:ext="edit" aspectratio="f"/>
              </v:shape>
            </w:pict>
          </mc:Fallback>
        </mc:AlternateContent>
      </w:r>
    </w:p>
    <w:p w14:paraId="2D1295D8"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2014592" behindDoc="0" locked="0" layoutInCell="1" allowOverlap="1">
                <wp:simplePos x="0" y="0"/>
                <wp:positionH relativeFrom="column">
                  <wp:posOffset>3587115</wp:posOffset>
                </wp:positionH>
                <wp:positionV relativeFrom="paragraph">
                  <wp:posOffset>76200</wp:posOffset>
                </wp:positionV>
                <wp:extent cx="2171700" cy="819150"/>
                <wp:effectExtent l="0" t="0" r="19050" b="19050"/>
                <wp:wrapNone/>
                <wp:docPr id="739657943" name="Caixa de texto 7396579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819150"/>
                        </a:xfrm>
                        <a:prstGeom prst="rect">
                          <a:avLst/>
                        </a:prstGeom>
                        <a:solidFill>
                          <a:srgbClr val="0070C0"/>
                        </a:solidFill>
                        <a:ln w="9525">
                          <a:solidFill>
                            <a:srgbClr val="0070C0"/>
                          </a:solidFill>
                          <a:miter lim="800000"/>
                        </a:ln>
                      </wps:spPr>
                      <wps:txbx>
                        <w:txbxContent>
                          <w:p w14:paraId="7B9FA30E"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p>
                          <w:p w14:paraId="363F5B61"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37A1657D"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739657943" o:spid="_x0000_s1261" type="#_x0000_t202" style="position:absolute;left:0;text-align:left;margin-left:282.45pt;margin-top:6pt;width:171pt;height:64.5pt;z-index:252014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" fillcolor="#0070c0" strokecolor="#0070c0">
                <v:textbox>
                  <w:txbxContent>
                    <w:p w14:paraId="7B9FA30E"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p>
                    <w:p w14:paraId="363F5B61"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37A1657D"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2011520" behindDoc="0" locked="0" layoutInCell="1" allowOverlap="1">
                <wp:simplePos x="0" y="0"/>
                <wp:positionH relativeFrom="column">
                  <wp:posOffset>43815</wp:posOffset>
                </wp:positionH>
                <wp:positionV relativeFrom="paragraph">
                  <wp:posOffset>76200</wp:posOffset>
                </wp:positionV>
                <wp:extent cx="2171700" cy="819150"/>
                <wp:effectExtent l="0" t="0" r="19050" b="19050"/>
                <wp:wrapNone/>
                <wp:docPr id="739657944" name="Caixa de texto 7396579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819150"/>
                        </a:xfrm>
                        <a:prstGeom prst="rect">
                          <a:avLst/>
                        </a:prstGeom>
                        <a:solidFill>
                          <a:srgbClr val="0070C0"/>
                        </a:solidFill>
                        <a:ln w="9525">
                          <a:solidFill>
                            <a:srgbClr val="0070C0"/>
                          </a:solidFill>
                          <a:miter lim="800000"/>
                        </a:ln>
                      </wps:spPr>
                      <wps:txbx>
                        <w:txbxContent>
                          <w:p w14:paraId="59DB73ED"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Selênio Quelato</w:t>
                            </w:r>
                          </w:p>
                          <w:p w14:paraId="52FB2709"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200 µg/dia</w:t>
                            </w:r>
                          </w:p>
                          <w:p w14:paraId="0815593E"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739657944" o:spid="_x0000_s1262" type="#_x0000_t202" style="position:absolute;left:0;text-align:left;margin-left:3.45pt;margin-top:6pt;width:171pt;height:64.5pt;z-index:252011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" fillcolor="#0070c0" strokecolor="#0070c0">
                <v:textbox>
                  <w:txbxContent>
                    <w:p w14:paraId="59DB73ED"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Selênio Quelato</w:t>
                      </w:r>
                    </w:p>
                    <w:p w14:paraId="52FB2709"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200 µg/dia</w:t>
                      </w:r>
                    </w:p>
                    <w:p w14:paraId="0815593E"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p>
    <w:p w14:paraId="360D5240" w14:textId="77777777" w:rsidR="00CD65C2" w:rsidRDefault="00CD65C2">
      <w:pPr>
        <w:pStyle w:val="Corpo"/>
        <w:rPr>
          <w:rFonts w:hint="eastAsia"/>
          <w:color w:val="404040" w:themeColor="text1" w:themeTint="BF"/>
        </w:rPr>
      </w:pPr>
    </w:p>
    <w:p w14:paraId="381939F7" w14:textId="77777777" w:rsidR="00CD65C2" w:rsidRDefault="00CD65C2">
      <w:pPr>
        <w:pStyle w:val="Corpo"/>
        <w:rPr>
          <w:rFonts w:hint="eastAsia"/>
          <w:color w:val="404040" w:themeColor="text1" w:themeTint="BF"/>
        </w:rPr>
      </w:pPr>
    </w:p>
    <w:p w14:paraId="3AD194F8" w14:textId="77777777" w:rsidR="00CD65C2" w:rsidRDefault="00CD65C2">
      <w:pPr>
        <w:pStyle w:val="Corpo"/>
        <w:rPr>
          <w:rFonts w:hint="eastAsia"/>
          <w:color w:val="404040" w:themeColor="text1" w:themeTint="BF"/>
        </w:rPr>
      </w:pPr>
    </w:p>
    <w:p w14:paraId="154CB893" w14:textId="77777777" w:rsidR="00CD65C2" w:rsidRDefault="00CD65C2">
      <w:pPr>
        <w:pStyle w:val="Corpo"/>
        <w:rPr>
          <w:rFonts w:hint="eastAsia"/>
          <w:color w:val="404040" w:themeColor="text1" w:themeTint="BF"/>
        </w:rPr>
      </w:pPr>
    </w:p>
    <w:p w14:paraId="3B51A802" w14:textId="77777777" w:rsidR="00CD65C2" w:rsidRDefault="00FA41FC">
      <w:pPr>
        <w:pStyle w:val="Corpo"/>
        <w:numPr>
          <w:ilvl w:val="1"/>
          <w:numId w:val="4"/>
        </w:numPr>
        <w:rPr>
          <w:rFonts w:hint="eastAsia"/>
          <w:color w:val="404040" w:themeColor="text1" w:themeTint="BF"/>
          <w:sz w:val="20"/>
          <w:szCs w:val="20"/>
          <w:lang w:eastAsia="pt-BR"/>
        </w:rPr>
      </w:pPr>
      <w:r>
        <w:rPr>
          <w:color w:val="404040" w:themeColor="text1" w:themeTint="BF"/>
          <w:sz w:val="20"/>
          <w:szCs w:val="20"/>
          <w:lang w:eastAsia="pt-BR"/>
        </w:rPr>
        <w:t>Os resultados clínicos, perfis metabólicos e IP da artéria uterina foram avaliados no início e no final do estudo.</w:t>
      </w:r>
    </w:p>
    <w:p w14:paraId="46A72EF1" w14:textId="77777777" w:rsidR="00CD65C2" w:rsidRDefault="00CD65C2">
      <w:pPr>
        <w:pStyle w:val="Corpo"/>
        <w:ind w:left="360"/>
        <w:rPr>
          <w:rFonts w:hint="eastAsia"/>
          <w:color w:val="404040" w:themeColor="text1" w:themeTint="BF"/>
        </w:rPr>
      </w:pPr>
    </w:p>
    <w:p w14:paraId="16C0A1B4" w14:textId="77777777" w:rsidR="00CD65C2" w:rsidRDefault="00CD65C2">
      <w:pPr>
        <w:pStyle w:val="Corpo"/>
        <w:rPr>
          <w:rFonts w:hint="eastAsia"/>
          <w:color w:val="404040" w:themeColor="text1" w:themeTint="BF"/>
        </w:rPr>
      </w:pPr>
    </w:p>
    <w:p w14:paraId="77083B2C"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11D2FD73" w14:textId="77777777" w:rsidR="00CD65C2" w:rsidRDefault="00CD65C2">
      <w:pPr>
        <w:pStyle w:val="Corpo"/>
        <w:rPr>
          <w:rFonts w:hint="eastAsia"/>
          <w:color w:val="404040" w:themeColor="text1" w:themeTint="BF"/>
          <w:sz w:val="16"/>
          <w:szCs w:val="16"/>
        </w:rPr>
      </w:pPr>
    </w:p>
    <w:p w14:paraId="6651DEFF" w14:textId="77777777" w:rsidR="00CD65C2" w:rsidRDefault="00FA41FC">
      <w:pPr>
        <w:pStyle w:val="Corpo"/>
        <w:numPr>
          <w:ilvl w:val="0"/>
          <w:numId w:val="37"/>
        </w:numPr>
        <w:rPr>
          <w:rFonts w:hint="eastAsia"/>
          <w:color w:val="404040" w:themeColor="text1" w:themeTint="BF"/>
          <w:szCs w:val="23"/>
        </w:rPr>
      </w:pPr>
      <w:r>
        <w:rPr>
          <w:color w:val="404040" w:themeColor="text1" w:themeTint="BF"/>
          <w:szCs w:val="23"/>
        </w:rPr>
        <w:t>A suplementação de Se resultou em uma elevação significativa nos níveis séricos de Se (</w:t>
      </w:r>
      <w:r>
        <w:rPr>
          <w:rFonts w:ascii="Calibri" w:hAnsi="Calibri" w:cs="Calibri"/>
          <w:color w:val="404040" w:themeColor="text1" w:themeTint="BF"/>
          <w:szCs w:val="23"/>
        </w:rPr>
        <w:t>β</w:t>
      </w:r>
      <w:r>
        <w:rPr>
          <w:color w:val="404040" w:themeColor="text1" w:themeTint="BF"/>
          <w:szCs w:val="23"/>
        </w:rPr>
        <w:t xml:space="preserve"> 22,25 </w:t>
      </w:r>
      <w:r>
        <w:rPr>
          <w:rFonts w:cs="Swis721 Th BT"/>
          <w:color w:val="404040" w:themeColor="text1" w:themeTint="BF"/>
          <w:szCs w:val="23"/>
        </w:rPr>
        <w:t>µ</w:t>
      </w:r>
      <w:r>
        <w:rPr>
          <w:color w:val="404040" w:themeColor="text1" w:themeTint="BF"/>
          <w:szCs w:val="23"/>
        </w:rPr>
        <w:t>g/dl) em compara</w:t>
      </w:r>
      <w:r>
        <w:rPr>
          <w:rFonts w:cs="Swis721 Th BT"/>
          <w:color w:val="404040" w:themeColor="text1" w:themeTint="BF"/>
          <w:szCs w:val="23"/>
        </w:rPr>
        <w:t>çã</w:t>
      </w:r>
      <w:r>
        <w:rPr>
          <w:color w:val="404040" w:themeColor="text1" w:themeTint="BF"/>
          <w:szCs w:val="23"/>
        </w:rPr>
        <w:t>o com o placebo;</w:t>
      </w:r>
    </w:p>
    <w:p w14:paraId="6DE4BBA5" w14:textId="77777777" w:rsidR="00CD65C2" w:rsidRDefault="00FA41FC">
      <w:pPr>
        <w:pStyle w:val="Corpo"/>
        <w:numPr>
          <w:ilvl w:val="0"/>
          <w:numId w:val="37"/>
        </w:numPr>
        <w:rPr>
          <w:rFonts w:hint="eastAsia"/>
          <w:color w:val="404040" w:themeColor="text1" w:themeTint="BF"/>
          <w:szCs w:val="23"/>
        </w:rPr>
      </w:pPr>
      <w:r>
        <w:rPr>
          <w:color w:val="404040" w:themeColor="text1" w:themeTint="BF"/>
          <w:szCs w:val="23"/>
        </w:rPr>
        <w:t>A suplementação também levou a um aumento expresssivo na capacidade antioxidante total (</w:t>
      </w:r>
      <w:r>
        <w:rPr>
          <w:rFonts w:ascii="Calibri" w:hAnsi="Calibri" w:cs="Calibri"/>
          <w:color w:val="404040" w:themeColor="text1" w:themeTint="BF"/>
          <w:szCs w:val="23"/>
        </w:rPr>
        <w:t>β</w:t>
      </w:r>
      <w:r>
        <w:rPr>
          <w:color w:val="404040" w:themeColor="text1" w:themeTint="BF"/>
          <w:szCs w:val="23"/>
        </w:rPr>
        <w:t xml:space="preserve"> 82,88 mmol/L) e glutationa total (</w:t>
      </w:r>
      <w:r>
        <w:rPr>
          <w:rFonts w:ascii="Calibri" w:hAnsi="Calibri" w:cs="Calibri"/>
          <w:color w:val="404040" w:themeColor="text1" w:themeTint="BF"/>
          <w:szCs w:val="23"/>
        </w:rPr>
        <w:t>β</w:t>
      </w:r>
      <w:r>
        <w:rPr>
          <w:color w:val="404040" w:themeColor="text1" w:themeTint="BF"/>
          <w:szCs w:val="23"/>
        </w:rPr>
        <w:t xml:space="preserve"> 71,35 </w:t>
      </w:r>
      <w:r>
        <w:rPr>
          <w:rFonts w:cs="Swis721 Th BT"/>
          <w:color w:val="404040" w:themeColor="text1" w:themeTint="BF"/>
          <w:szCs w:val="23"/>
        </w:rPr>
        <w:t>µ</w:t>
      </w:r>
      <w:r>
        <w:rPr>
          <w:color w:val="404040" w:themeColor="text1" w:themeTint="BF"/>
          <w:szCs w:val="23"/>
        </w:rPr>
        <w:t>mol/L) e uma redu</w:t>
      </w:r>
      <w:r>
        <w:rPr>
          <w:rFonts w:cs="Swis721 Th BT"/>
          <w:color w:val="404040" w:themeColor="text1" w:themeTint="BF"/>
          <w:szCs w:val="23"/>
        </w:rPr>
        <w:t>çã</w:t>
      </w:r>
      <w:r>
        <w:rPr>
          <w:color w:val="404040" w:themeColor="text1" w:themeTint="BF"/>
          <w:szCs w:val="23"/>
        </w:rPr>
        <w:t>o acentuada nos n</w:t>
      </w:r>
      <w:r>
        <w:rPr>
          <w:rFonts w:cs="Swis721 Th BT"/>
          <w:color w:val="404040" w:themeColor="text1" w:themeTint="BF"/>
          <w:szCs w:val="23"/>
        </w:rPr>
        <w:t>í</w:t>
      </w:r>
      <w:r>
        <w:rPr>
          <w:color w:val="404040" w:themeColor="text1" w:themeTint="BF"/>
          <w:szCs w:val="23"/>
        </w:rPr>
        <w:t>veis de prote</w:t>
      </w:r>
      <w:r>
        <w:rPr>
          <w:rFonts w:cs="Swis721 Th BT"/>
          <w:color w:val="404040" w:themeColor="text1" w:themeTint="BF"/>
          <w:szCs w:val="23"/>
        </w:rPr>
        <w:t>í</w:t>
      </w:r>
      <w:r>
        <w:rPr>
          <w:color w:val="404040" w:themeColor="text1" w:themeTint="BF"/>
          <w:szCs w:val="23"/>
        </w:rPr>
        <w:t>na C reativa de alta sensibilidade (</w:t>
      </w:r>
      <w:r>
        <w:rPr>
          <w:rFonts w:ascii="Calibri" w:hAnsi="Calibri" w:cs="Calibri"/>
          <w:color w:val="404040" w:themeColor="text1" w:themeTint="BF"/>
          <w:szCs w:val="23"/>
        </w:rPr>
        <w:t>β</w:t>
      </w:r>
      <w:r>
        <w:rPr>
          <w:color w:val="404040" w:themeColor="text1" w:themeTint="BF"/>
          <w:szCs w:val="23"/>
        </w:rPr>
        <w:t xml:space="preserve"> - 1,52) em compara</w:t>
      </w:r>
      <w:r>
        <w:rPr>
          <w:rFonts w:cs="Swis721 Th BT"/>
          <w:color w:val="404040" w:themeColor="text1" w:themeTint="BF"/>
          <w:szCs w:val="23"/>
        </w:rPr>
        <w:t>çã</w:t>
      </w:r>
      <w:r>
        <w:rPr>
          <w:color w:val="404040" w:themeColor="text1" w:themeTint="BF"/>
          <w:szCs w:val="23"/>
        </w:rPr>
        <w:t>o com o placebo;</w:t>
      </w:r>
    </w:p>
    <w:p w14:paraId="7AFF8F11" w14:textId="735D660A" w:rsidR="00CD65C2" w:rsidRDefault="00FA41FC">
      <w:pPr>
        <w:pStyle w:val="Corpo"/>
        <w:numPr>
          <w:ilvl w:val="0"/>
          <w:numId w:val="37"/>
        </w:numPr>
        <w:rPr>
          <w:rFonts w:hint="eastAsia"/>
          <w:color w:val="404040" w:themeColor="text1" w:themeTint="BF"/>
          <w:szCs w:val="23"/>
        </w:rPr>
      </w:pPr>
      <w:r>
        <w:rPr>
          <w:color w:val="404040" w:themeColor="text1" w:themeTint="BF"/>
          <w:szCs w:val="23"/>
        </w:rPr>
        <w:t>O grupo 1 teve uma diminuição considerável do IP da artéria uterina no ultrassom Doppler (</w:t>
      </w:r>
      <w:r>
        <w:rPr>
          <w:rFonts w:ascii="Calibri" w:hAnsi="Calibri" w:cs="Calibri"/>
          <w:color w:val="404040" w:themeColor="text1" w:themeTint="BF"/>
          <w:szCs w:val="23"/>
        </w:rPr>
        <w:t>β</w:t>
      </w:r>
      <w:r>
        <w:rPr>
          <w:color w:val="404040" w:themeColor="text1" w:themeTint="BF"/>
          <w:szCs w:val="23"/>
        </w:rPr>
        <w:t xml:space="preserve"> - 0,09), um al</w:t>
      </w:r>
      <w:r>
        <w:rPr>
          <w:rFonts w:cs="Swis721 Th BT"/>
          <w:color w:val="404040" w:themeColor="text1" w:themeTint="BF"/>
          <w:szCs w:val="23"/>
        </w:rPr>
        <w:t>í</w:t>
      </w:r>
      <w:r>
        <w:rPr>
          <w:color w:val="404040" w:themeColor="text1" w:themeTint="BF"/>
          <w:szCs w:val="23"/>
        </w:rPr>
        <w:t>vio signifcativo na depress</w:t>
      </w:r>
      <w:r>
        <w:rPr>
          <w:rFonts w:cs="Swis721 Th BT"/>
          <w:color w:val="404040" w:themeColor="text1" w:themeTint="BF"/>
          <w:szCs w:val="23"/>
        </w:rPr>
        <w:t>ã</w:t>
      </w:r>
      <w:r>
        <w:rPr>
          <w:color w:val="404040" w:themeColor="text1" w:themeTint="BF"/>
          <w:szCs w:val="23"/>
        </w:rPr>
        <w:t>o (</w:t>
      </w:r>
      <w:r>
        <w:rPr>
          <w:rFonts w:ascii="Calibri" w:hAnsi="Calibri" w:cs="Calibri"/>
          <w:color w:val="404040" w:themeColor="text1" w:themeTint="BF"/>
          <w:szCs w:val="23"/>
        </w:rPr>
        <w:t>β</w:t>
      </w:r>
      <w:r>
        <w:rPr>
          <w:color w:val="404040" w:themeColor="text1" w:themeTint="BF"/>
          <w:szCs w:val="23"/>
        </w:rPr>
        <w:t xml:space="preserve"> - 5,63) e ansiedade (</w:t>
      </w:r>
      <w:r>
        <w:rPr>
          <w:rFonts w:ascii="Calibri" w:hAnsi="Calibri" w:cs="Calibri"/>
          <w:color w:val="404040" w:themeColor="text1" w:themeTint="BF"/>
          <w:szCs w:val="23"/>
        </w:rPr>
        <w:t>β</w:t>
      </w:r>
      <w:r>
        <w:rPr>
          <w:color w:val="404040" w:themeColor="text1" w:themeTint="BF"/>
          <w:szCs w:val="23"/>
        </w:rPr>
        <w:t xml:space="preserve"> - 1,99) e melhora da qualidade do sono (</w:t>
      </w:r>
      <w:r>
        <w:rPr>
          <w:rFonts w:ascii="Calibri" w:hAnsi="Calibri" w:cs="Calibri"/>
          <w:color w:val="404040" w:themeColor="text1" w:themeTint="BF"/>
          <w:szCs w:val="23"/>
        </w:rPr>
        <w:t>β</w:t>
      </w:r>
      <w:r>
        <w:rPr>
          <w:color w:val="404040" w:themeColor="text1" w:themeTint="BF"/>
          <w:szCs w:val="23"/>
        </w:rPr>
        <w:t xml:space="preserve"> - 1,97).</w:t>
      </w:r>
    </w:p>
    <w:p w14:paraId="39206F32" w14:textId="77777777" w:rsidR="00CD65C2" w:rsidRDefault="00CD65C2">
      <w:pPr>
        <w:pStyle w:val="Corpo"/>
        <w:spacing w:after="120"/>
        <w:ind w:left="360"/>
        <w:rPr>
          <w:rFonts w:hint="eastAsia"/>
          <w:color w:val="404040" w:themeColor="text1" w:themeTint="BF"/>
          <w:sz w:val="24"/>
        </w:rPr>
      </w:pPr>
    </w:p>
    <w:p w14:paraId="2C5699EC"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115BB486" w14:textId="77777777" w:rsidR="00CD65C2" w:rsidRDefault="00CD65C2">
      <w:pPr>
        <w:pStyle w:val="Corpo"/>
        <w:rPr>
          <w:rFonts w:hint="eastAsia"/>
          <w:b/>
          <w:color w:val="339966"/>
          <w:sz w:val="16"/>
          <w:szCs w:val="16"/>
          <w14:textFill>
            <w14:solidFill>
              <w14:srgbClr w14:val="339966">
                <w14:lumMod w14:val="75000"/>
                <w14:lumOff w14:val="25000"/>
              </w14:srgbClr>
            </w14:solidFill>
          </w14:textFill>
        </w:rPr>
      </w:pPr>
    </w:p>
    <w:p w14:paraId="06293E97" w14:textId="77777777" w:rsidR="00CD65C2" w:rsidRDefault="00FA41FC">
      <w:pPr>
        <w:jc w:val="center"/>
        <w:rPr>
          <w:rFonts w:ascii="Swis721 Th BT" w:hAnsi="Swis721 Th BT"/>
          <w:b/>
          <w:bCs/>
          <w:i/>
          <w:sz w:val="23"/>
          <w:szCs w:val="23"/>
        </w:rPr>
      </w:pPr>
      <w:r>
        <w:rPr>
          <w:rFonts w:ascii="Swis721 Th BT" w:hAnsi="Swis721 Th BT"/>
          <w:b/>
          <w:bCs/>
          <w:i/>
          <w:sz w:val="23"/>
          <w:szCs w:val="23"/>
        </w:rPr>
        <w:t>A suplementação de Se por 12 semanas em gestantes de alto risco, em termos de triagem de PE com marcador quádruplo, teve efeitos benéficos sobre alguns índices do perfil metabólico, IP da artéria uterina, saúde mental e nível sérico desse micronutriente.</w:t>
      </w:r>
    </w:p>
    <w:p w14:paraId="7752EC63" w14:textId="77777777" w:rsidR="00CD65C2" w:rsidRDefault="00FA41FC">
      <w:pPr>
        <w:jc w:val="center"/>
        <w:rPr>
          <w:rFonts w:ascii="Swis721 Th BT" w:hAnsi="Swis721 Th BT"/>
          <w:b/>
          <w:i/>
          <w:sz w:val="23"/>
          <w:szCs w:val="23"/>
        </w:rPr>
      </w:pPr>
      <w:r>
        <w:rPr>
          <w:rFonts w:ascii="Swis721 Th BT" w:hAnsi="Swis721 Th BT"/>
          <w:b/>
          <w:i/>
          <w:sz w:val="23"/>
          <w:szCs w:val="23"/>
        </w:rPr>
        <w:t xml:space="preserve">.    </w:t>
      </w:r>
    </w:p>
    <w:p w14:paraId="43438162" w14:textId="77777777" w:rsidR="00CD65C2" w:rsidRDefault="00FA41FC">
      <w:pPr>
        <w:pStyle w:val="Ttulo1"/>
        <w:jc w:val="center"/>
        <w:rPr>
          <w:rFonts w:hint="eastAsia"/>
        </w:rPr>
      </w:pPr>
      <w:bookmarkStart w:id="181" w:name="_Toc165537328"/>
      <w:r>
        <w:rPr>
          <w:rStyle w:val="Ttulo1Char"/>
          <w:b/>
        </w:rPr>
        <w:t>Formulário</w:t>
      </w:r>
      <w:bookmarkEnd w:id="181"/>
    </w:p>
    <w:p w14:paraId="0FC76A57" w14:textId="77777777" w:rsidR="00CD65C2" w:rsidRDefault="00CD65C2">
      <w:pPr>
        <w:pStyle w:val="Corpo"/>
        <w:rPr>
          <w:rFonts w:hint="eastAsia"/>
          <w:b/>
          <w:i/>
          <w:color w:val="404040" w:themeColor="text1" w:themeTint="BF"/>
        </w:rPr>
      </w:pPr>
    </w:p>
    <w:p w14:paraId="704747FF" w14:textId="77777777" w:rsidR="00CD65C2" w:rsidRDefault="00FA41FC">
      <w:pPr>
        <w:pStyle w:val="Corpo"/>
        <w:tabs>
          <w:tab w:val="left" w:pos="3555"/>
        </w:tabs>
        <w:rPr>
          <w:rFonts w:hint="eastAsia"/>
          <w:b/>
          <w:i/>
          <w:color w:val="404040" w:themeColor="text1" w:themeTint="BF"/>
        </w:rPr>
      </w:pPr>
      <w:r>
        <w:rPr>
          <w:b/>
          <w:i/>
          <w:color w:val="404040" w:themeColor="text1" w:themeTint="BF"/>
        </w:rPr>
        <w:tab/>
      </w:r>
    </w:p>
    <w:p w14:paraId="79A1EAE8" w14:textId="77777777" w:rsidR="00CD65C2" w:rsidRDefault="00FA41FC">
      <w:pPr>
        <w:pStyle w:val="Corpo"/>
        <w:rPr>
          <w:rFonts w:hint="eastAsia"/>
          <w:b/>
          <w:bCs/>
          <w:i/>
          <w:color w:val="404040" w:themeColor="text1" w:themeTint="BF"/>
          <w:sz w:val="24"/>
        </w:rPr>
      </w:pPr>
      <w:r>
        <w:rPr>
          <w:b/>
          <w:bCs/>
          <w:i/>
          <w:color w:val="404040" w:themeColor="text1" w:themeTint="BF"/>
          <w:sz w:val="24"/>
        </w:rPr>
        <w:t>Selênio Melhora Parâmetros Metabólicos e de Saúde Mental em Gestantes com Risco de Pré-Eclâmpsia</w:t>
      </w:r>
    </w:p>
    <w:p w14:paraId="53BDCE6D"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5D0DA883"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33A50716" w14:textId="77777777" w:rsidR="00CD65C2" w:rsidRDefault="00FA41FC">
            <w:pPr>
              <w:pStyle w:val="Corpo"/>
              <w:jc w:val="center"/>
              <w:rPr>
                <w:rFonts w:hint="eastAsia"/>
                <w:b/>
                <w:color w:val="FFFFFF" w:themeColor="background1"/>
              </w:rPr>
            </w:pPr>
            <w:r>
              <w:rPr>
                <w:b/>
                <w:color w:val="FFFFFF" w:themeColor="background1"/>
                <w:sz w:val="22"/>
              </w:rPr>
              <w:t>Cápsulas de Selênio</w:t>
            </w:r>
          </w:p>
        </w:tc>
      </w:tr>
      <w:tr w:rsidR="00CD65C2" w14:paraId="4884BB4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0069B67" w14:textId="77777777" w:rsidR="00CD65C2" w:rsidRDefault="00FA41FC">
            <w:pPr>
              <w:pStyle w:val="Corpo"/>
              <w:rPr>
                <w:rFonts w:hint="eastAsia"/>
                <w:color w:val="404040" w:themeColor="text1" w:themeTint="BF"/>
              </w:rPr>
            </w:pPr>
            <w:r>
              <w:rPr>
                <w:color w:val="404040" w:themeColor="text1" w:themeTint="BF"/>
              </w:rPr>
              <w:t>Selênio quelato ...............................200 µg</w:t>
            </w:r>
          </w:p>
        </w:tc>
      </w:tr>
      <w:tr w:rsidR="00CD65C2" w14:paraId="380FBD60"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7105168" w14:textId="61207D93" w:rsidR="00CD65C2" w:rsidRDefault="00FA41FC">
            <w:pPr>
              <w:pStyle w:val="Corpo"/>
              <w:rPr>
                <w:rFonts w:hint="eastAsia"/>
                <w:color w:val="404040" w:themeColor="text1" w:themeTint="BF"/>
              </w:rPr>
            </w:pPr>
            <w:r>
              <w:rPr>
                <w:color w:val="404040" w:themeColor="text1" w:themeTint="BF"/>
              </w:rPr>
              <w:t>Excipiente q.s.p. ........................1 Cápsula</w:t>
            </w:r>
          </w:p>
        </w:tc>
      </w:tr>
    </w:tbl>
    <w:p w14:paraId="4EE0E75D" w14:textId="77777777" w:rsidR="00CD65C2" w:rsidRDefault="00FA41FC">
      <w:pPr>
        <w:pStyle w:val="Corpo"/>
        <w:spacing w:line="276" w:lineRule="auto"/>
        <w:ind w:right="5102"/>
        <w:jc w:val="center"/>
        <w:rPr>
          <w:rFonts w:hint="eastAsia"/>
          <w:color w:val="404040" w:themeColor="text1" w:themeTint="BF"/>
        </w:rPr>
      </w:pPr>
      <w:r>
        <w:rPr>
          <w:color w:val="404040" w:themeColor="text1" w:themeTint="BF"/>
        </w:rPr>
        <w:t>Administrar 1 cápsula ao dia (junto à refeição) ou conforme orientação médica.</w:t>
      </w:r>
    </w:p>
    <w:p w14:paraId="2518AC4F" w14:textId="77777777" w:rsidR="00CD65C2" w:rsidRDefault="00CD65C2">
      <w:pPr>
        <w:pStyle w:val="Corpo"/>
        <w:spacing w:line="276" w:lineRule="auto"/>
        <w:rPr>
          <w:rFonts w:hint="eastAsia"/>
          <w:b/>
          <w:color w:val="404040" w:themeColor="text1" w:themeTint="BF"/>
        </w:rPr>
      </w:pPr>
    </w:p>
    <w:p w14:paraId="3E971E27" w14:textId="77777777" w:rsidR="00CD65C2" w:rsidRDefault="00CD65C2">
      <w:pPr>
        <w:pStyle w:val="Corpo"/>
        <w:spacing w:line="276" w:lineRule="auto"/>
        <w:rPr>
          <w:rFonts w:hint="eastAsia"/>
          <w:b/>
          <w:color w:val="404040" w:themeColor="text1" w:themeTint="BF"/>
        </w:rPr>
      </w:pPr>
    </w:p>
    <w:p w14:paraId="466C94A3" w14:textId="77777777" w:rsidR="00CD65C2" w:rsidRDefault="00CD65C2">
      <w:pPr>
        <w:pStyle w:val="Corpo"/>
        <w:spacing w:line="276" w:lineRule="auto"/>
        <w:rPr>
          <w:rFonts w:hint="eastAsia"/>
          <w:b/>
          <w:color w:val="404040" w:themeColor="text1" w:themeTint="BF"/>
        </w:rPr>
      </w:pPr>
    </w:p>
    <w:p w14:paraId="4E8EFC38" w14:textId="77777777" w:rsidR="00CD65C2" w:rsidRDefault="00CD65C2">
      <w:pPr>
        <w:pStyle w:val="Corpo"/>
        <w:spacing w:line="276" w:lineRule="auto"/>
        <w:rPr>
          <w:rFonts w:hint="eastAsia"/>
          <w:b/>
          <w:color w:val="404040" w:themeColor="text1" w:themeTint="BF"/>
        </w:rPr>
      </w:pPr>
    </w:p>
    <w:p w14:paraId="5E6EC35D" w14:textId="77777777" w:rsidR="00CD65C2" w:rsidRDefault="00CD65C2">
      <w:pPr>
        <w:pStyle w:val="Corpo"/>
        <w:spacing w:line="276" w:lineRule="auto"/>
        <w:rPr>
          <w:rFonts w:hint="eastAsia"/>
          <w:b/>
          <w:color w:val="404040" w:themeColor="text1" w:themeTint="BF"/>
        </w:rPr>
      </w:pPr>
    </w:p>
    <w:p w14:paraId="5A49AA83" w14:textId="77777777" w:rsidR="00CD65C2" w:rsidRDefault="00CD65C2">
      <w:pPr>
        <w:pStyle w:val="Corpo"/>
        <w:spacing w:line="276" w:lineRule="auto"/>
        <w:rPr>
          <w:rFonts w:hint="eastAsia"/>
          <w:b/>
          <w:color w:val="404040" w:themeColor="text1" w:themeTint="BF"/>
        </w:rPr>
      </w:pPr>
    </w:p>
    <w:p w14:paraId="571F5ABA" w14:textId="77777777" w:rsidR="00CD65C2" w:rsidRDefault="00CD65C2">
      <w:pPr>
        <w:pStyle w:val="Corpo"/>
        <w:spacing w:line="276" w:lineRule="auto"/>
        <w:rPr>
          <w:rFonts w:hint="eastAsia"/>
          <w:b/>
          <w:color w:val="404040" w:themeColor="text1" w:themeTint="BF"/>
        </w:rPr>
      </w:pPr>
    </w:p>
    <w:p w14:paraId="68E86410" w14:textId="77777777" w:rsidR="00CD65C2" w:rsidRDefault="00CD65C2">
      <w:pPr>
        <w:pStyle w:val="Corpo"/>
        <w:spacing w:line="276" w:lineRule="auto"/>
        <w:rPr>
          <w:rFonts w:hint="eastAsia"/>
          <w:b/>
          <w:color w:val="404040" w:themeColor="text1" w:themeTint="BF"/>
        </w:rPr>
      </w:pPr>
    </w:p>
    <w:p w14:paraId="3653B97E" w14:textId="77777777" w:rsidR="00CD65C2" w:rsidRDefault="00CD65C2">
      <w:pPr>
        <w:pStyle w:val="Corpo"/>
        <w:spacing w:line="276" w:lineRule="auto"/>
        <w:rPr>
          <w:rFonts w:hint="eastAsia"/>
          <w:b/>
          <w:color w:val="404040" w:themeColor="text1" w:themeTint="BF"/>
        </w:rPr>
      </w:pPr>
    </w:p>
    <w:p w14:paraId="44FFDE08" w14:textId="77777777" w:rsidR="00CD65C2" w:rsidRDefault="00CD65C2">
      <w:pPr>
        <w:pStyle w:val="Corpo"/>
        <w:spacing w:line="276" w:lineRule="auto"/>
        <w:rPr>
          <w:rFonts w:hint="eastAsia"/>
          <w:b/>
          <w:color w:val="404040" w:themeColor="text1" w:themeTint="BF"/>
        </w:rPr>
      </w:pPr>
    </w:p>
    <w:p w14:paraId="26F5A8C8" w14:textId="77777777" w:rsidR="00CD65C2" w:rsidRDefault="00CD65C2">
      <w:pPr>
        <w:pStyle w:val="Corpo"/>
        <w:spacing w:line="276" w:lineRule="auto"/>
        <w:rPr>
          <w:rFonts w:hint="eastAsia"/>
          <w:b/>
          <w:color w:val="404040" w:themeColor="text1" w:themeTint="BF"/>
        </w:rPr>
      </w:pPr>
    </w:p>
    <w:p w14:paraId="3958CC42" w14:textId="77777777" w:rsidR="00CD65C2" w:rsidRDefault="00CD65C2">
      <w:pPr>
        <w:pStyle w:val="Corpo"/>
        <w:spacing w:line="276" w:lineRule="auto"/>
        <w:rPr>
          <w:rFonts w:hint="eastAsia"/>
          <w:b/>
          <w:color w:val="404040" w:themeColor="text1" w:themeTint="BF"/>
        </w:rPr>
      </w:pPr>
    </w:p>
    <w:p w14:paraId="1EA0E462" w14:textId="77777777" w:rsidR="00CD65C2" w:rsidRDefault="00CD65C2">
      <w:pPr>
        <w:pStyle w:val="Corpo"/>
        <w:spacing w:line="276" w:lineRule="auto"/>
        <w:rPr>
          <w:rFonts w:hint="eastAsia"/>
          <w:b/>
          <w:color w:val="404040" w:themeColor="text1" w:themeTint="BF"/>
        </w:rPr>
      </w:pPr>
    </w:p>
    <w:p w14:paraId="1D66465D" w14:textId="77777777" w:rsidR="00CD65C2" w:rsidRDefault="00CD65C2">
      <w:pPr>
        <w:pStyle w:val="Corpo"/>
        <w:spacing w:line="276" w:lineRule="auto"/>
        <w:rPr>
          <w:rFonts w:hint="eastAsia"/>
          <w:b/>
          <w:color w:val="404040" w:themeColor="text1" w:themeTint="BF"/>
        </w:rPr>
      </w:pPr>
    </w:p>
    <w:p w14:paraId="77A6318D" w14:textId="77777777" w:rsidR="00CD65C2" w:rsidRDefault="00CD65C2">
      <w:pPr>
        <w:pStyle w:val="Corpo"/>
        <w:spacing w:line="276" w:lineRule="auto"/>
        <w:rPr>
          <w:rFonts w:hint="eastAsia"/>
          <w:b/>
          <w:color w:val="404040" w:themeColor="text1" w:themeTint="BF"/>
        </w:rPr>
      </w:pPr>
    </w:p>
    <w:p w14:paraId="3DC7F146" w14:textId="77777777" w:rsidR="00CD65C2" w:rsidRDefault="00CD65C2">
      <w:pPr>
        <w:pStyle w:val="Corpo"/>
        <w:spacing w:line="276" w:lineRule="auto"/>
        <w:rPr>
          <w:rFonts w:hint="eastAsia"/>
          <w:b/>
          <w:color w:val="404040" w:themeColor="text1" w:themeTint="BF"/>
        </w:rPr>
      </w:pPr>
    </w:p>
    <w:p w14:paraId="3A7FD86E" w14:textId="77777777" w:rsidR="00CD65C2" w:rsidRDefault="00CD65C2">
      <w:pPr>
        <w:pStyle w:val="Corpo"/>
        <w:spacing w:line="276" w:lineRule="auto"/>
        <w:rPr>
          <w:rFonts w:hint="eastAsia"/>
          <w:b/>
          <w:color w:val="404040" w:themeColor="text1" w:themeTint="BF"/>
        </w:rPr>
      </w:pPr>
    </w:p>
    <w:p w14:paraId="559ED12C" w14:textId="77777777" w:rsidR="00CD65C2" w:rsidRDefault="00CD65C2">
      <w:pPr>
        <w:pStyle w:val="Corpo"/>
        <w:spacing w:line="276" w:lineRule="auto"/>
        <w:rPr>
          <w:rFonts w:hint="eastAsia"/>
          <w:b/>
          <w:color w:val="404040" w:themeColor="text1" w:themeTint="BF"/>
        </w:rPr>
      </w:pPr>
    </w:p>
    <w:p w14:paraId="48CB5D53" w14:textId="77777777" w:rsidR="00CD65C2" w:rsidRDefault="00CD65C2">
      <w:pPr>
        <w:pStyle w:val="Corpo"/>
        <w:spacing w:line="276" w:lineRule="auto"/>
        <w:rPr>
          <w:rFonts w:hint="eastAsia"/>
          <w:b/>
          <w:color w:val="404040" w:themeColor="text1" w:themeTint="BF"/>
        </w:rPr>
      </w:pPr>
    </w:p>
    <w:p w14:paraId="3CC818E9" w14:textId="77777777" w:rsidR="00CD65C2" w:rsidRDefault="00CD65C2">
      <w:pPr>
        <w:pStyle w:val="Corpo"/>
        <w:spacing w:line="276" w:lineRule="auto"/>
        <w:rPr>
          <w:rFonts w:hint="eastAsia"/>
          <w:b/>
          <w:color w:val="404040" w:themeColor="text1" w:themeTint="BF"/>
        </w:rPr>
      </w:pPr>
    </w:p>
    <w:p w14:paraId="637081BA" w14:textId="77777777" w:rsidR="00CD65C2" w:rsidRDefault="00CD65C2">
      <w:pPr>
        <w:pStyle w:val="Corpo"/>
        <w:spacing w:line="276" w:lineRule="auto"/>
        <w:rPr>
          <w:rFonts w:hint="eastAsia"/>
          <w:b/>
          <w:color w:val="404040" w:themeColor="text1" w:themeTint="BF"/>
        </w:rPr>
      </w:pPr>
    </w:p>
    <w:p w14:paraId="6E2DA9AA" w14:textId="77777777" w:rsidR="00CD65C2" w:rsidRDefault="00CD65C2">
      <w:pPr>
        <w:pStyle w:val="Corpo"/>
        <w:spacing w:line="276" w:lineRule="auto"/>
        <w:rPr>
          <w:rFonts w:hint="eastAsia"/>
          <w:b/>
          <w:color w:val="404040" w:themeColor="text1" w:themeTint="BF"/>
        </w:rPr>
      </w:pPr>
    </w:p>
    <w:p w14:paraId="68D2CA94" w14:textId="77777777" w:rsidR="00CD65C2" w:rsidRDefault="00CD65C2">
      <w:pPr>
        <w:pStyle w:val="Corpo"/>
        <w:spacing w:line="276" w:lineRule="auto"/>
        <w:rPr>
          <w:rFonts w:hint="eastAsia"/>
          <w:b/>
          <w:color w:val="404040" w:themeColor="text1" w:themeTint="BF"/>
        </w:rPr>
      </w:pPr>
    </w:p>
    <w:p w14:paraId="79B2784A" w14:textId="77777777" w:rsidR="00CD65C2" w:rsidRDefault="00FA41FC">
      <w:pPr>
        <w:pStyle w:val="Ttulo1"/>
        <w:jc w:val="center"/>
        <w:rPr>
          <w:rFonts w:hint="eastAsia"/>
        </w:rPr>
      </w:pPr>
      <w:bookmarkStart w:id="182" w:name="_Toc165537329"/>
      <w:r>
        <w:rPr>
          <w:bCs/>
          <w:iCs/>
        </w:rPr>
        <w:t>Glucomannan</w:t>
      </w:r>
      <w:bookmarkEnd w:id="182"/>
    </w:p>
    <w:p w14:paraId="4EBD97A2" w14:textId="77777777" w:rsidR="00CD65C2" w:rsidRPr="00D1428E" w:rsidRDefault="00FA41FC">
      <w:pPr>
        <w:pStyle w:val="Corpo"/>
        <w:jc w:val="center"/>
        <w:rPr>
          <w:rFonts w:hint="eastAsia"/>
          <w:b/>
          <w:color w:val="0070C0"/>
          <w:sz w:val="40"/>
        </w:rPr>
      </w:pPr>
      <w:r w:rsidRPr="00D1428E">
        <w:rPr>
          <w:b/>
          <w:color w:val="0070C0"/>
          <w:sz w:val="40"/>
        </w:rPr>
        <w:t>Melhora a Constipação em Gestantes</w:t>
      </w:r>
    </w:p>
    <w:p w14:paraId="5A6EF94B" w14:textId="77777777" w:rsidR="00CD65C2" w:rsidRDefault="00CD65C2">
      <w:pPr>
        <w:pStyle w:val="Corpo"/>
        <w:rPr>
          <w:rFonts w:hint="eastAsia"/>
          <w:color w:val="404040" w:themeColor="text1" w:themeTint="BF"/>
          <w:sz w:val="24"/>
        </w:rPr>
      </w:pPr>
    </w:p>
    <w:p w14:paraId="6E5E8B1C" w14:textId="367E58A1" w:rsidR="00CD65C2" w:rsidRDefault="00FA41FC">
      <w:pPr>
        <w:pStyle w:val="Corpo"/>
        <w:rPr>
          <w:rFonts w:hint="eastAsia"/>
          <w:color w:val="404040" w:themeColor="text1" w:themeTint="BF"/>
          <w:szCs w:val="23"/>
        </w:rPr>
      </w:pPr>
      <w:r>
        <w:rPr>
          <w:color w:val="404040" w:themeColor="text1" w:themeTint="BF"/>
          <w:szCs w:val="23"/>
        </w:rPr>
        <w:t xml:space="preserve">Este estudo teve como objetivo avaliar os efeitos do glucomannan na constipação em gestantes e comparar com outros tratamentos </w:t>
      </w:r>
      <w:r>
        <w:rPr>
          <w:color w:val="404040" w:themeColor="text1" w:themeTint="BF"/>
          <w:szCs w:val="23"/>
        </w:rPr>
        <w:fldChar w:fldCharType="begin"/>
      </w:r>
      <w:r>
        <w:rPr>
          <w:color w:val="404040" w:themeColor="text1" w:themeTint="BF"/>
          <w:szCs w:val="23"/>
        </w:rPr>
        <w:instrText xml:space="preserve"> ADDIN EN.CITE &lt;EndNote&gt;&lt;Cite&gt;&lt;Author&gt;Janani&lt;/Author&gt;&lt;Year&gt;2018&lt;/Year&gt;&lt;IDText&gt;The effect of glucomannan on pregnancy constipation&lt;/IDText&gt;&lt;DisplayText&gt;(Janani e Changaee, 2018)&lt;/DisplayText&gt;&lt;record&gt;&lt;dates&gt;&lt;pub-dates&gt;&lt;date&gt;Sep-Oct&lt;/date&gt;&lt;/pub-dates&gt;&lt;year&gt;2018&lt;/year&gt;&lt;/dates&gt;&lt;keywords&gt;&lt;keyword&gt;Constipation&lt;/keyword&gt;&lt;keyword&gt;constipation treatment&lt;/keyword&gt;&lt;keyword&gt;glucomannan&lt;/keyword&gt;&lt;keyword&gt;pregnancy&lt;/keyword&gt;&lt;/keywords&gt;&lt;isbn&gt;2249-4863 (Print)&amp;#xD;2249-4863&lt;/isbn&gt;&lt;custom2&gt;PMC6259526&lt;/custom2&gt;&lt;titles&gt;&lt;title&gt;The effect of glucomannan on pregnancy constipation&lt;/title&gt;&lt;secondary-title&gt;J Family Med Prim Care&lt;/secondary-title&gt;&lt;/titles&gt;&lt;pages&gt;903-906&lt;/pages&gt;&lt;number&gt;5&lt;/number&gt;&lt;contributors&gt;&lt;authors&gt;&lt;author&gt;Janani, F.&lt;/author&gt;&lt;author&gt;Changaee, F.&lt;/author&gt;&lt;/authors&gt;&lt;/contributors&gt;&lt;edition&gt;2019/01/02&lt;/edition&gt;&lt;language&gt;eng&lt;/language&gt;&lt;added-date format="utc"&gt;1560886267&lt;/added-date&gt;&lt;ref-type name="Journal Article"&gt;17&lt;/ref-type&gt;&lt;auth-address&gt;Social Determinants of Health Research Center, Faculty of Nursing and Midwifery, Lorestan University of Medical Sciences, Khorramabad, Iran.&lt;/auth-address&gt;&lt;remote-database-provider&gt;NLM&lt;/remote-database-provider&gt;&lt;rec-number&gt;673&lt;/rec-number&gt;&lt;last-updated-date format="utc"&gt;1560886267&lt;/last-updated-date&gt;&lt;accession-num&gt;30598931&lt;/accession-num&gt;&lt;electronic-resource-num&gt;10.4103/jfmpc.jfmpc_168_18&lt;/electronic-resource-num&gt;&lt;volume&gt;7&lt;/volume&gt;&lt;/record&gt;&lt;/Cite&gt;&lt;/EndNote&gt;</w:instrText>
      </w:r>
      <w:r>
        <w:rPr>
          <w:color w:val="404040" w:themeColor="text1" w:themeTint="BF"/>
          <w:szCs w:val="23"/>
        </w:rPr>
        <w:fldChar w:fldCharType="separate"/>
      </w:r>
      <w:r>
        <w:rPr>
          <w:color w:val="404040" w:themeColor="text1" w:themeTint="BF"/>
          <w:szCs w:val="23"/>
        </w:rPr>
        <w:t>(Janani e Changaee, 2018)</w:t>
      </w:r>
      <w:r>
        <w:rPr>
          <w:color w:val="404040" w:themeColor="text1" w:themeTint="BF"/>
          <w:szCs w:val="23"/>
        </w:rPr>
        <w:fldChar w:fldCharType="end"/>
      </w:r>
      <w:r>
        <w:rPr>
          <w:color w:val="404040" w:themeColor="text1" w:themeTint="BF"/>
          <w:szCs w:val="23"/>
        </w:rPr>
        <w:t>.</w:t>
      </w:r>
    </w:p>
    <w:p w14:paraId="3C0B9B59"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2018688" behindDoc="0" locked="0" layoutInCell="1" allowOverlap="1">
                <wp:simplePos x="0" y="0"/>
                <wp:positionH relativeFrom="margin">
                  <wp:posOffset>43815</wp:posOffset>
                </wp:positionH>
                <wp:positionV relativeFrom="paragraph">
                  <wp:posOffset>95885</wp:posOffset>
                </wp:positionV>
                <wp:extent cx="5715000" cy="523875"/>
                <wp:effectExtent l="0" t="0" r="19050" b="28575"/>
                <wp:wrapNone/>
                <wp:docPr id="739657856" name="Caixa de texto 739657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23875"/>
                        </a:xfrm>
                        <a:prstGeom prst="rect">
                          <a:avLst/>
                        </a:prstGeom>
                        <a:solidFill>
                          <a:schemeClr val="bg1">
                            <a:lumMod val="100000"/>
                            <a:lumOff val="0"/>
                          </a:schemeClr>
                        </a:solidFill>
                        <a:ln w="9525">
                          <a:solidFill>
                            <a:srgbClr val="0070C0"/>
                          </a:solidFill>
                          <a:miter lim="800000"/>
                        </a:ln>
                      </wps:spPr>
                      <wps:txbx>
                        <w:txbxContent>
                          <w:p w14:paraId="7BBD00C0" w14:textId="77777777" w:rsidR="00FA41FC" w:rsidRDefault="00FA41FC">
                            <w:pPr>
                              <w:jc w:val="center"/>
                              <w:rPr>
                                <w:rFonts w:ascii="Swis721 Th BT" w:hAnsi="Swis721 Th BT"/>
                                <w:sz w:val="23"/>
                                <w:szCs w:val="23"/>
                              </w:rPr>
                            </w:pPr>
                            <w:r>
                              <w:rPr>
                                <w:rFonts w:ascii="Swis721 Th BT" w:hAnsi="Swis721 Th BT"/>
                                <w:sz w:val="23"/>
                                <w:szCs w:val="23"/>
                              </w:rPr>
                              <w:t xml:space="preserve">Para isso, 64 gestantes no terceiro trimestre com constipação foram divididas em dois grupos para receberem </w:t>
                            </w:r>
                          </w:p>
                          <w:p w14:paraId="1CD2B7CB"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856" o:spid="_x0000_s1263" type="#_x0000_t202" style="position:absolute;left:0;text-align:left;margin-left:3.45pt;margin-top:7.55pt;width:450pt;height:41.25pt;z-index:2520186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" fillcolor="white [3212]" strokecolor="#0070c0">
                <v:textbox>
                  <w:txbxContent>
                    <w:p w14:paraId="7BBD00C0" w14:textId="77777777" w:rsidR="00FA41FC" w:rsidRDefault="00FA41FC">
                      <w:pPr>
                        <w:jc w:val="center"/>
                        <w:rPr>
                          <w:rFonts w:ascii="Swis721 Th BT" w:hAnsi="Swis721 Th BT"/>
                          <w:sz w:val="23"/>
                          <w:szCs w:val="23"/>
                        </w:rPr>
                      </w:pPr>
                      <w:r>
                        <w:rPr>
                          <w:rFonts w:ascii="Swis721 Th BT" w:hAnsi="Swis721 Th BT"/>
                          <w:sz w:val="23"/>
                          <w:szCs w:val="23"/>
                        </w:rPr>
                        <w:t xml:space="preserve">Para isso, 64 gestantes no terceiro trimestre com constipação foram divididas em dois grupos para receberem </w:t>
                      </w:r>
                    </w:p>
                    <w:p w14:paraId="1CD2B7CB"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5AE1ABE7" w14:textId="77777777" w:rsidR="00CD65C2" w:rsidRDefault="00CD65C2">
      <w:pPr>
        <w:pStyle w:val="Corpo"/>
        <w:rPr>
          <w:rFonts w:hint="eastAsia"/>
          <w:color w:val="404040" w:themeColor="text1" w:themeTint="BF"/>
        </w:rPr>
      </w:pPr>
    </w:p>
    <w:p w14:paraId="1E8CAFDC" w14:textId="77777777" w:rsidR="00CD65C2" w:rsidRDefault="00CD65C2">
      <w:pPr>
        <w:pStyle w:val="Corpo"/>
        <w:rPr>
          <w:rFonts w:hint="eastAsia"/>
          <w:color w:val="404040" w:themeColor="text1" w:themeTint="BF"/>
        </w:rPr>
      </w:pPr>
    </w:p>
    <w:p w14:paraId="164356D4"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2020736" behindDoc="0" locked="0" layoutInCell="1" allowOverlap="1">
                <wp:simplePos x="0" y="0"/>
                <wp:positionH relativeFrom="column">
                  <wp:posOffset>4543425</wp:posOffset>
                </wp:positionH>
                <wp:positionV relativeFrom="paragraph">
                  <wp:posOffset>26670</wp:posOffset>
                </wp:positionV>
                <wp:extent cx="226695" cy="138430"/>
                <wp:effectExtent l="0" t="0" r="1905" b="0"/>
                <wp:wrapNone/>
                <wp:docPr id="739657857" name="Triângulo isósceles 739657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857" o:spid="_x0000_s1026" o:spt="5" type="#_x0000_t5" style="position:absolute;left:0pt;flip:y;margin-left:357.75pt;margin-top:2.1pt;height:10.9pt;width:17.85pt;z-index:252020736;mso-width-relative:page;mso-height-relative:page;" fillcolor="#D9D9D9 [3212]" filled="t" stroked="f" coordsize="21600,21600" o:gfxdata="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PeVLW1wAAAAgBAAAPAAAAAAAAAAEAIAAAACIAAABkcnMvZG93bnJldi54bWxQSwECFAAUAAAA&#10;CACHTuJAaxTyGGECAACzBAAADgAAAAAAAAABACAAAAAmAQAAZHJzL2Uyb0RvYy54bWxQSwUGAAAA&#10;AAYABgBZAQAA+QU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2017664" behindDoc="0" locked="0" layoutInCell="1" allowOverlap="1">
                <wp:simplePos x="0" y="0"/>
                <wp:positionH relativeFrom="column">
                  <wp:posOffset>986790</wp:posOffset>
                </wp:positionH>
                <wp:positionV relativeFrom="paragraph">
                  <wp:posOffset>23495</wp:posOffset>
                </wp:positionV>
                <wp:extent cx="226695" cy="138430"/>
                <wp:effectExtent l="0" t="0" r="1905" b="0"/>
                <wp:wrapNone/>
                <wp:docPr id="739657863" name="Triângulo isósceles 739657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863" o:spid="_x0000_s1026" o:spt="5" type="#_x0000_t5" style="position:absolute;left:0pt;flip:y;margin-left:77.7pt;margin-top:1.85pt;height:10.9pt;width:17.85pt;z-index:252017664;mso-width-relative:page;mso-height-relative:page;" fillcolor="#D9D9D9 [3212]" filled="t" stroked="f" coordsize="21600,21600" o:gfxdata="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gZ4bYtYAAAAIAQAADwAAAAAAAAABACAAAAAiAAAAZHJzL2Rvd25yZXYueG1sUEsBAhQAFAAAAAgA&#10;h07iQFYmz2tgAgAAswQAAA4AAAAAAAAAAQAgAAAAJQEAAGRycy9lMm9Eb2MueG1sUEsFBgAAAAAG&#10;AAYAWQEAAPcFAAAAAA==&#10;" adj="10800">
                <v:fill on="t" focussize="0,0"/>
                <v:stroke on="f"/>
                <v:imagedata o:title=""/>
                <o:lock v:ext="edit" aspectratio="f"/>
              </v:shape>
            </w:pict>
          </mc:Fallback>
        </mc:AlternateContent>
      </w:r>
    </w:p>
    <w:p w14:paraId="3066B691"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2019712" behindDoc="0" locked="0" layoutInCell="1" allowOverlap="1">
                <wp:simplePos x="0" y="0"/>
                <wp:positionH relativeFrom="column">
                  <wp:posOffset>3587115</wp:posOffset>
                </wp:positionH>
                <wp:positionV relativeFrom="paragraph">
                  <wp:posOffset>76200</wp:posOffset>
                </wp:positionV>
                <wp:extent cx="2171700" cy="819150"/>
                <wp:effectExtent l="0" t="0" r="19050" b="19050"/>
                <wp:wrapNone/>
                <wp:docPr id="739657864" name="Caixa de texto 739657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819150"/>
                        </a:xfrm>
                        <a:prstGeom prst="rect">
                          <a:avLst/>
                        </a:prstGeom>
                        <a:solidFill>
                          <a:srgbClr val="0070C0"/>
                        </a:solidFill>
                        <a:ln w="9525">
                          <a:solidFill>
                            <a:srgbClr val="0070C0"/>
                          </a:solidFill>
                          <a:miter lim="800000"/>
                        </a:ln>
                      </wps:spPr>
                      <wps:txbx>
                        <w:txbxContent>
                          <w:p w14:paraId="5BE78C6A"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p>
                          <w:p w14:paraId="5D0294AD" w14:textId="77777777" w:rsidR="00FA41FC" w:rsidRDefault="00FA41FC">
                            <w:pPr>
                              <w:spacing w:after="0" w:line="240" w:lineRule="auto"/>
                              <w:jc w:val="center"/>
                            </w:pPr>
                            <w:r>
                              <w:rPr>
                                <w:rFonts w:ascii="Swis721 Th BT" w:hAnsi="Swis721 Th BT"/>
                                <w:color w:val="FFFFFF" w:themeColor="background1"/>
                                <w:sz w:val="23"/>
                                <w:szCs w:val="23"/>
                              </w:rPr>
                              <w:t>Hidróxido de Magnésio</w:t>
                            </w:r>
                          </w:p>
                          <w:p w14:paraId="470E8657" w14:textId="77777777" w:rsidR="00FA41FC" w:rsidRDefault="00FA41FC">
                            <w:pPr>
                              <w:spacing w:after="0" w:line="240" w:lineRule="auto"/>
                              <w:jc w:val="center"/>
                              <w:rPr>
                                <w:rFonts w:ascii="Swis721 Th BT" w:hAnsi="Swis721 Th BT"/>
                                <w:color w:val="FFFFFF" w:themeColor="background1"/>
                                <w:sz w:val="23"/>
                                <w:szCs w:val="23"/>
                              </w:rPr>
                            </w:pPr>
                          </w:p>
                          <w:p w14:paraId="13449B1D"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739657864" o:spid="_x0000_s1264" type="#_x0000_t202" style="position:absolute;left:0;text-align:left;margin-left:282.45pt;margin-top:6pt;width:171pt;height:64.5pt;z-index:252019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" fillcolor="#0070c0" strokecolor="#0070c0">
                <v:textbox>
                  <w:txbxContent>
                    <w:p w14:paraId="5BE78C6A"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p>
                    <w:p w14:paraId="5D0294AD" w14:textId="77777777" w:rsidR="00FA41FC" w:rsidRDefault="00FA41FC">
                      <w:pPr>
                        <w:spacing w:after="0" w:line="240" w:lineRule="auto"/>
                        <w:jc w:val="center"/>
                      </w:pPr>
                      <w:r>
                        <w:rPr>
                          <w:rFonts w:ascii="Swis721 Th BT" w:hAnsi="Swis721 Th BT"/>
                          <w:color w:val="FFFFFF" w:themeColor="background1"/>
                          <w:sz w:val="23"/>
                          <w:szCs w:val="23"/>
                        </w:rPr>
                        <w:t>Hidróxido de Magnésio</w:t>
                      </w:r>
                    </w:p>
                    <w:p w14:paraId="470E8657" w14:textId="77777777" w:rsidR="00FA41FC" w:rsidRDefault="00FA41FC">
                      <w:pPr>
                        <w:spacing w:after="0" w:line="240" w:lineRule="auto"/>
                        <w:jc w:val="center"/>
                        <w:rPr>
                          <w:rFonts w:ascii="Swis721 Th BT" w:hAnsi="Swis721 Th BT"/>
                          <w:color w:val="FFFFFF" w:themeColor="background1"/>
                          <w:sz w:val="23"/>
                          <w:szCs w:val="23"/>
                        </w:rPr>
                      </w:pPr>
                    </w:p>
                    <w:p w14:paraId="13449B1D"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2016640" behindDoc="0" locked="0" layoutInCell="1" allowOverlap="1">
                <wp:simplePos x="0" y="0"/>
                <wp:positionH relativeFrom="column">
                  <wp:posOffset>43815</wp:posOffset>
                </wp:positionH>
                <wp:positionV relativeFrom="paragraph">
                  <wp:posOffset>76200</wp:posOffset>
                </wp:positionV>
                <wp:extent cx="2171700" cy="819150"/>
                <wp:effectExtent l="0" t="0" r="19050" b="19050"/>
                <wp:wrapNone/>
                <wp:docPr id="739657867" name="Caixa de texto 739657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819150"/>
                        </a:xfrm>
                        <a:prstGeom prst="rect">
                          <a:avLst/>
                        </a:prstGeom>
                        <a:solidFill>
                          <a:srgbClr val="0070C0"/>
                        </a:solidFill>
                        <a:ln w="9525">
                          <a:solidFill>
                            <a:srgbClr val="0070C0"/>
                          </a:solidFill>
                          <a:miter lim="800000"/>
                        </a:ln>
                      </wps:spPr>
                      <wps:txbx>
                        <w:txbxContent>
                          <w:p w14:paraId="2A8F8CFC"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Glucomannan </w:t>
                            </w:r>
                            <w:r>
                              <w:rPr>
                                <w:rFonts w:ascii="Swis721 Th BT" w:hAnsi="Swis721 Th BT"/>
                                <w:color w:val="FFFFFF" w:themeColor="background1"/>
                                <w:szCs w:val="23"/>
                              </w:rPr>
                              <w:t xml:space="preserve"> </w:t>
                            </w:r>
                          </w:p>
                          <w:p w14:paraId="6020715E"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2 g pela manhã e 2 g a noite</w:t>
                            </w:r>
                          </w:p>
                          <w:p w14:paraId="57AA0A79"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739657867" o:spid="_x0000_s1265" type="#_x0000_t202" style="position:absolute;left:0;text-align:left;margin-left:3.45pt;margin-top:6pt;width:171pt;height:64.5pt;z-index:252016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" fillcolor="#0070c0" strokecolor="#0070c0">
                <v:textbox>
                  <w:txbxContent>
                    <w:p w14:paraId="2A8F8CFC"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Glucomannan </w:t>
                      </w:r>
                      <w:r>
                        <w:rPr>
                          <w:rFonts w:ascii="Swis721 Th BT" w:hAnsi="Swis721 Th BT"/>
                          <w:color w:val="FFFFFF" w:themeColor="background1"/>
                          <w:szCs w:val="23"/>
                        </w:rPr>
                        <w:t xml:space="preserve"> </w:t>
                      </w:r>
                    </w:p>
                    <w:p w14:paraId="6020715E"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2 g pela manhã e 2 g a noite</w:t>
                      </w:r>
                    </w:p>
                    <w:p w14:paraId="57AA0A79"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p>
    <w:p w14:paraId="3160B04E" w14:textId="77777777" w:rsidR="00CD65C2" w:rsidRDefault="00CD65C2">
      <w:pPr>
        <w:pStyle w:val="Corpo"/>
        <w:rPr>
          <w:rFonts w:hint="eastAsia"/>
          <w:color w:val="404040" w:themeColor="text1" w:themeTint="BF"/>
        </w:rPr>
      </w:pPr>
    </w:p>
    <w:p w14:paraId="65586CD6" w14:textId="77777777" w:rsidR="00CD65C2" w:rsidRDefault="00CD65C2">
      <w:pPr>
        <w:pStyle w:val="Corpo"/>
        <w:rPr>
          <w:rFonts w:hint="eastAsia"/>
          <w:color w:val="404040" w:themeColor="text1" w:themeTint="BF"/>
        </w:rPr>
      </w:pPr>
    </w:p>
    <w:p w14:paraId="0C54390B" w14:textId="77777777" w:rsidR="00CD65C2" w:rsidRDefault="00CD65C2">
      <w:pPr>
        <w:pStyle w:val="Corpo"/>
        <w:rPr>
          <w:rFonts w:hint="eastAsia"/>
          <w:color w:val="404040" w:themeColor="text1" w:themeTint="BF"/>
        </w:rPr>
      </w:pPr>
    </w:p>
    <w:p w14:paraId="161D12AC" w14:textId="77777777" w:rsidR="00CD65C2" w:rsidRDefault="00CD65C2">
      <w:pPr>
        <w:pStyle w:val="Corpo"/>
        <w:rPr>
          <w:rFonts w:hint="eastAsia"/>
          <w:color w:val="404040" w:themeColor="text1" w:themeTint="BF"/>
        </w:rPr>
      </w:pPr>
    </w:p>
    <w:p w14:paraId="74620262" w14:textId="77777777" w:rsidR="00CD65C2" w:rsidRDefault="00CD65C2">
      <w:pPr>
        <w:pStyle w:val="Corpo"/>
        <w:ind w:left="360"/>
        <w:rPr>
          <w:rFonts w:hint="eastAsia"/>
          <w:color w:val="404040" w:themeColor="text1" w:themeTint="BF"/>
        </w:rPr>
      </w:pPr>
    </w:p>
    <w:p w14:paraId="6F0268C1" w14:textId="77777777" w:rsidR="00CD65C2" w:rsidRDefault="00CD65C2">
      <w:pPr>
        <w:pStyle w:val="Corpo"/>
        <w:rPr>
          <w:rFonts w:hint="eastAsia"/>
          <w:color w:val="404040" w:themeColor="text1" w:themeTint="BF"/>
        </w:rPr>
      </w:pPr>
    </w:p>
    <w:p w14:paraId="4A799765"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35B1CB18" w14:textId="77777777" w:rsidR="00CD65C2" w:rsidRDefault="00CD65C2">
      <w:pPr>
        <w:pStyle w:val="Corpo"/>
        <w:rPr>
          <w:rFonts w:hint="eastAsia"/>
          <w:color w:val="404040" w:themeColor="text1" w:themeTint="BF"/>
          <w:sz w:val="16"/>
          <w:szCs w:val="16"/>
        </w:rPr>
      </w:pPr>
    </w:p>
    <w:p w14:paraId="00C9238D" w14:textId="2ADE0890"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Antes do tratamento, 91,66% das voluntárias apresentavam menos de seis episódios de excreção por semana. Após o tratamento, aproximadamente 75% das pacientes do grupo 1 relataram ter pelo menos 6 períodos de evacuações por semana. Além disso, 25% das mulheres do grupo 1 relataram mais de seis evacuações;</w:t>
      </w:r>
    </w:p>
    <w:p w14:paraId="3F6584CE" w14:textId="77777777"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 xml:space="preserve">Antes do tratamento, 48,7% das pacientes reclamaram de fezes duras e secas. Após o tratamento com glucomannan, apenas 4,1% dos indivíduos queixaram-se de fezes duras e secas. </w:t>
      </w:r>
    </w:p>
    <w:p w14:paraId="34A4AF99" w14:textId="77777777" w:rsidR="00CD65C2" w:rsidRDefault="00CD65C2">
      <w:pPr>
        <w:pStyle w:val="Corpo"/>
        <w:spacing w:after="120"/>
        <w:ind w:left="786"/>
        <w:rPr>
          <w:rFonts w:hint="eastAsia"/>
          <w:color w:val="404040" w:themeColor="text1" w:themeTint="BF"/>
          <w:sz w:val="24"/>
        </w:rPr>
      </w:pPr>
    </w:p>
    <w:tbl>
      <w:tblPr>
        <w:tblStyle w:val="TabelaSimples52"/>
        <w:tblW w:w="0" w:type="auto"/>
        <w:jc w:val="center"/>
        <w:tblLook w:val="04A0" w:firstRow="1" w:lastRow="0" w:firstColumn="1" w:lastColumn="0" w:noHBand="0" w:noVBand="1"/>
      </w:tblPr>
      <w:tblGrid>
        <w:gridCol w:w="4073"/>
        <w:gridCol w:w="1298"/>
        <w:gridCol w:w="1201"/>
        <w:gridCol w:w="1298"/>
        <w:gridCol w:w="1201"/>
      </w:tblGrid>
      <w:tr w:rsidR="00CD65C2" w14:paraId="7B7BA159" w14:textId="77777777" w:rsidTr="00CD65C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vAlign w:val="center"/>
          </w:tcPr>
          <w:p w14:paraId="2CF160F1" w14:textId="77777777" w:rsidR="00CD65C2" w:rsidRDefault="00CD65C2">
            <w:pPr>
              <w:pStyle w:val="Corpo"/>
              <w:spacing w:after="120"/>
              <w:ind w:left="283" w:right="283"/>
              <w:jc w:val="center"/>
              <w:rPr>
                <w:rFonts w:hint="eastAsia"/>
                <w:i w:val="0"/>
                <w:iCs w:val="0"/>
                <w:color w:val="404040" w:themeColor="text1" w:themeTint="BF"/>
                <w:sz w:val="22"/>
                <w:szCs w:val="22"/>
              </w:rPr>
            </w:pPr>
          </w:p>
        </w:tc>
        <w:tc>
          <w:tcPr>
            <w:tcW w:w="0" w:type="auto"/>
            <w:gridSpan w:val="2"/>
            <w:vAlign w:val="center"/>
          </w:tcPr>
          <w:p w14:paraId="4320C7A8" w14:textId="77777777" w:rsidR="00CD65C2" w:rsidRDefault="00FA41FC">
            <w:pPr>
              <w:pStyle w:val="Corpo"/>
              <w:spacing w:after="120"/>
              <w:ind w:left="283" w:right="283"/>
              <w:jc w:val="center"/>
              <w:cnfStyle w:val="100000000000" w:firstRow="1" w:lastRow="0" w:firstColumn="0" w:lastColumn="0" w:oddVBand="0" w:evenVBand="0" w:oddHBand="0" w:evenHBand="0" w:firstRowFirstColumn="0" w:firstRowLastColumn="0" w:lastRowFirstColumn="0" w:lastRowLastColumn="0"/>
              <w:rPr>
                <w:rFonts w:hint="eastAsia"/>
                <w:i w:val="0"/>
                <w:iCs w:val="0"/>
                <w:color w:val="404040" w:themeColor="text1" w:themeTint="BF"/>
                <w:sz w:val="22"/>
                <w:szCs w:val="22"/>
              </w:rPr>
            </w:pPr>
            <w:r>
              <w:rPr>
                <w:color w:val="404040" w:themeColor="text1" w:themeTint="BF"/>
                <w:sz w:val="22"/>
                <w:szCs w:val="22"/>
              </w:rPr>
              <w:t>Grupo 1</w:t>
            </w:r>
          </w:p>
        </w:tc>
        <w:tc>
          <w:tcPr>
            <w:tcW w:w="0" w:type="auto"/>
            <w:gridSpan w:val="2"/>
            <w:vAlign w:val="center"/>
          </w:tcPr>
          <w:p w14:paraId="5B984428" w14:textId="77777777" w:rsidR="00CD65C2" w:rsidRDefault="00FA41FC">
            <w:pPr>
              <w:pStyle w:val="Corpo"/>
              <w:spacing w:after="120"/>
              <w:ind w:left="283" w:right="283"/>
              <w:jc w:val="center"/>
              <w:cnfStyle w:val="100000000000" w:firstRow="1" w:lastRow="0" w:firstColumn="0" w:lastColumn="0" w:oddVBand="0" w:evenVBand="0" w:oddHBand="0" w:evenHBand="0" w:firstRowFirstColumn="0" w:firstRowLastColumn="0" w:lastRowFirstColumn="0" w:lastRowLastColumn="0"/>
              <w:rPr>
                <w:rFonts w:hint="eastAsia"/>
                <w:i w:val="0"/>
                <w:iCs w:val="0"/>
                <w:color w:val="404040" w:themeColor="text1" w:themeTint="BF"/>
                <w:sz w:val="22"/>
                <w:szCs w:val="22"/>
              </w:rPr>
            </w:pPr>
            <w:r>
              <w:rPr>
                <w:color w:val="404040" w:themeColor="text1" w:themeTint="BF"/>
                <w:sz w:val="22"/>
                <w:szCs w:val="22"/>
              </w:rPr>
              <w:t>Grupo 2</w:t>
            </w:r>
          </w:p>
        </w:tc>
      </w:tr>
      <w:tr w:rsidR="00CD65C2" w14:paraId="6A3FC782" w14:textId="77777777" w:rsidTr="00CD65C2">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0E9C5F9" w14:textId="77777777" w:rsidR="00CD65C2" w:rsidRDefault="00CD65C2">
            <w:pPr>
              <w:pStyle w:val="Corpo"/>
              <w:spacing w:after="120"/>
              <w:ind w:left="283" w:right="283"/>
              <w:jc w:val="center"/>
              <w:rPr>
                <w:rFonts w:hint="eastAsia"/>
                <w:i w:val="0"/>
                <w:iCs w:val="0"/>
                <w:color w:val="404040" w:themeColor="text1" w:themeTint="BF"/>
                <w:sz w:val="22"/>
                <w:szCs w:val="22"/>
              </w:rPr>
            </w:pPr>
          </w:p>
        </w:tc>
        <w:tc>
          <w:tcPr>
            <w:tcW w:w="0" w:type="auto"/>
            <w:shd w:val="clear" w:color="auto" w:fill="F2F2F2" w:themeFill="background1" w:themeFillShade="F2"/>
            <w:vAlign w:val="center"/>
          </w:tcPr>
          <w:p w14:paraId="335CB800" w14:textId="77777777" w:rsidR="00CD65C2" w:rsidRDefault="00FA41FC">
            <w:pPr>
              <w:pStyle w:val="Corpo"/>
              <w:spacing w:after="120"/>
              <w:ind w:left="283" w:right="283"/>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Início</w:t>
            </w:r>
          </w:p>
        </w:tc>
        <w:tc>
          <w:tcPr>
            <w:tcW w:w="0" w:type="auto"/>
            <w:shd w:val="clear" w:color="auto" w:fill="F2F2F2" w:themeFill="background1" w:themeFillShade="F2"/>
            <w:vAlign w:val="center"/>
          </w:tcPr>
          <w:p w14:paraId="070BA9FA" w14:textId="77777777" w:rsidR="00CD65C2" w:rsidRDefault="00FA41FC">
            <w:pPr>
              <w:pStyle w:val="Corpo"/>
              <w:spacing w:after="120"/>
              <w:ind w:left="283" w:right="283"/>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Final</w:t>
            </w:r>
          </w:p>
        </w:tc>
        <w:tc>
          <w:tcPr>
            <w:tcW w:w="0" w:type="auto"/>
            <w:shd w:val="clear" w:color="auto" w:fill="F2F2F2" w:themeFill="background1" w:themeFillShade="F2"/>
            <w:vAlign w:val="center"/>
          </w:tcPr>
          <w:p w14:paraId="6584845B" w14:textId="77777777" w:rsidR="00CD65C2" w:rsidRDefault="00FA41FC">
            <w:pPr>
              <w:pStyle w:val="Corpo"/>
              <w:spacing w:after="120"/>
              <w:ind w:left="283" w:right="283"/>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Início</w:t>
            </w:r>
          </w:p>
        </w:tc>
        <w:tc>
          <w:tcPr>
            <w:tcW w:w="0" w:type="auto"/>
            <w:shd w:val="clear" w:color="auto" w:fill="F2F2F2" w:themeFill="background1" w:themeFillShade="F2"/>
            <w:vAlign w:val="center"/>
          </w:tcPr>
          <w:p w14:paraId="27D67B2A" w14:textId="77777777" w:rsidR="00CD65C2" w:rsidRDefault="00FA41FC">
            <w:pPr>
              <w:pStyle w:val="Corpo"/>
              <w:spacing w:after="120"/>
              <w:ind w:left="283" w:right="283"/>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Final</w:t>
            </w:r>
          </w:p>
        </w:tc>
      </w:tr>
      <w:tr w:rsidR="00CD65C2" w14:paraId="3FC1F4BD" w14:textId="77777777" w:rsidTr="00CD65C2">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BD5AA7B" w14:textId="77777777" w:rsidR="00CD65C2" w:rsidRDefault="00FA41FC">
            <w:pPr>
              <w:pStyle w:val="Corpo"/>
              <w:spacing w:after="120"/>
              <w:ind w:left="283" w:right="283"/>
              <w:jc w:val="center"/>
              <w:rPr>
                <w:rFonts w:hint="eastAsia"/>
                <w:i w:val="0"/>
                <w:iCs w:val="0"/>
                <w:color w:val="404040" w:themeColor="text1" w:themeTint="BF"/>
                <w:sz w:val="22"/>
                <w:szCs w:val="22"/>
              </w:rPr>
            </w:pPr>
            <w:r>
              <w:rPr>
                <w:color w:val="404040" w:themeColor="text1" w:themeTint="BF"/>
                <w:sz w:val="22"/>
                <w:szCs w:val="22"/>
              </w:rPr>
              <w:t>Evacuação Intestinal (%)</w:t>
            </w:r>
          </w:p>
        </w:tc>
        <w:tc>
          <w:tcPr>
            <w:tcW w:w="0" w:type="auto"/>
            <w:vAlign w:val="center"/>
          </w:tcPr>
          <w:p w14:paraId="3EFA0BDF" w14:textId="77777777" w:rsidR="00CD65C2" w:rsidRDefault="00FA41FC">
            <w:pPr>
              <w:pStyle w:val="Corpo"/>
              <w:spacing w:after="120"/>
              <w:ind w:left="283" w:right="283"/>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91,98</w:t>
            </w:r>
          </w:p>
        </w:tc>
        <w:tc>
          <w:tcPr>
            <w:tcW w:w="0" w:type="auto"/>
            <w:vAlign w:val="center"/>
          </w:tcPr>
          <w:p w14:paraId="19A64607" w14:textId="77777777" w:rsidR="00CD65C2" w:rsidRDefault="00FA41FC">
            <w:pPr>
              <w:pStyle w:val="Corpo"/>
              <w:spacing w:after="120"/>
              <w:ind w:left="283" w:right="283"/>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25</w:t>
            </w:r>
          </w:p>
        </w:tc>
        <w:tc>
          <w:tcPr>
            <w:tcW w:w="0" w:type="auto"/>
            <w:vAlign w:val="center"/>
          </w:tcPr>
          <w:p w14:paraId="1AD9301F" w14:textId="77777777" w:rsidR="00CD65C2" w:rsidRDefault="00FA41FC">
            <w:pPr>
              <w:pStyle w:val="Corpo"/>
              <w:spacing w:after="120"/>
              <w:ind w:left="283" w:right="283"/>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91,34</w:t>
            </w:r>
          </w:p>
        </w:tc>
        <w:tc>
          <w:tcPr>
            <w:tcW w:w="0" w:type="auto"/>
            <w:vAlign w:val="center"/>
          </w:tcPr>
          <w:p w14:paraId="1917C3DF" w14:textId="77777777" w:rsidR="00CD65C2" w:rsidRDefault="00FA41FC">
            <w:pPr>
              <w:pStyle w:val="Corpo"/>
              <w:spacing w:after="120"/>
              <w:ind w:left="283" w:right="283"/>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36</w:t>
            </w:r>
          </w:p>
        </w:tc>
      </w:tr>
      <w:tr w:rsidR="00CD65C2" w14:paraId="545B0FE8" w14:textId="77777777" w:rsidTr="00CD65C2">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ED6CF61" w14:textId="77777777" w:rsidR="00CD65C2" w:rsidRDefault="00FA41FC">
            <w:pPr>
              <w:pStyle w:val="Corpo"/>
              <w:spacing w:after="120"/>
              <w:ind w:left="283" w:right="283"/>
              <w:jc w:val="center"/>
              <w:rPr>
                <w:rFonts w:hint="eastAsia"/>
                <w:i w:val="0"/>
                <w:iCs w:val="0"/>
                <w:color w:val="404040" w:themeColor="text1" w:themeTint="BF"/>
                <w:sz w:val="22"/>
                <w:szCs w:val="22"/>
              </w:rPr>
            </w:pPr>
            <w:r>
              <w:rPr>
                <w:color w:val="404040" w:themeColor="text1" w:themeTint="BF"/>
                <w:sz w:val="22"/>
                <w:szCs w:val="22"/>
              </w:rPr>
              <w:t>Consistência das Fezes (Duras e Secas) (%)</w:t>
            </w:r>
          </w:p>
        </w:tc>
        <w:tc>
          <w:tcPr>
            <w:tcW w:w="0" w:type="auto"/>
            <w:shd w:val="clear" w:color="auto" w:fill="F2F2F2" w:themeFill="background1" w:themeFillShade="F2"/>
            <w:vAlign w:val="center"/>
          </w:tcPr>
          <w:p w14:paraId="61DE721C" w14:textId="77777777" w:rsidR="00CD65C2" w:rsidRDefault="00FA41FC">
            <w:pPr>
              <w:pStyle w:val="Corpo"/>
              <w:spacing w:after="120"/>
              <w:ind w:left="283" w:right="283"/>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49</w:t>
            </w:r>
          </w:p>
        </w:tc>
        <w:tc>
          <w:tcPr>
            <w:tcW w:w="0" w:type="auto"/>
            <w:shd w:val="clear" w:color="auto" w:fill="F2F2F2" w:themeFill="background1" w:themeFillShade="F2"/>
            <w:vAlign w:val="center"/>
          </w:tcPr>
          <w:p w14:paraId="2DCC8D04" w14:textId="77777777" w:rsidR="00CD65C2" w:rsidRDefault="00FA41FC">
            <w:pPr>
              <w:pStyle w:val="Corpo"/>
              <w:spacing w:after="120"/>
              <w:ind w:left="283" w:right="283"/>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4,1</w:t>
            </w:r>
          </w:p>
        </w:tc>
        <w:tc>
          <w:tcPr>
            <w:tcW w:w="0" w:type="auto"/>
            <w:shd w:val="clear" w:color="auto" w:fill="F2F2F2" w:themeFill="background1" w:themeFillShade="F2"/>
            <w:vAlign w:val="center"/>
          </w:tcPr>
          <w:p w14:paraId="1B4A9B10" w14:textId="77777777" w:rsidR="00CD65C2" w:rsidRDefault="00FA41FC">
            <w:pPr>
              <w:pStyle w:val="Corpo"/>
              <w:spacing w:after="120"/>
              <w:ind w:left="283" w:right="283"/>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48,4</w:t>
            </w:r>
          </w:p>
        </w:tc>
        <w:tc>
          <w:tcPr>
            <w:tcW w:w="0" w:type="auto"/>
            <w:shd w:val="clear" w:color="auto" w:fill="F2F2F2" w:themeFill="background1" w:themeFillShade="F2"/>
            <w:vAlign w:val="center"/>
          </w:tcPr>
          <w:p w14:paraId="182B68AA" w14:textId="77777777" w:rsidR="00CD65C2" w:rsidRDefault="00FA41FC">
            <w:pPr>
              <w:pStyle w:val="Corpo"/>
              <w:spacing w:after="120"/>
              <w:ind w:left="283" w:right="283"/>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2"/>
                <w:szCs w:val="22"/>
              </w:rPr>
            </w:pPr>
            <w:r>
              <w:rPr>
                <w:color w:val="404040" w:themeColor="text1" w:themeTint="BF"/>
                <w:sz w:val="22"/>
                <w:szCs w:val="22"/>
              </w:rPr>
              <w:t>16,6</w:t>
            </w:r>
          </w:p>
        </w:tc>
      </w:tr>
    </w:tbl>
    <w:p w14:paraId="447E226E" w14:textId="77777777" w:rsidR="00CD65C2" w:rsidRDefault="00CD65C2">
      <w:pPr>
        <w:pStyle w:val="Corpo"/>
        <w:spacing w:after="120"/>
        <w:ind w:left="360"/>
        <w:rPr>
          <w:rFonts w:hint="eastAsia"/>
          <w:color w:val="404040" w:themeColor="text1" w:themeTint="BF"/>
          <w:sz w:val="24"/>
        </w:rPr>
      </w:pPr>
    </w:p>
    <w:p w14:paraId="35FBA60F"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121E6DF6" w14:textId="77777777" w:rsidR="00CD65C2" w:rsidRDefault="00CD65C2">
      <w:pPr>
        <w:pStyle w:val="Corpo"/>
        <w:rPr>
          <w:rFonts w:hint="eastAsia"/>
          <w:b/>
          <w:color w:val="339966"/>
          <w:sz w:val="16"/>
          <w:szCs w:val="16"/>
          <w14:textFill>
            <w14:solidFill>
              <w14:srgbClr w14:val="339966">
                <w14:lumMod w14:val="75000"/>
                <w14:lumOff w14:val="25000"/>
              </w14:srgbClr>
            </w14:solidFill>
          </w14:textFill>
        </w:rPr>
      </w:pPr>
    </w:p>
    <w:p w14:paraId="346D280C" w14:textId="77777777" w:rsidR="00CD65C2" w:rsidRDefault="00FA41FC">
      <w:pPr>
        <w:jc w:val="center"/>
        <w:rPr>
          <w:rFonts w:ascii="Swis721 Th BT" w:hAnsi="Swis721 Th BT"/>
          <w:b/>
          <w:bCs/>
          <w:i/>
          <w:sz w:val="23"/>
          <w:szCs w:val="23"/>
        </w:rPr>
      </w:pPr>
      <w:r>
        <w:rPr>
          <w:rFonts w:ascii="Swis721 Th BT" w:hAnsi="Swis721 Th BT"/>
          <w:b/>
          <w:bCs/>
          <w:i/>
          <w:sz w:val="23"/>
          <w:szCs w:val="23"/>
        </w:rPr>
        <w:t>Os pesquisadores concluíram que o glucomannan é recomendado como uma planta medicinal para o tratamento da constipação da gravidez.</w:t>
      </w:r>
    </w:p>
    <w:p w14:paraId="5AA6183E" w14:textId="77777777" w:rsidR="00CD65C2" w:rsidRDefault="00FA41FC">
      <w:pPr>
        <w:jc w:val="center"/>
        <w:rPr>
          <w:rFonts w:ascii="Swis721 Th BT" w:hAnsi="Swis721 Th BT"/>
          <w:b/>
          <w:i/>
          <w:sz w:val="23"/>
          <w:szCs w:val="23"/>
        </w:rPr>
      </w:pPr>
      <w:r>
        <w:rPr>
          <w:rFonts w:ascii="Swis721 Th BT" w:hAnsi="Swis721 Th BT"/>
          <w:b/>
          <w:i/>
          <w:sz w:val="23"/>
          <w:szCs w:val="23"/>
        </w:rPr>
        <w:t xml:space="preserve">.    </w:t>
      </w:r>
    </w:p>
    <w:p w14:paraId="30FCF218" w14:textId="77777777" w:rsidR="00CD65C2" w:rsidRDefault="00FA41FC">
      <w:pPr>
        <w:pStyle w:val="Ttulo1"/>
        <w:jc w:val="center"/>
        <w:rPr>
          <w:rFonts w:hint="eastAsia"/>
        </w:rPr>
      </w:pPr>
      <w:bookmarkStart w:id="183" w:name="_Toc165537330"/>
      <w:r>
        <w:rPr>
          <w:rStyle w:val="Ttulo1Char"/>
          <w:b/>
        </w:rPr>
        <w:t>Formulário</w:t>
      </w:r>
      <w:bookmarkEnd w:id="183"/>
    </w:p>
    <w:p w14:paraId="72E047F3" w14:textId="77777777" w:rsidR="00CD65C2" w:rsidRDefault="00CD65C2">
      <w:pPr>
        <w:pStyle w:val="Corpo"/>
        <w:rPr>
          <w:rFonts w:hint="eastAsia"/>
          <w:b/>
          <w:i/>
          <w:color w:val="404040" w:themeColor="text1" w:themeTint="BF"/>
        </w:rPr>
      </w:pPr>
    </w:p>
    <w:p w14:paraId="21352F30" w14:textId="77777777" w:rsidR="00CD65C2" w:rsidRDefault="00FA41FC">
      <w:pPr>
        <w:pStyle w:val="Corpo"/>
        <w:tabs>
          <w:tab w:val="left" w:pos="3555"/>
        </w:tabs>
        <w:rPr>
          <w:rFonts w:hint="eastAsia"/>
          <w:b/>
          <w:i/>
          <w:color w:val="404040" w:themeColor="text1" w:themeTint="BF"/>
        </w:rPr>
      </w:pPr>
      <w:r>
        <w:rPr>
          <w:b/>
          <w:i/>
          <w:color w:val="404040" w:themeColor="text1" w:themeTint="BF"/>
        </w:rPr>
        <w:tab/>
      </w:r>
    </w:p>
    <w:p w14:paraId="10600C4C" w14:textId="77777777" w:rsidR="00CD65C2" w:rsidRDefault="00FA41FC">
      <w:pPr>
        <w:pStyle w:val="Corpo"/>
        <w:rPr>
          <w:rFonts w:hint="eastAsia"/>
          <w:b/>
          <w:i/>
          <w:color w:val="404040" w:themeColor="text1" w:themeTint="BF"/>
          <w:sz w:val="24"/>
        </w:rPr>
      </w:pPr>
      <w:r>
        <w:rPr>
          <w:b/>
          <w:i/>
          <w:color w:val="404040" w:themeColor="text1" w:themeTint="BF"/>
          <w:sz w:val="24"/>
        </w:rPr>
        <w:t>Melhora da Constipação em Gestantes</w:t>
      </w:r>
    </w:p>
    <w:p w14:paraId="4FC47A81"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70AF1A52"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3F9C77DC" w14:textId="77777777" w:rsidR="00CD65C2" w:rsidRDefault="00FA41FC">
            <w:pPr>
              <w:pStyle w:val="Corpo"/>
              <w:jc w:val="center"/>
              <w:rPr>
                <w:rFonts w:hint="eastAsia"/>
                <w:b/>
                <w:color w:val="FFFFFF" w:themeColor="background1"/>
              </w:rPr>
            </w:pPr>
            <w:r>
              <w:rPr>
                <w:b/>
                <w:color w:val="FFFFFF" w:themeColor="background1"/>
                <w:sz w:val="22"/>
              </w:rPr>
              <w:t>Sachês de Glucomannan</w:t>
            </w:r>
          </w:p>
        </w:tc>
      </w:tr>
      <w:tr w:rsidR="00CD65C2" w14:paraId="57F76743"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891AF1B" w14:textId="77777777" w:rsidR="00CD65C2" w:rsidRDefault="00FA41FC">
            <w:pPr>
              <w:pStyle w:val="Corpo"/>
              <w:rPr>
                <w:rFonts w:hint="eastAsia"/>
                <w:color w:val="404040" w:themeColor="text1" w:themeTint="BF"/>
              </w:rPr>
            </w:pPr>
            <w:r>
              <w:rPr>
                <w:color w:val="404040" w:themeColor="text1" w:themeTint="BF"/>
              </w:rPr>
              <w:t>Glucomannan........................................2 g</w:t>
            </w:r>
          </w:p>
        </w:tc>
      </w:tr>
      <w:tr w:rsidR="00CD65C2" w14:paraId="6D3EDE93"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94167FB" w14:textId="22FB45BF" w:rsidR="00CD65C2" w:rsidRDefault="00FA41FC">
            <w:pPr>
              <w:pStyle w:val="Corpo"/>
              <w:rPr>
                <w:rFonts w:hint="eastAsia"/>
                <w:color w:val="404040" w:themeColor="text1" w:themeTint="BF"/>
              </w:rPr>
            </w:pPr>
            <w:r>
              <w:rPr>
                <w:color w:val="404040" w:themeColor="text1" w:themeTint="BF"/>
              </w:rPr>
              <w:t>Excipiente q.s.p. ............................1 Sachê</w:t>
            </w:r>
          </w:p>
        </w:tc>
      </w:tr>
    </w:tbl>
    <w:p w14:paraId="1FED97CE" w14:textId="1CAF642A" w:rsidR="00CD65C2" w:rsidRDefault="00FA41FC">
      <w:pPr>
        <w:pStyle w:val="Corpo"/>
        <w:ind w:right="4818"/>
        <w:jc w:val="center"/>
        <w:rPr>
          <w:rFonts w:hint="eastAsia"/>
          <w:color w:val="404040" w:themeColor="text1" w:themeTint="BF"/>
          <w:sz w:val="16"/>
          <w:szCs w:val="16"/>
        </w:rPr>
      </w:pPr>
      <w:r>
        <w:rPr>
          <w:color w:val="404040" w:themeColor="text1" w:themeTint="BF"/>
          <w:sz w:val="22"/>
          <w:szCs w:val="22"/>
        </w:rPr>
        <w:t>Administrar 1 sachê duas vezes ao dia (manhã e noite) ou conforme orientação médica</w:t>
      </w:r>
      <w:r>
        <w:rPr>
          <w:color w:val="404040" w:themeColor="text1" w:themeTint="BF"/>
          <w:sz w:val="16"/>
          <w:szCs w:val="16"/>
        </w:rPr>
        <w:t>.</w:t>
      </w:r>
    </w:p>
    <w:p w14:paraId="78E56A9C" w14:textId="77777777" w:rsidR="00CD65C2" w:rsidRDefault="00CD65C2">
      <w:pPr>
        <w:pStyle w:val="Corpo"/>
        <w:spacing w:line="276" w:lineRule="auto"/>
        <w:rPr>
          <w:rFonts w:hint="eastAsia"/>
          <w:b/>
          <w:color w:val="404040" w:themeColor="text1" w:themeTint="BF"/>
        </w:rPr>
      </w:pPr>
    </w:p>
    <w:p w14:paraId="1437EC65" w14:textId="77777777" w:rsidR="00CD65C2" w:rsidRDefault="00CD65C2">
      <w:pPr>
        <w:pStyle w:val="Corpo"/>
        <w:spacing w:line="276" w:lineRule="auto"/>
        <w:rPr>
          <w:rFonts w:hint="eastAsia"/>
          <w:b/>
          <w:color w:val="404040" w:themeColor="text1" w:themeTint="BF"/>
        </w:rPr>
      </w:pPr>
    </w:p>
    <w:p w14:paraId="40748CC6" w14:textId="77777777" w:rsidR="00CD65C2" w:rsidRDefault="00CD65C2">
      <w:pPr>
        <w:pStyle w:val="Corpo"/>
        <w:spacing w:line="276" w:lineRule="auto"/>
        <w:rPr>
          <w:rFonts w:hint="eastAsia"/>
          <w:b/>
          <w:color w:val="404040" w:themeColor="text1" w:themeTint="BF"/>
        </w:rPr>
      </w:pPr>
    </w:p>
    <w:p w14:paraId="5249569B" w14:textId="77777777" w:rsidR="00CD65C2" w:rsidRDefault="00CD65C2">
      <w:pPr>
        <w:pStyle w:val="Corpo"/>
        <w:spacing w:line="276" w:lineRule="auto"/>
        <w:rPr>
          <w:rFonts w:hint="eastAsia"/>
          <w:b/>
          <w:color w:val="404040" w:themeColor="text1" w:themeTint="BF"/>
        </w:rPr>
      </w:pPr>
    </w:p>
    <w:p w14:paraId="628C4782" w14:textId="77777777" w:rsidR="00CD65C2" w:rsidRDefault="00CD65C2">
      <w:pPr>
        <w:pStyle w:val="Corpo"/>
        <w:spacing w:line="276" w:lineRule="auto"/>
        <w:rPr>
          <w:rFonts w:hint="eastAsia"/>
          <w:b/>
          <w:color w:val="404040" w:themeColor="text1" w:themeTint="BF"/>
        </w:rPr>
      </w:pPr>
    </w:p>
    <w:p w14:paraId="3AA01FD7" w14:textId="77777777" w:rsidR="00CD65C2" w:rsidRDefault="00CD65C2">
      <w:pPr>
        <w:pStyle w:val="Corpo"/>
        <w:spacing w:line="276" w:lineRule="auto"/>
        <w:rPr>
          <w:rFonts w:hint="eastAsia"/>
          <w:b/>
          <w:color w:val="404040" w:themeColor="text1" w:themeTint="BF"/>
        </w:rPr>
      </w:pPr>
    </w:p>
    <w:p w14:paraId="2BF25E3D" w14:textId="77777777" w:rsidR="00CD65C2" w:rsidRDefault="00CD65C2">
      <w:pPr>
        <w:pStyle w:val="Corpo"/>
        <w:spacing w:line="276" w:lineRule="auto"/>
        <w:rPr>
          <w:rFonts w:hint="eastAsia"/>
          <w:b/>
          <w:color w:val="404040" w:themeColor="text1" w:themeTint="BF"/>
        </w:rPr>
      </w:pPr>
    </w:p>
    <w:p w14:paraId="0C16098E" w14:textId="77777777" w:rsidR="00CD65C2" w:rsidRDefault="00CD65C2">
      <w:pPr>
        <w:pStyle w:val="Corpo"/>
        <w:spacing w:line="276" w:lineRule="auto"/>
        <w:rPr>
          <w:rFonts w:hint="eastAsia"/>
          <w:b/>
          <w:color w:val="404040" w:themeColor="text1" w:themeTint="BF"/>
        </w:rPr>
      </w:pPr>
    </w:p>
    <w:p w14:paraId="44793353" w14:textId="77777777" w:rsidR="00CD65C2" w:rsidRDefault="00CD65C2">
      <w:pPr>
        <w:pStyle w:val="Corpo"/>
        <w:spacing w:line="276" w:lineRule="auto"/>
        <w:rPr>
          <w:rFonts w:hint="eastAsia"/>
          <w:b/>
          <w:color w:val="404040" w:themeColor="text1" w:themeTint="BF"/>
        </w:rPr>
      </w:pPr>
    </w:p>
    <w:p w14:paraId="78B2CD77" w14:textId="77777777" w:rsidR="00CD65C2" w:rsidRDefault="00CD65C2">
      <w:pPr>
        <w:pStyle w:val="Corpo"/>
        <w:spacing w:line="276" w:lineRule="auto"/>
        <w:rPr>
          <w:rFonts w:hint="eastAsia"/>
          <w:b/>
          <w:color w:val="404040" w:themeColor="text1" w:themeTint="BF"/>
        </w:rPr>
      </w:pPr>
    </w:p>
    <w:p w14:paraId="7E815805" w14:textId="77777777" w:rsidR="00CD65C2" w:rsidRDefault="00CD65C2">
      <w:pPr>
        <w:pStyle w:val="Corpo"/>
        <w:spacing w:line="276" w:lineRule="auto"/>
        <w:rPr>
          <w:rFonts w:hint="eastAsia"/>
          <w:b/>
          <w:color w:val="404040" w:themeColor="text1" w:themeTint="BF"/>
        </w:rPr>
      </w:pPr>
    </w:p>
    <w:p w14:paraId="431AB984" w14:textId="77777777" w:rsidR="00CD65C2" w:rsidRDefault="00CD65C2">
      <w:pPr>
        <w:pStyle w:val="Corpo"/>
        <w:spacing w:line="276" w:lineRule="auto"/>
        <w:rPr>
          <w:rFonts w:hint="eastAsia"/>
          <w:b/>
          <w:color w:val="404040" w:themeColor="text1" w:themeTint="BF"/>
        </w:rPr>
      </w:pPr>
    </w:p>
    <w:p w14:paraId="734BE6F9" w14:textId="77777777" w:rsidR="00CD65C2" w:rsidRDefault="00CD65C2">
      <w:pPr>
        <w:pStyle w:val="Corpo"/>
        <w:spacing w:line="276" w:lineRule="auto"/>
        <w:rPr>
          <w:rFonts w:hint="eastAsia"/>
          <w:b/>
          <w:color w:val="404040" w:themeColor="text1" w:themeTint="BF"/>
        </w:rPr>
      </w:pPr>
    </w:p>
    <w:p w14:paraId="41E8DF7C" w14:textId="77777777" w:rsidR="00CD65C2" w:rsidRDefault="00CD65C2">
      <w:pPr>
        <w:pStyle w:val="Corpo"/>
        <w:spacing w:line="276" w:lineRule="auto"/>
        <w:rPr>
          <w:rFonts w:hint="eastAsia"/>
          <w:b/>
          <w:color w:val="404040" w:themeColor="text1" w:themeTint="BF"/>
        </w:rPr>
      </w:pPr>
    </w:p>
    <w:p w14:paraId="1DD269CC" w14:textId="77777777" w:rsidR="00CD65C2" w:rsidRDefault="00CD65C2">
      <w:pPr>
        <w:pStyle w:val="Corpo"/>
        <w:spacing w:line="276" w:lineRule="auto"/>
        <w:rPr>
          <w:rFonts w:hint="eastAsia"/>
          <w:b/>
          <w:color w:val="404040" w:themeColor="text1" w:themeTint="BF"/>
        </w:rPr>
      </w:pPr>
    </w:p>
    <w:p w14:paraId="2C31711B" w14:textId="77777777" w:rsidR="00CD65C2" w:rsidRDefault="00CD65C2">
      <w:pPr>
        <w:pStyle w:val="Corpo"/>
        <w:spacing w:line="276" w:lineRule="auto"/>
        <w:rPr>
          <w:rFonts w:hint="eastAsia"/>
          <w:b/>
          <w:color w:val="404040" w:themeColor="text1" w:themeTint="BF"/>
        </w:rPr>
      </w:pPr>
    </w:p>
    <w:p w14:paraId="7FCCE2E9" w14:textId="77777777" w:rsidR="00CD65C2" w:rsidRDefault="00CD65C2">
      <w:pPr>
        <w:pStyle w:val="Corpo"/>
        <w:spacing w:line="276" w:lineRule="auto"/>
        <w:rPr>
          <w:rFonts w:hint="eastAsia"/>
          <w:b/>
          <w:color w:val="404040" w:themeColor="text1" w:themeTint="BF"/>
        </w:rPr>
      </w:pPr>
    </w:p>
    <w:p w14:paraId="7229F722" w14:textId="77777777" w:rsidR="00CD65C2" w:rsidRDefault="00CD65C2">
      <w:pPr>
        <w:pStyle w:val="Corpo"/>
        <w:spacing w:line="276" w:lineRule="auto"/>
        <w:rPr>
          <w:rFonts w:hint="eastAsia"/>
          <w:b/>
          <w:color w:val="404040" w:themeColor="text1" w:themeTint="BF"/>
        </w:rPr>
      </w:pPr>
    </w:p>
    <w:p w14:paraId="4EFAC22C" w14:textId="77777777" w:rsidR="00CD65C2" w:rsidRDefault="00CD65C2">
      <w:pPr>
        <w:pStyle w:val="Corpo"/>
        <w:spacing w:line="276" w:lineRule="auto"/>
        <w:rPr>
          <w:rFonts w:hint="eastAsia"/>
          <w:b/>
          <w:color w:val="404040" w:themeColor="text1" w:themeTint="BF"/>
        </w:rPr>
      </w:pPr>
    </w:p>
    <w:p w14:paraId="04F7DE57" w14:textId="77777777" w:rsidR="00CD65C2" w:rsidRDefault="00CD65C2">
      <w:pPr>
        <w:pStyle w:val="Corpo"/>
        <w:spacing w:line="276" w:lineRule="auto"/>
        <w:rPr>
          <w:rFonts w:hint="eastAsia"/>
          <w:b/>
          <w:color w:val="404040" w:themeColor="text1" w:themeTint="BF"/>
        </w:rPr>
      </w:pPr>
    </w:p>
    <w:p w14:paraId="3419669B" w14:textId="77777777" w:rsidR="00CD65C2" w:rsidRDefault="00CD65C2">
      <w:pPr>
        <w:pStyle w:val="Corpo"/>
        <w:spacing w:line="276" w:lineRule="auto"/>
        <w:rPr>
          <w:rFonts w:hint="eastAsia"/>
          <w:b/>
          <w:color w:val="404040" w:themeColor="text1" w:themeTint="BF"/>
        </w:rPr>
      </w:pPr>
    </w:p>
    <w:p w14:paraId="4D820839" w14:textId="77777777" w:rsidR="00CD65C2" w:rsidRDefault="00CD65C2">
      <w:pPr>
        <w:pStyle w:val="Corpo"/>
        <w:spacing w:line="276" w:lineRule="auto"/>
        <w:rPr>
          <w:rFonts w:hint="eastAsia"/>
          <w:b/>
          <w:color w:val="404040" w:themeColor="text1" w:themeTint="BF"/>
        </w:rPr>
      </w:pPr>
    </w:p>
    <w:p w14:paraId="10824A3A" w14:textId="77777777" w:rsidR="00CD65C2" w:rsidRDefault="00CD65C2">
      <w:pPr>
        <w:pStyle w:val="Corpo"/>
        <w:spacing w:line="276" w:lineRule="auto"/>
        <w:rPr>
          <w:rFonts w:hint="eastAsia"/>
          <w:b/>
          <w:color w:val="404040" w:themeColor="text1" w:themeTint="BF"/>
        </w:rPr>
      </w:pPr>
    </w:p>
    <w:p w14:paraId="71664C8A" w14:textId="77777777" w:rsidR="00CD65C2" w:rsidRDefault="00CD65C2">
      <w:pPr>
        <w:pStyle w:val="Corpo"/>
        <w:spacing w:line="276" w:lineRule="auto"/>
        <w:rPr>
          <w:rFonts w:hint="eastAsia"/>
          <w:b/>
          <w:color w:val="404040" w:themeColor="text1" w:themeTint="BF"/>
        </w:rPr>
      </w:pPr>
    </w:p>
    <w:p w14:paraId="7C93302F" w14:textId="77777777" w:rsidR="00CD65C2" w:rsidRDefault="00CD65C2">
      <w:pPr>
        <w:pStyle w:val="Corpo"/>
        <w:spacing w:line="276" w:lineRule="auto"/>
        <w:rPr>
          <w:rFonts w:hint="eastAsia"/>
          <w:b/>
          <w:color w:val="404040" w:themeColor="text1" w:themeTint="BF"/>
        </w:rPr>
      </w:pPr>
    </w:p>
    <w:p w14:paraId="35AC6433" w14:textId="77777777" w:rsidR="00CD65C2" w:rsidRDefault="00FA41FC">
      <w:pPr>
        <w:pStyle w:val="Ttulo1"/>
        <w:jc w:val="center"/>
        <w:rPr>
          <w:rFonts w:hint="eastAsia"/>
        </w:rPr>
      </w:pPr>
      <w:bookmarkStart w:id="184" w:name="_Toc165537331"/>
      <w:r>
        <w:rPr>
          <w:bCs/>
          <w:iCs/>
        </w:rPr>
        <w:t>Gengibre</w:t>
      </w:r>
      <w:bookmarkEnd w:id="184"/>
    </w:p>
    <w:p w14:paraId="318CCC60" w14:textId="77777777" w:rsidR="00CD65C2" w:rsidRPr="00D1428E" w:rsidRDefault="00FA41FC">
      <w:pPr>
        <w:pStyle w:val="Corpo"/>
        <w:jc w:val="center"/>
        <w:rPr>
          <w:rFonts w:hint="eastAsia"/>
          <w:b/>
          <w:color w:val="0070C0"/>
          <w:sz w:val="40"/>
        </w:rPr>
      </w:pPr>
      <w:r w:rsidRPr="00D1428E">
        <w:rPr>
          <w:b/>
          <w:color w:val="0070C0"/>
          <w:sz w:val="40"/>
        </w:rPr>
        <w:t>Contribui para o Tratamento de Náuseas e Vômitos Durante a Gravidez</w:t>
      </w:r>
    </w:p>
    <w:p w14:paraId="01893C2C" w14:textId="77777777" w:rsidR="00CD65C2" w:rsidRDefault="00CD65C2">
      <w:pPr>
        <w:pStyle w:val="Corpo"/>
        <w:rPr>
          <w:rFonts w:hint="eastAsia"/>
          <w:color w:val="404040" w:themeColor="text1" w:themeTint="BF"/>
          <w:sz w:val="24"/>
        </w:rPr>
      </w:pPr>
    </w:p>
    <w:p w14:paraId="08D6076E" w14:textId="77777777" w:rsidR="00CD65C2" w:rsidRDefault="00FA41FC">
      <w:pPr>
        <w:pStyle w:val="Corpo"/>
        <w:spacing w:after="120"/>
        <w:rPr>
          <w:rFonts w:hint="eastAsia"/>
          <w:color w:val="404040" w:themeColor="text1" w:themeTint="BF"/>
        </w:rPr>
      </w:pPr>
      <w:r>
        <w:rPr>
          <w:color w:val="404040" w:themeColor="text1" w:themeTint="BF"/>
          <w:sz w:val="24"/>
        </w:rPr>
        <w:t xml:space="preserve">Hu Y. </w:t>
      </w:r>
      <w:r>
        <w:rPr>
          <w:i/>
          <w:color w:val="404040" w:themeColor="text1" w:themeTint="BF"/>
          <w:sz w:val="24"/>
        </w:rPr>
        <w:t>et al.</w:t>
      </w:r>
      <w:r>
        <w:rPr>
          <w:color w:val="404040" w:themeColor="text1" w:themeTint="BF"/>
          <w:sz w:val="24"/>
        </w:rPr>
        <w:t xml:space="preserve"> (2022) conduziram uma meta-análise com o objetivo de explorar o efeito do gengibre no tratamento de náuseas e vômitos durante a gravidez (NVP) em comparação com placebo e vitamina B6. Para isso, ensaios clínicos randomizados sobre a associação com gengibre, náuseas e vômitos relacionados à gravidez foram selecionados. </w:t>
      </w:r>
    </w:p>
    <w:p w14:paraId="15E7B738" w14:textId="77777777" w:rsidR="00CD65C2" w:rsidRDefault="00CD65C2">
      <w:pPr>
        <w:pStyle w:val="Corpo"/>
        <w:ind w:left="360"/>
        <w:rPr>
          <w:rFonts w:hint="eastAsia"/>
          <w:color w:val="404040" w:themeColor="text1" w:themeTint="BF"/>
        </w:rPr>
      </w:pPr>
    </w:p>
    <w:p w14:paraId="756C9D6B"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62E011A9" w14:textId="77777777" w:rsidR="00CD65C2" w:rsidRDefault="00CD65C2">
      <w:pPr>
        <w:pStyle w:val="Corpo"/>
        <w:rPr>
          <w:rFonts w:hint="eastAsia"/>
          <w:b/>
          <w:color w:val="0082B2"/>
          <w14:textFill>
            <w14:solidFill>
              <w14:srgbClr w14:val="0082B2">
                <w14:lumMod w14:val="75000"/>
                <w14:lumOff w14:val="25000"/>
              </w14:srgbClr>
            </w14:solidFill>
          </w14:textFill>
        </w:rPr>
      </w:pPr>
    </w:p>
    <w:tbl>
      <w:tblPr>
        <w:tblStyle w:val="Tabelacomgrade"/>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410"/>
        <w:gridCol w:w="2688"/>
        <w:gridCol w:w="3963"/>
      </w:tblGrid>
      <w:tr w:rsidR="00CD65C2" w14:paraId="319A3CC8" w14:textId="77777777">
        <w:trPr>
          <w:trHeight w:val="446"/>
        </w:trPr>
        <w:tc>
          <w:tcPr>
            <w:tcW w:w="2410" w:type="dxa"/>
            <w:shd w:val="clear" w:color="auto" w:fill="F2F2F2" w:themeFill="background1" w:themeFillShade="F2"/>
            <w:vAlign w:val="center"/>
          </w:tcPr>
          <w:p w14:paraId="49126553" w14:textId="77777777" w:rsidR="00CD65C2" w:rsidRPr="00D1428E" w:rsidRDefault="00FA41FC">
            <w:pPr>
              <w:pStyle w:val="Corpo"/>
              <w:jc w:val="center"/>
              <w:rPr>
                <w:rFonts w:hint="eastAsia"/>
                <w:b/>
                <w:color w:val="0070C0"/>
              </w:rPr>
            </w:pPr>
            <w:r w:rsidRPr="00D1428E">
              <w:rPr>
                <w:b/>
                <w:color w:val="0070C0"/>
              </w:rPr>
              <w:t>Autores</w:t>
            </w:r>
          </w:p>
        </w:tc>
        <w:tc>
          <w:tcPr>
            <w:tcW w:w="2688" w:type="dxa"/>
            <w:shd w:val="clear" w:color="auto" w:fill="F2F2F2" w:themeFill="background1" w:themeFillShade="F2"/>
            <w:vAlign w:val="center"/>
          </w:tcPr>
          <w:p w14:paraId="61C5EE54" w14:textId="77777777" w:rsidR="00CD65C2" w:rsidRPr="00D1428E" w:rsidRDefault="00FA41FC">
            <w:pPr>
              <w:pStyle w:val="Corpo"/>
              <w:jc w:val="center"/>
              <w:rPr>
                <w:rFonts w:hint="eastAsia"/>
                <w:b/>
                <w:color w:val="0070C0"/>
              </w:rPr>
            </w:pPr>
            <w:r w:rsidRPr="00D1428E">
              <w:rPr>
                <w:b/>
                <w:color w:val="0070C0"/>
              </w:rPr>
              <w:t>Metodologia</w:t>
            </w:r>
          </w:p>
        </w:tc>
        <w:tc>
          <w:tcPr>
            <w:tcW w:w="3963" w:type="dxa"/>
            <w:shd w:val="clear" w:color="auto" w:fill="F2F2F2" w:themeFill="background1" w:themeFillShade="F2"/>
            <w:vAlign w:val="center"/>
          </w:tcPr>
          <w:p w14:paraId="0154E9CE" w14:textId="77777777" w:rsidR="00CD65C2" w:rsidRPr="00D1428E" w:rsidRDefault="00FA41FC">
            <w:pPr>
              <w:pStyle w:val="Corpo"/>
              <w:jc w:val="center"/>
              <w:rPr>
                <w:rFonts w:hint="eastAsia"/>
                <w:b/>
                <w:color w:val="0070C0"/>
              </w:rPr>
            </w:pPr>
            <w:r w:rsidRPr="00D1428E">
              <w:rPr>
                <w:b/>
                <w:color w:val="0070C0"/>
              </w:rPr>
              <w:t>Resultados</w:t>
            </w:r>
          </w:p>
        </w:tc>
      </w:tr>
      <w:tr w:rsidR="00CD65C2" w14:paraId="518C854C" w14:textId="77777777">
        <w:tc>
          <w:tcPr>
            <w:tcW w:w="2410" w:type="dxa"/>
            <w:shd w:val="clear" w:color="auto" w:fill="DEEAF6" w:themeFill="accent1" w:themeFillTint="33"/>
            <w:vAlign w:val="center"/>
          </w:tcPr>
          <w:p w14:paraId="051AA04C" w14:textId="77777777" w:rsidR="00CD65C2" w:rsidRDefault="00FA41FC">
            <w:pPr>
              <w:pStyle w:val="Corpo"/>
              <w:jc w:val="center"/>
              <w:rPr>
                <w:rFonts w:hint="eastAsia"/>
                <w:color w:val="404040" w:themeColor="text1" w:themeTint="BF"/>
              </w:rPr>
            </w:pPr>
            <w:r>
              <w:rPr>
                <w:color w:val="404040" w:themeColor="text1" w:themeTint="BF"/>
              </w:rPr>
              <w:t xml:space="preserve">Ozgoli G. </w:t>
            </w:r>
            <w:r>
              <w:rPr>
                <w:i/>
                <w:color w:val="404040" w:themeColor="text1" w:themeTint="BF"/>
              </w:rPr>
              <w:t>et al</w:t>
            </w:r>
            <w:r>
              <w:rPr>
                <w:color w:val="404040" w:themeColor="text1" w:themeTint="BF"/>
              </w:rPr>
              <w:t>., (2009)</w:t>
            </w:r>
          </w:p>
        </w:tc>
        <w:tc>
          <w:tcPr>
            <w:tcW w:w="2688" w:type="dxa"/>
            <w:shd w:val="clear" w:color="auto" w:fill="DEEAF6" w:themeFill="accent1" w:themeFillTint="33"/>
            <w:vAlign w:val="center"/>
          </w:tcPr>
          <w:p w14:paraId="69844834" w14:textId="77777777" w:rsidR="00CD65C2" w:rsidRDefault="00FA41FC">
            <w:pPr>
              <w:pStyle w:val="Corpo"/>
              <w:jc w:val="center"/>
              <w:rPr>
                <w:rFonts w:hint="eastAsia"/>
                <w:color w:val="404040" w:themeColor="text1" w:themeTint="BF"/>
              </w:rPr>
            </w:pPr>
            <w:r>
              <w:rPr>
                <w:color w:val="404040" w:themeColor="text1" w:themeTint="BF"/>
              </w:rPr>
              <w:t>Gengibre 250 mg 4x ao dia</w:t>
            </w:r>
          </w:p>
          <w:p w14:paraId="12D2EB1E" w14:textId="77777777" w:rsidR="00CD65C2" w:rsidRDefault="00FA41FC">
            <w:pPr>
              <w:pStyle w:val="Corpo"/>
              <w:jc w:val="center"/>
              <w:rPr>
                <w:rFonts w:hint="eastAsia"/>
                <w:color w:val="404040" w:themeColor="text1" w:themeTint="BF"/>
              </w:rPr>
            </w:pPr>
            <w:r>
              <w:rPr>
                <w:i/>
                <w:color w:val="404040" w:themeColor="text1" w:themeTint="BF"/>
              </w:rPr>
              <w:t xml:space="preserve">Vs. </w:t>
            </w:r>
            <w:r>
              <w:rPr>
                <w:color w:val="404040" w:themeColor="text1" w:themeTint="BF"/>
              </w:rPr>
              <w:t>Placebo</w:t>
            </w:r>
          </w:p>
        </w:tc>
        <w:tc>
          <w:tcPr>
            <w:tcW w:w="3963" w:type="dxa"/>
            <w:shd w:val="clear" w:color="auto" w:fill="DEEAF6" w:themeFill="accent1" w:themeFillTint="33"/>
          </w:tcPr>
          <w:p w14:paraId="40928F34" w14:textId="77777777" w:rsidR="00CD65C2" w:rsidRDefault="00FA41FC">
            <w:pPr>
              <w:pStyle w:val="Corpo"/>
              <w:rPr>
                <w:rFonts w:hint="eastAsia"/>
                <w:color w:val="404040" w:themeColor="text1" w:themeTint="BF"/>
              </w:rPr>
            </w:pPr>
            <w:r>
              <w:rPr>
                <w:color w:val="404040" w:themeColor="text1" w:themeTint="BF"/>
              </w:rPr>
              <w:t>Gengibre pode diminuir as náuseas e vômitos da gravidez</w:t>
            </w:r>
          </w:p>
        </w:tc>
      </w:tr>
      <w:tr w:rsidR="00CD65C2" w14:paraId="25C77638" w14:textId="77777777">
        <w:tc>
          <w:tcPr>
            <w:tcW w:w="2410" w:type="dxa"/>
            <w:shd w:val="clear" w:color="auto" w:fill="F2F2F2" w:themeFill="background1" w:themeFillShade="F2"/>
            <w:vAlign w:val="center"/>
          </w:tcPr>
          <w:p w14:paraId="16E2926C" w14:textId="77777777" w:rsidR="00CD65C2" w:rsidRDefault="00FA41FC">
            <w:pPr>
              <w:pStyle w:val="Corpo"/>
              <w:jc w:val="center"/>
              <w:rPr>
                <w:rFonts w:hint="eastAsia"/>
                <w:color w:val="404040" w:themeColor="text1" w:themeTint="BF"/>
              </w:rPr>
            </w:pPr>
            <w:r>
              <w:rPr>
                <w:color w:val="404040" w:themeColor="text1" w:themeTint="BF"/>
              </w:rPr>
              <w:t>Keating A, Chez RA. (2002)</w:t>
            </w:r>
          </w:p>
        </w:tc>
        <w:tc>
          <w:tcPr>
            <w:tcW w:w="2688" w:type="dxa"/>
            <w:shd w:val="clear" w:color="auto" w:fill="F2F2F2" w:themeFill="background1" w:themeFillShade="F2"/>
            <w:vAlign w:val="center"/>
          </w:tcPr>
          <w:p w14:paraId="0D17FC99" w14:textId="77777777" w:rsidR="00CD65C2" w:rsidRDefault="00FA41FC">
            <w:pPr>
              <w:pStyle w:val="Corpo"/>
              <w:jc w:val="center"/>
              <w:rPr>
                <w:rFonts w:hint="eastAsia"/>
                <w:color w:val="404040" w:themeColor="text1" w:themeTint="BF"/>
              </w:rPr>
            </w:pPr>
            <w:r>
              <w:rPr>
                <w:color w:val="404040" w:themeColor="text1" w:themeTint="BF"/>
              </w:rPr>
              <w:t>Gengibre 250 mg 4x ao dia</w:t>
            </w:r>
          </w:p>
          <w:p w14:paraId="6C42385F" w14:textId="77777777" w:rsidR="00CD65C2" w:rsidRDefault="00FA41FC">
            <w:pPr>
              <w:pStyle w:val="Corpo"/>
              <w:jc w:val="center"/>
              <w:rPr>
                <w:rFonts w:hint="eastAsia"/>
                <w:color w:val="404040" w:themeColor="text1" w:themeTint="BF"/>
              </w:rPr>
            </w:pPr>
            <w:r>
              <w:rPr>
                <w:i/>
                <w:color w:val="404040" w:themeColor="text1" w:themeTint="BF"/>
              </w:rPr>
              <w:t xml:space="preserve">Vs. </w:t>
            </w:r>
            <w:r>
              <w:rPr>
                <w:color w:val="404040" w:themeColor="text1" w:themeTint="BF"/>
              </w:rPr>
              <w:t>Placebo</w:t>
            </w:r>
          </w:p>
        </w:tc>
        <w:tc>
          <w:tcPr>
            <w:tcW w:w="3963" w:type="dxa"/>
            <w:shd w:val="clear" w:color="auto" w:fill="F2F2F2" w:themeFill="background1" w:themeFillShade="F2"/>
          </w:tcPr>
          <w:p w14:paraId="43797698" w14:textId="77777777" w:rsidR="00CD65C2" w:rsidRDefault="00FA41FC">
            <w:pPr>
              <w:pStyle w:val="Corpo"/>
              <w:rPr>
                <w:rFonts w:hint="eastAsia"/>
                <w:color w:val="404040" w:themeColor="text1" w:themeTint="BF"/>
              </w:rPr>
            </w:pPr>
            <w:r>
              <w:rPr>
                <w:color w:val="404040" w:themeColor="text1" w:themeTint="BF"/>
              </w:rPr>
              <w:t>Gengibre pode ser benéfico em pacientes com náuseas e vômitos.</w:t>
            </w:r>
          </w:p>
        </w:tc>
      </w:tr>
      <w:tr w:rsidR="00CD65C2" w14:paraId="12B12CD3" w14:textId="77777777">
        <w:tc>
          <w:tcPr>
            <w:tcW w:w="2410" w:type="dxa"/>
            <w:shd w:val="clear" w:color="auto" w:fill="DEEAF6" w:themeFill="accent1" w:themeFillTint="33"/>
            <w:vAlign w:val="center"/>
          </w:tcPr>
          <w:p w14:paraId="700F0361" w14:textId="77777777" w:rsidR="00CD65C2" w:rsidRDefault="00FA41FC">
            <w:pPr>
              <w:pStyle w:val="Corpo"/>
              <w:jc w:val="center"/>
              <w:rPr>
                <w:rFonts w:hint="eastAsia"/>
                <w:color w:val="404040" w:themeColor="text1" w:themeTint="BF"/>
              </w:rPr>
            </w:pPr>
            <w:r>
              <w:rPr>
                <w:color w:val="404040" w:themeColor="text1" w:themeTint="BF"/>
              </w:rPr>
              <w:t xml:space="preserve">Vutyavanich T. </w:t>
            </w:r>
            <w:r>
              <w:rPr>
                <w:i/>
                <w:color w:val="404040" w:themeColor="text1" w:themeTint="BF"/>
              </w:rPr>
              <w:t xml:space="preserve">et al., </w:t>
            </w:r>
            <w:r>
              <w:rPr>
                <w:color w:val="404040" w:themeColor="text1" w:themeTint="BF"/>
              </w:rPr>
              <w:t>(2001)</w:t>
            </w:r>
          </w:p>
        </w:tc>
        <w:tc>
          <w:tcPr>
            <w:tcW w:w="2688" w:type="dxa"/>
            <w:shd w:val="clear" w:color="auto" w:fill="DEEAF6" w:themeFill="accent1" w:themeFillTint="33"/>
            <w:vAlign w:val="center"/>
          </w:tcPr>
          <w:p w14:paraId="0B01938E" w14:textId="77777777" w:rsidR="00CD65C2" w:rsidRDefault="00FA41FC">
            <w:pPr>
              <w:pStyle w:val="Corpo"/>
              <w:jc w:val="center"/>
              <w:rPr>
                <w:rFonts w:hint="eastAsia"/>
                <w:color w:val="404040" w:themeColor="text1" w:themeTint="BF"/>
              </w:rPr>
            </w:pPr>
            <w:r>
              <w:rPr>
                <w:color w:val="404040" w:themeColor="text1" w:themeTint="BF"/>
              </w:rPr>
              <w:t>Gengibre 1000 mg ao dia</w:t>
            </w:r>
          </w:p>
          <w:p w14:paraId="5686770A" w14:textId="77777777" w:rsidR="00CD65C2" w:rsidRDefault="00FA41FC">
            <w:pPr>
              <w:pStyle w:val="Corpo"/>
              <w:jc w:val="center"/>
              <w:rPr>
                <w:rFonts w:hint="eastAsia"/>
                <w:color w:val="404040" w:themeColor="text1" w:themeTint="BF"/>
              </w:rPr>
            </w:pPr>
            <w:r>
              <w:rPr>
                <w:i/>
                <w:color w:val="404040" w:themeColor="text1" w:themeTint="BF"/>
              </w:rPr>
              <w:t xml:space="preserve">Vs. </w:t>
            </w:r>
            <w:r>
              <w:rPr>
                <w:color w:val="404040" w:themeColor="text1" w:themeTint="BF"/>
              </w:rPr>
              <w:t>Placebo</w:t>
            </w:r>
          </w:p>
        </w:tc>
        <w:tc>
          <w:tcPr>
            <w:tcW w:w="3963" w:type="dxa"/>
            <w:shd w:val="clear" w:color="auto" w:fill="DEEAF6" w:themeFill="accent1" w:themeFillTint="33"/>
          </w:tcPr>
          <w:p w14:paraId="7F91AD45" w14:textId="77777777" w:rsidR="00CD65C2" w:rsidRDefault="00FA41FC">
            <w:pPr>
              <w:pStyle w:val="Corpo"/>
              <w:rPr>
                <w:rFonts w:hint="eastAsia"/>
                <w:color w:val="404040" w:themeColor="text1" w:themeTint="BF"/>
              </w:rPr>
            </w:pPr>
            <w:r>
              <w:rPr>
                <w:color w:val="404040" w:themeColor="text1" w:themeTint="BF"/>
              </w:rPr>
              <w:t>O gengibre é eficaz para aliviar a gravidade das náuseas e vômitos da gravidez.</w:t>
            </w:r>
          </w:p>
        </w:tc>
      </w:tr>
      <w:tr w:rsidR="00CD65C2" w14:paraId="22FF22B5" w14:textId="77777777">
        <w:tc>
          <w:tcPr>
            <w:tcW w:w="2410" w:type="dxa"/>
            <w:shd w:val="clear" w:color="auto" w:fill="F2F2F2" w:themeFill="background1" w:themeFillShade="F2"/>
            <w:vAlign w:val="center"/>
          </w:tcPr>
          <w:p w14:paraId="32115EC3" w14:textId="77777777" w:rsidR="00CD65C2" w:rsidRDefault="00FA41FC">
            <w:pPr>
              <w:pStyle w:val="Corpo"/>
              <w:jc w:val="center"/>
              <w:rPr>
                <w:rFonts w:hint="eastAsia"/>
                <w:color w:val="404040" w:themeColor="text1" w:themeTint="BF"/>
              </w:rPr>
            </w:pPr>
            <w:r>
              <w:rPr>
                <w:color w:val="404040" w:themeColor="text1" w:themeTint="BF"/>
              </w:rPr>
              <w:t xml:space="preserve">Basirat Z. </w:t>
            </w:r>
            <w:r>
              <w:rPr>
                <w:i/>
                <w:color w:val="404040" w:themeColor="text1" w:themeTint="BF"/>
              </w:rPr>
              <w:t xml:space="preserve">et al., </w:t>
            </w:r>
            <w:r>
              <w:rPr>
                <w:color w:val="404040" w:themeColor="text1" w:themeTint="BF"/>
              </w:rPr>
              <w:t>(2009)</w:t>
            </w:r>
          </w:p>
        </w:tc>
        <w:tc>
          <w:tcPr>
            <w:tcW w:w="2688" w:type="dxa"/>
            <w:shd w:val="clear" w:color="auto" w:fill="F2F2F2" w:themeFill="background1" w:themeFillShade="F2"/>
            <w:vAlign w:val="center"/>
          </w:tcPr>
          <w:p w14:paraId="5F6D3CF3" w14:textId="77777777" w:rsidR="00CD65C2" w:rsidRDefault="00FA41FC">
            <w:pPr>
              <w:pStyle w:val="Corpo"/>
              <w:jc w:val="center"/>
              <w:rPr>
                <w:rFonts w:hint="eastAsia"/>
                <w:color w:val="404040" w:themeColor="text1" w:themeTint="BF"/>
              </w:rPr>
            </w:pPr>
            <w:r>
              <w:rPr>
                <w:color w:val="404040" w:themeColor="text1" w:themeTint="BF"/>
              </w:rPr>
              <w:t>Gengibre 500 mg 5x ao dia</w:t>
            </w:r>
          </w:p>
          <w:p w14:paraId="7CC81582" w14:textId="77777777" w:rsidR="00CD65C2" w:rsidRDefault="00FA41FC">
            <w:pPr>
              <w:pStyle w:val="Corpo"/>
              <w:jc w:val="center"/>
              <w:rPr>
                <w:rFonts w:hint="eastAsia"/>
                <w:color w:val="404040" w:themeColor="text1" w:themeTint="BF"/>
              </w:rPr>
            </w:pPr>
            <w:r>
              <w:rPr>
                <w:i/>
                <w:color w:val="404040" w:themeColor="text1" w:themeTint="BF"/>
              </w:rPr>
              <w:t xml:space="preserve">Vs. </w:t>
            </w:r>
            <w:r>
              <w:rPr>
                <w:color w:val="404040" w:themeColor="text1" w:themeTint="BF"/>
              </w:rPr>
              <w:t>Placebo</w:t>
            </w:r>
          </w:p>
        </w:tc>
        <w:tc>
          <w:tcPr>
            <w:tcW w:w="3963" w:type="dxa"/>
            <w:shd w:val="clear" w:color="auto" w:fill="F2F2F2" w:themeFill="background1" w:themeFillShade="F2"/>
          </w:tcPr>
          <w:p w14:paraId="22EE1743" w14:textId="77777777" w:rsidR="00CD65C2" w:rsidRDefault="00FA41FC">
            <w:pPr>
              <w:pStyle w:val="Corpo"/>
              <w:rPr>
                <w:rFonts w:hint="eastAsia"/>
                <w:color w:val="404040" w:themeColor="text1" w:themeTint="BF"/>
              </w:rPr>
            </w:pPr>
            <w:r>
              <w:rPr>
                <w:color w:val="404040" w:themeColor="text1" w:themeTint="BF"/>
              </w:rPr>
              <w:t>O gengibre pode ser eficaz para aliviar a gravidade das náuseas e dos vômitos.</w:t>
            </w:r>
          </w:p>
        </w:tc>
      </w:tr>
      <w:tr w:rsidR="00CD65C2" w14:paraId="5D87EA24" w14:textId="77777777">
        <w:tc>
          <w:tcPr>
            <w:tcW w:w="2410" w:type="dxa"/>
            <w:shd w:val="clear" w:color="auto" w:fill="DEEAF6" w:themeFill="accent1" w:themeFillTint="33"/>
            <w:vAlign w:val="center"/>
          </w:tcPr>
          <w:p w14:paraId="30E34A87" w14:textId="77777777" w:rsidR="00CD65C2" w:rsidRDefault="00FA41FC">
            <w:pPr>
              <w:pStyle w:val="Corpo"/>
              <w:jc w:val="center"/>
              <w:rPr>
                <w:rFonts w:hint="eastAsia"/>
                <w:color w:val="404040" w:themeColor="text1" w:themeTint="BF"/>
                <w:lang w:val="en-US"/>
              </w:rPr>
            </w:pPr>
            <w:r>
              <w:rPr>
                <w:color w:val="404040" w:themeColor="text1" w:themeTint="BF"/>
                <w:lang w:val="en-US"/>
              </w:rPr>
              <w:t xml:space="preserve">Fischer-Rasmussen W. </w:t>
            </w:r>
            <w:r>
              <w:rPr>
                <w:i/>
                <w:color w:val="404040" w:themeColor="text1" w:themeTint="BF"/>
                <w:lang w:val="en-US"/>
              </w:rPr>
              <w:t>et al.,</w:t>
            </w:r>
            <w:r>
              <w:rPr>
                <w:color w:val="404040" w:themeColor="text1" w:themeTint="BF"/>
                <w:lang w:val="en-US"/>
              </w:rPr>
              <w:t xml:space="preserve"> (1991)</w:t>
            </w:r>
          </w:p>
        </w:tc>
        <w:tc>
          <w:tcPr>
            <w:tcW w:w="2688" w:type="dxa"/>
            <w:shd w:val="clear" w:color="auto" w:fill="DEEAF6" w:themeFill="accent1" w:themeFillTint="33"/>
            <w:vAlign w:val="center"/>
          </w:tcPr>
          <w:p w14:paraId="1AAEEF8B" w14:textId="77777777" w:rsidR="00CD65C2" w:rsidRDefault="00FA41FC">
            <w:pPr>
              <w:pStyle w:val="Corpo"/>
              <w:jc w:val="center"/>
              <w:rPr>
                <w:rFonts w:hint="eastAsia"/>
                <w:color w:val="404040" w:themeColor="text1" w:themeTint="BF"/>
              </w:rPr>
            </w:pPr>
            <w:r>
              <w:rPr>
                <w:color w:val="404040" w:themeColor="text1" w:themeTint="BF"/>
              </w:rPr>
              <w:t>Gengibre 250 mg 4x ao dia</w:t>
            </w:r>
          </w:p>
          <w:p w14:paraId="44285A73" w14:textId="77777777" w:rsidR="00CD65C2" w:rsidRDefault="00FA41FC">
            <w:pPr>
              <w:pStyle w:val="Corpo"/>
              <w:jc w:val="center"/>
              <w:rPr>
                <w:rFonts w:hint="eastAsia"/>
                <w:color w:val="404040" w:themeColor="text1" w:themeTint="BF"/>
              </w:rPr>
            </w:pPr>
            <w:r>
              <w:rPr>
                <w:i/>
                <w:color w:val="404040" w:themeColor="text1" w:themeTint="BF"/>
              </w:rPr>
              <w:t xml:space="preserve">Vs. </w:t>
            </w:r>
            <w:r>
              <w:rPr>
                <w:color w:val="404040" w:themeColor="text1" w:themeTint="BF"/>
              </w:rPr>
              <w:t>Placebo</w:t>
            </w:r>
          </w:p>
        </w:tc>
        <w:tc>
          <w:tcPr>
            <w:tcW w:w="3963" w:type="dxa"/>
            <w:shd w:val="clear" w:color="auto" w:fill="DEEAF6" w:themeFill="accent1" w:themeFillTint="33"/>
          </w:tcPr>
          <w:p w14:paraId="5B22B508" w14:textId="77777777" w:rsidR="00CD65C2" w:rsidRDefault="00FA41FC">
            <w:pPr>
              <w:pStyle w:val="Corpo"/>
              <w:rPr>
                <w:rFonts w:hint="eastAsia"/>
                <w:color w:val="404040" w:themeColor="text1" w:themeTint="BF"/>
              </w:rPr>
            </w:pPr>
            <w:r>
              <w:rPr>
                <w:color w:val="404040" w:themeColor="text1" w:themeTint="BF"/>
              </w:rPr>
              <w:t>A suplementação de gengibre foi melhor que placebo na diminuição dos sintomas de hiperêmese gravídica.</w:t>
            </w:r>
          </w:p>
        </w:tc>
      </w:tr>
      <w:tr w:rsidR="00CD65C2" w14:paraId="3564C05F" w14:textId="77777777">
        <w:tc>
          <w:tcPr>
            <w:tcW w:w="2410" w:type="dxa"/>
            <w:shd w:val="clear" w:color="auto" w:fill="F2F2F2" w:themeFill="background1" w:themeFillShade="F2"/>
            <w:vAlign w:val="center"/>
          </w:tcPr>
          <w:p w14:paraId="422E590B" w14:textId="77777777" w:rsidR="00CD65C2" w:rsidRDefault="00FA41FC">
            <w:pPr>
              <w:pStyle w:val="Corpo"/>
              <w:jc w:val="center"/>
              <w:rPr>
                <w:rFonts w:hint="eastAsia"/>
                <w:color w:val="404040" w:themeColor="text1" w:themeTint="BF"/>
              </w:rPr>
            </w:pPr>
            <w:r>
              <w:rPr>
                <w:color w:val="404040" w:themeColor="text1" w:themeTint="BF"/>
              </w:rPr>
              <w:t xml:space="preserve">Saberi F, </w:t>
            </w:r>
            <w:r>
              <w:rPr>
                <w:i/>
                <w:color w:val="404040" w:themeColor="text1" w:themeTint="BF"/>
              </w:rPr>
              <w:t>et al.,</w:t>
            </w:r>
            <w:r>
              <w:rPr>
                <w:color w:val="404040" w:themeColor="text1" w:themeTint="BF"/>
              </w:rPr>
              <w:t xml:space="preserve"> (2014)</w:t>
            </w:r>
          </w:p>
        </w:tc>
        <w:tc>
          <w:tcPr>
            <w:tcW w:w="2688" w:type="dxa"/>
            <w:shd w:val="clear" w:color="auto" w:fill="F2F2F2" w:themeFill="background1" w:themeFillShade="F2"/>
            <w:vAlign w:val="center"/>
          </w:tcPr>
          <w:p w14:paraId="071ADF67" w14:textId="77777777" w:rsidR="00CD65C2" w:rsidRDefault="00FA41FC">
            <w:pPr>
              <w:pStyle w:val="Corpo"/>
              <w:jc w:val="center"/>
              <w:rPr>
                <w:rFonts w:hint="eastAsia"/>
                <w:color w:val="404040" w:themeColor="text1" w:themeTint="BF"/>
              </w:rPr>
            </w:pPr>
            <w:r>
              <w:rPr>
                <w:color w:val="404040" w:themeColor="text1" w:themeTint="BF"/>
              </w:rPr>
              <w:t>Gengibre 250 mg 3x ao dia</w:t>
            </w:r>
          </w:p>
          <w:p w14:paraId="2CF9352E" w14:textId="77777777" w:rsidR="00CD65C2" w:rsidRDefault="00FA41FC">
            <w:pPr>
              <w:pStyle w:val="Corpo"/>
              <w:jc w:val="center"/>
              <w:rPr>
                <w:rFonts w:hint="eastAsia"/>
                <w:color w:val="404040" w:themeColor="text1" w:themeTint="BF"/>
              </w:rPr>
            </w:pPr>
            <w:r>
              <w:rPr>
                <w:i/>
                <w:color w:val="404040" w:themeColor="text1" w:themeTint="BF"/>
              </w:rPr>
              <w:t xml:space="preserve">Vs. </w:t>
            </w:r>
            <w:r>
              <w:rPr>
                <w:color w:val="404040" w:themeColor="text1" w:themeTint="BF"/>
              </w:rPr>
              <w:t>Placebo</w:t>
            </w:r>
          </w:p>
        </w:tc>
        <w:tc>
          <w:tcPr>
            <w:tcW w:w="3963" w:type="dxa"/>
            <w:shd w:val="clear" w:color="auto" w:fill="F2F2F2" w:themeFill="background1" w:themeFillShade="F2"/>
          </w:tcPr>
          <w:p w14:paraId="6F79F97A" w14:textId="77777777" w:rsidR="00CD65C2" w:rsidRDefault="00FA41FC">
            <w:pPr>
              <w:pStyle w:val="Corpo"/>
              <w:rPr>
                <w:rFonts w:hint="eastAsia"/>
                <w:color w:val="404040" w:themeColor="text1" w:themeTint="BF"/>
              </w:rPr>
            </w:pPr>
            <w:r>
              <w:rPr>
                <w:color w:val="404040" w:themeColor="text1" w:themeTint="BF"/>
              </w:rPr>
              <w:t>O gengibre foi eficaz para o alívio de náuseas e vômitos leves a moderados.</w:t>
            </w:r>
          </w:p>
        </w:tc>
      </w:tr>
      <w:tr w:rsidR="00CD65C2" w14:paraId="08C4F2DA" w14:textId="77777777">
        <w:tc>
          <w:tcPr>
            <w:tcW w:w="2410" w:type="dxa"/>
            <w:shd w:val="clear" w:color="auto" w:fill="DEEAF6" w:themeFill="accent1" w:themeFillTint="33"/>
            <w:vAlign w:val="center"/>
          </w:tcPr>
          <w:p w14:paraId="7534CA82" w14:textId="77777777" w:rsidR="00CD65C2" w:rsidRDefault="00FA41FC">
            <w:pPr>
              <w:pStyle w:val="Corpo"/>
              <w:jc w:val="center"/>
              <w:rPr>
                <w:rFonts w:hint="eastAsia"/>
                <w:color w:val="404040" w:themeColor="text1" w:themeTint="BF"/>
              </w:rPr>
            </w:pPr>
            <w:r>
              <w:rPr>
                <w:color w:val="404040" w:themeColor="text1" w:themeTint="BF"/>
              </w:rPr>
              <w:t xml:space="preserve">Sharifzadeh F. </w:t>
            </w:r>
            <w:r>
              <w:rPr>
                <w:i/>
                <w:color w:val="404040" w:themeColor="text1" w:themeTint="BF"/>
              </w:rPr>
              <w:t xml:space="preserve">et al., </w:t>
            </w:r>
            <w:r>
              <w:rPr>
                <w:color w:val="404040" w:themeColor="text1" w:themeTint="BF"/>
              </w:rPr>
              <w:t>(2018)</w:t>
            </w:r>
          </w:p>
        </w:tc>
        <w:tc>
          <w:tcPr>
            <w:tcW w:w="2688" w:type="dxa"/>
            <w:shd w:val="clear" w:color="auto" w:fill="DEEAF6" w:themeFill="accent1" w:themeFillTint="33"/>
            <w:vAlign w:val="center"/>
          </w:tcPr>
          <w:p w14:paraId="0549E0CE" w14:textId="77777777" w:rsidR="00CD65C2" w:rsidRDefault="00FA41FC">
            <w:pPr>
              <w:pStyle w:val="Corpo"/>
              <w:jc w:val="center"/>
              <w:rPr>
                <w:rFonts w:hint="eastAsia"/>
                <w:color w:val="404040" w:themeColor="text1" w:themeTint="BF"/>
              </w:rPr>
            </w:pPr>
            <w:r>
              <w:rPr>
                <w:color w:val="404040" w:themeColor="text1" w:themeTint="BF"/>
              </w:rPr>
              <w:t>Gengibre 500 mg 2x ao dia</w:t>
            </w:r>
          </w:p>
          <w:p w14:paraId="7E41F0CF" w14:textId="0FA26671" w:rsidR="00CD65C2" w:rsidRDefault="00FA41FC">
            <w:pPr>
              <w:pStyle w:val="Corpo"/>
              <w:jc w:val="center"/>
              <w:rPr>
                <w:rFonts w:hint="eastAsia"/>
                <w:i/>
                <w:color w:val="404040" w:themeColor="text1" w:themeTint="BF"/>
              </w:rPr>
            </w:pPr>
            <w:r>
              <w:rPr>
                <w:i/>
                <w:color w:val="404040" w:themeColor="text1" w:themeTint="BF"/>
              </w:rPr>
              <w:t xml:space="preserve">vs. </w:t>
            </w:r>
            <w:r>
              <w:rPr>
                <w:color w:val="404040" w:themeColor="text1" w:themeTint="BF"/>
              </w:rPr>
              <w:t xml:space="preserve">Vitamina B6 80 mg/d </w:t>
            </w:r>
            <w:r>
              <w:rPr>
                <w:i/>
                <w:color w:val="404040" w:themeColor="text1" w:themeTint="BF"/>
              </w:rPr>
              <w:t>vs.</w:t>
            </w:r>
          </w:p>
          <w:p w14:paraId="42C03B52" w14:textId="77777777" w:rsidR="00CD65C2" w:rsidRDefault="00FA41FC">
            <w:pPr>
              <w:pStyle w:val="Corpo"/>
              <w:jc w:val="center"/>
              <w:rPr>
                <w:rFonts w:hint="eastAsia"/>
                <w:color w:val="404040" w:themeColor="text1" w:themeTint="BF"/>
              </w:rPr>
            </w:pPr>
            <w:r>
              <w:rPr>
                <w:color w:val="404040" w:themeColor="text1" w:themeTint="BF"/>
              </w:rPr>
              <w:t>Placebo</w:t>
            </w:r>
          </w:p>
        </w:tc>
        <w:tc>
          <w:tcPr>
            <w:tcW w:w="3963" w:type="dxa"/>
            <w:shd w:val="clear" w:color="auto" w:fill="DEEAF6" w:themeFill="accent1" w:themeFillTint="33"/>
          </w:tcPr>
          <w:p w14:paraId="63B09805" w14:textId="77777777" w:rsidR="00CD65C2" w:rsidRDefault="00FA41FC">
            <w:pPr>
              <w:pStyle w:val="Corpo"/>
              <w:rPr>
                <w:rFonts w:hint="eastAsia"/>
                <w:color w:val="404040" w:themeColor="text1" w:themeTint="BF"/>
              </w:rPr>
            </w:pPr>
            <w:r>
              <w:rPr>
                <w:color w:val="404040" w:themeColor="text1" w:themeTint="BF"/>
              </w:rPr>
              <w:t>O gengibre é mais eficaz que o placebo para o tratamento da NVP leve a moderada e é comparável à vitamina B6.</w:t>
            </w:r>
          </w:p>
        </w:tc>
      </w:tr>
      <w:tr w:rsidR="00CD65C2" w14:paraId="3A948614" w14:textId="77777777">
        <w:tc>
          <w:tcPr>
            <w:tcW w:w="2410" w:type="dxa"/>
            <w:shd w:val="clear" w:color="auto" w:fill="F2F2F2" w:themeFill="background1" w:themeFillShade="F2"/>
            <w:vAlign w:val="center"/>
          </w:tcPr>
          <w:p w14:paraId="06A5526A" w14:textId="77777777" w:rsidR="00CD65C2" w:rsidRDefault="00FA41FC">
            <w:pPr>
              <w:pStyle w:val="Corpo"/>
              <w:jc w:val="center"/>
              <w:rPr>
                <w:rFonts w:hint="eastAsia"/>
                <w:color w:val="404040" w:themeColor="text1" w:themeTint="BF"/>
              </w:rPr>
            </w:pPr>
            <w:r>
              <w:rPr>
                <w:color w:val="404040" w:themeColor="text1" w:themeTint="BF"/>
              </w:rPr>
              <w:t xml:space="preserve">Ensiyeh J. </w:t>
            </w:r>
            <w:r>
              <w:rPr>
                <w:i/>
                <w:color w:val="404040" w:themeColor="text1" w:themeTint="BF"/>
              </w:rPr>
              <w:t xml:space="preserve">et al., </w:t>
            </w:r>
            <w:r>
              <w:rPr>
                <w:color w:val="404040" w:themeColor="text1" w:themeTint="BF"/>
              </w:rPr>
              <w:t>(2009)</w:t>
            </w:r>
          </w:p>
        </w:tc>
        <w:tc>
          <w:tcPr>
            <w:tcW w:w="2688" w:type="dxa"/>
            <w:shd w:val="clear" w:color="auto" w:fill="F2F2F2" w:themeFill="background1" w:themeFillShade="F2"/>
            <w:vAlign w:val="center"/>
          </w:tcPr>
          <w:p w14:paraId="0F576F59" w14:textId="77777777" w:rsidR="00CD65C2" w:rsidRDefault="00FA41FC">
            <w:pPr>
              <w:pStyle w:val="Corpo"/>
              <w:jc w:val="center"/>
              <w:rPr>
                <w:rFonts w:hint="eastAsia"/>
                <w:color w:val="404040" w:themeColor="text1" w:themeTint="BF"/>
              </w:rPr>
            </w:pPr>
            <w:r>
              <w:rPr>
                <w:color w:val="404040" w:themeColor="text1" w:themeTint="BF"/>
              </w:rPr>
              <w:t>Gengibre 1000 mg/dia</w:t>
            </w:r>
          </w:p>
          <w:p w14:paraId="28575DB5" w14:textId="6440C5F4" w:rsidR="00CD65C2" w:rsidRDefault="00FA41FC">
            <w:pPr>
              <w:pStyle w:val="Corpo"/>
              <w:jc w:val="center"/>
              <w:rPr>
                <w:rFonts w:hint="eastAsia"/>
                <w:color w:val="404040" w:themeColor="text1" w:themeTint="BF"/>
              </w:rPr>
            </w:pPr>
            <w:r>
              <w:rPr>
                <w:i/>
                <w:color w:val="404040" w:themeColor="text1" w:themeTint="BF"/>
              </w:rPr>
              <w:t xml:space="preserve">vs. </w:t>
            </w:r>
            <w:r>
              <w:rPr>
                <w:color w:val="404040" w:themeColor="text1" w:themeTint="BF"/>
              </w:rPr>
              <w:t>Vitamina B6 40 mg/d</w:t>
            </w:r>
          </w:p>
          <w:p w14:paraId="3AB2C152" w14:textId="77777777" w:rsidR="00CD65C2" w:rsidRDefault="00CD65C2">
            <w:pPr>
              <w:pStyle w:val="Corpo"/>
              <w:jc w:val="center"/>
              <w:rPr>
                <w:rFonts w:hint="eastAsia"/>
                <w:color w:val="404040" w:themeColor="text1" w:themeTint="BF"/>
              </w:rPr>
            </w:pPr>
          </w:p>
        </w:tc>
        <w:tc>
          <w:tcPr>
            <w:tcW w:w="3963" w:type="dxa"/>
            <w:shd w:val="clear" w:color="auto" w:fill="F2F2F2" w:themeFill="background1" w:themeFillShade="F2"/>
          </w:tcPr>
          <w:p w14:paraId="76AF3516" w14:textId="77777777" w:rsidR="00CD65C2" w:rsidRDefault="00FA41FC">
            <w:pPr>
              <w:pStyle w:val="Corpo"/>
              <w:rPr>
                <w:rFonts w:hint="eastAsia"/>
                <w:color w:val="404040" w:themeColor="text1" w:themeTint="BF"/>
              </w:rPr>
            </w:pPr>
            <w:r>
              <w:rPr>
                <w:color w:val="404040" w:themeColor="text1" w:themeTint="BF"/>
              </w:rPr>
              <w:t>O gengibre é mais eficaz que a vitamina B6 para aliviar a gravidade da náusea e é igualmente eficaz para diminuir o número de episódios de vômito no início da gravidez</w:t>
            </w:r>
          </w:p>
        </w:tc>
      </w:tr>
    </w:tbl>
    <w:p w14:paraId="6EE8751F" w14:textId="77777777" w:rsidR="00CD65C2" w:rsidRDefault="00FA41FC">
      <w:pPr>
        <w:jc w:val="center"/>
      </w:pPr>
      <w:bookmarkStart w:id="185" w:name="_Toc165537332"/>
      <w:r>
        <w:rPr>
          <w:rStyle w:val="Ttulo1Char"/>
        </w:rPr>
        <w:t>Formulário</w:t>
      </w:r>
      <w:bookmarkEnd w:id="185"/>
    </w:p>
    <w:p w14:paraId="66E20784" w14:textId="77777777" w:rsidR="00CD65C2" w:rsidRDefault="00CD65C2">
      <w:pPr>
        <w:pStyle w:val="Corpo"/>
        <w:rPr>
          <w:rFonts w:hint="eastAsia"/>
          <w:b/>
          <w:i/>
          <w:color w:val="404040" w:themeColor="text1" w:themeTint="BF"/>
        </w:rPr>
      </w:pPr>
    </w:p>
    <w:p w14:paraId="08474A78" w14:textId="77777777" w:rsidR="00CD65C2" w:rsidRDefault="00FA41FC">
      <w:pPr>
        <w:pStyle w:val="Corpo"/>
        <w:tabs>
          <w:tab w:val="left" w:pos="3555"/>
        </w:tabs>
        <w:rPr>
          <w:rFonts w:hint="eastAsia"/>
          <w:b/>
          <w:i/>
          <w:color w:val="404040" w:themeColor="text1" w:themeTint="BF"/>
        </w:rPr>
      </w:pPr>
      <w:r>
        <w:rPr>
          <w:b/>
          <w:i/>
          <w:color w:val="404040" w:themeColor="text1" w:themeTint="BF"/>
        </w:rPr>
        <w:tab/>
      </w:r>
    </w:p>
    <w:p w14:paraId="32008635" w14:textId="77777777" w:rsidR="00CD65C2" w:rsidRDefault="00FA41FC">
      <w:pPr>
        <w:pStyle w:val="Corpo"/>
        <w:rPr>
          <w:rFonts w:hint="eastAsia"/>
          <w:b/>
          <w:i/>
          <w:color w:val="404040" w:themeColor="text1" w:themeTint="BF"/>
          <w:sz w:val="24"/>
        </w:rPr>
      </w:pPr>
      <w:r>
        <w:rPr>
          <w:b/>
          <w:i/>
          <w:color w:val="404040" w:themeColor="text1" w:themeTint="BF"/>
          <w:sz w:val="24"/>
        </w:rPr>
        <w:t xml:space="preserve">Suplementação de Gengibre Alivia os Sintomas Gerais da NVP </w:t>
      </w:r>
    </w:p>
    <w:p w14:paraId="592963F6"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4D22B38D"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23ECC3DD" w14:textId="77777777" w:rsidR="00CD65C2" w:rsidRDefault="00FA41FC">
            <w:pPr>
              <w:pStyle w:val="Corpo"/>
              <w:jc w:val="center"/>
              <w:rPr>
                <w:rFonts w:hint="eastAsia"/>
                <w:b/>
                <w:color w:val="FFFFFF" w:themeColor="background1"/>
              </w:rPr>
            </w:pPr>
            <w:r>
              <w:rPr>
                <w:b/>
                <w:color w:val="FFFFFF" w:themeColor="background1"/>
                <w:sz w:val="22"/>
              </w:rPr>
              <w:t>Cápsulas de Gengibre</w:t>
            </w:r>
          </w:p>
        </w:tc>
      </w:tr>
      <w:tr w:rsidR="00CD65C2" w14:paraId="3CBB953C"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74EFFE3" w14:textId="77777777" w:rsidR="00CD65C2" w:rsidRDefault="00FA41FC">
            <w:pPr>
              <w:pStyle w:val="Corpo"/>
              <w:rPr>
                <w:rFonts w:hint="eastAsia"/>
                <w:color w:val="404040" w:themeColor="text1" w:themeTint="BF"/>
              </w:rPr>
            </w:pPr>
            <w:r>
              <w:rPr>
                <w:color w:val="404040" w:themeColor="text1" w:themeTint="BF"/>
              </w:rPr>
              <w:t>Gengibre............................</w:t>
            </w:r>
            <w:r>
              <w:rPr>
                <w:rFonts w:eastAsiaTheme="minorHAnsi"/>
                <w:color w:val="FFFFFF" w:themeColor="background1"/>
                <w:szCs w:val="23"/>
              </w:rPr>
              <w:t xml:space="preserve"> </w:t>
            </w:r>
            <w:r>
              <w:rPr>
                <w:color w:val="404040" w:themeColor="text1" w:themeTint="BF"/>
              </w:rPr>
              <w:t>750 – 2500 mg</w:t>
            </w:r>
          </w:p>
        </w:tc>
      </w:tr>
      <w:tr w:rsidR="00CD65C2" w14:paraId="07DFB009"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358FC9C" w14:textId="23F717BB" w:rsidR="00CD65C2" w:rsidRDefault="00FA41FC">
            <w:pPr>
              <w:pStyle w:val="Corpo"/>
              <w:rPr>
                <w:rFonts w:hint="eastAsia"/>
                <w:color w:val="404040" w:themeColor="text1" w:themeTint="BF"/>
              </w:rPr>
            </w:pPr>
            <w:r>
              <w:rPr>
                <w:color w:val="404040" w:themeColor="text1" w:themeTint="BF"/>
              </w:rPr>
              <w:t>Excipiente q.s.p. ........................1 Cápsula</w:t>
            </w:r>
          </w:p>
        </w:tc>
      </w:tr>
    </w:tbl>
    <w:p w14:paraId="2B710810" w14:textId="77777777" w:rsidR="00CD65C2" w:rsidRDefault="00FA41FC">
      <w:pPr>
        <w:pStyle w:val="Corpo"/>
        <w:ind w:right="4818"/>
        <w:jc w:val="center"/>
        <w:rPr>
          <w:rFonts w:hint="eastAsia"/>
          <w:color w:val="404040" w:themeColor="text1" w:themeTint="BF"/>
          <w:sz w:val="22"/>
          <w:szCs w:val="22"/>
        </w:rPr>
      </w:pPr>
      <w:r>
        <w:rPr>
          <w:color w:val="404040" w:themeColor="text1" w:themeTint="BF"/>
          <w:sz w:val="22"/>
          <w:szCs w:val="22"/>
        </w:rPr>
        <w:t>Administrar 1 cápsula ao dia ou conforme orientação médica.</w:t>
      </w:r>
    </w:p>
    <w:p w14:paraId="2A4F0988" w14:textId="77777777" w:rsidR="00CD65C2" w:rsidRDefault="00CD65C2">
      <w:pPr>
        <w:pStyle w:val="Corpo"/>
        <w:spacing w:line="276" w:lineRule="auto"/>
        <w:rPr>
          <w:rFonts w:hint="eastAsia"/>
          <w:b/>
          <w:color w:val="404040" w:themeColor="text1" w:themeTint="BF"/>
        </w:rPr>
      </w:pPr>
    </w:p>
    <w:p w14:paraId="352D7754" w14:textId="77777777" w:rsidR="00CD65C2" w:rsidRDefault="00CD65C2">
      <w:pPr>
        <w:pStyle w:val="Corpo"/>
        <w:spacing w:line="276" w:lineRule="auto"/>
        <w:rPr>
          <w:rFonts w:hint="eastAsia"/>
          <w:b/>
          <w:color w:val="404040" w:themeColor="text1" w:themeTint="BF"/>
        </w:rPr>
      </w:pPr>
    </w:p>
    <w:p w14:paraId="2C47B1F3" w14:textId="77777777" w:rsidR="00CD65C2" w:rsidRDefault="00CD65C2">
      <w:pPr>
        <w:pStyle w:val="Corpo"/>
        <w:spacing w:line="276" w:lineRule="auto"/>
        <w:rPr>
          <w:rFonts w:hint="eastAsia"/>
          <w:b/>
          <w:color w:val="404040" w:themeColor="text1" w:themeTint="BF"/>
        </w:rPr>
      </w:pPr>
    </w:p>
    <w:p w14:paraId="55828859" w14:textId="77777777" w:rsidR="00CD65C2" w:rsidRDefault="00CD65C2">
      <w:pPr>
        <w:pStyle w:val="Corpo"/>
        <w:spacing w:line="276" w:lineRule="auto"/>
        <w:rPr>
          <w:rFonts w:hint="eastAsia"/>
          <w:b/>
          <w:color w:val="404040" w:themeColor="text1" w:themeTint="BF"/>
        </w:rPr>
      </w:pPr>
    </w:p>
    <w:p w14:paraId="0BB5ACB4" w14:textId="77777777" w:rsidR="00CD65C2" w:rsidRDefault="00CD65C2">
      <w:pPr>
        <w:pStyle w:val="Corpo"/>
        <w:spacing w:line="276" w:lineRule="auto"/>
        <w:rPr>
          <w:rFonts w:hint="eastAsia"/>
          <w:b/>
          <w:color w:val="404040" w:themeColor="text1" w:themeTint="BF"/>
        </w:rPr>
      </w:pPr>
    </w:p>
    <w:p w14:paraId="53AF3E38" w14:textId="77777777" w:rsidR="00CD65C2" w:rsidRDefault="00CD65C2">
      <w:pPr>
        <w:pStyle w:val="Corpo"/>
        <w:spacing w:line="276" w:lineRule="auto"/>
        <w:rPr>
          <w:rFonts w:hint="eastAsia"/>
          <w:b/>
          <w:color w:val="404040" w:themeColor="text1" w:themeTint="BF"/>
        </w:rPr>
      </w:pPr>
    </w:p>
    <w:p w14:paraId="04F2D977" w14:textId="77777777" w:rsidR="00CD65C2" w:rsidRDefault="00CD65C2">
      <w:pPr>
        <w:pStyle w:val="Corpo"/>
        <w:spacing w:line="276" w:lineRule="auto"/>
        <w:rPr>
          <w:rFonts w:hint="eastAsia"/>
          <w:b/>
          <w:color w:val="404040" w:themeColor="text1" w:themeTint="BF"/>
        </w:rPr>
      </w:pPr>
    </w:p>
    <w:p w14:paraId="738D6C04" w14:textId="77777777" w:rsidR="00CD65C2" w:rsidRDefault="00CD65C2">
      <w:pPr>
        <w:pStyle w:val="Corpo"/>
        <w:spacing w:line="276" w:lineRule="auto"/>
        <w:rPr>
          <w:rFonts w:hint="eastAsia"/>
          <w:b/>
          <w:color w:val="404040" w:themeColor="text1" w:themeTint="BF"/>
        </w:rPr>
      </w:pPr>
    </w:p>
    <w:p w14:paraId="1375C1BA" w14:textId="77777777" w:rsidR="00CD65C2" w:rsidRDefault="00CD65C2">
      <w:pPr>
        <w:pStyle w:val="Corpo"/>
        <w:spacing w:line="276" w:lineRule="auto"/>
        <w:rPr>
          <w:rFonts w:hint="eastAsia"/>
          <w:b/>
          <w:color w:val="404040" w:themeColor="text1" w:themeTint="BF"/>
        </w:rPr>
      </w:pPr>
    </w:p>
    <w:p w14:paraId="2795C22E" w14:textId="77777777" w:rsidR="00CD65C2" w:rsidRDefault="00CD65C2">
      <w:pPr>
        <w:pStyle w:val="Corpo"/>
        <w:spacing w:line="276" w:lineRule="auto"/>
        <w:rPr>
          <w:rFonts w:hint="eastAsia"/>
          <w:b/>
          <w:color w:val="404040" w:themeColor="text1" w:themeTint="BF"/>
        </w:rPr>
      </w:pPr>
    </w:p>
    <w:p w14:paraId="37472EBC" w14:textId="77777777" w:rsidR="00CD65C2" w:rsidRDefault="00CD65C2">
      <w:pPr>
        <w:pStyle w:val="Corpo"/>
        <w:spacing w:line="276" w:lineRule="auto"/>
        <w:rPr>
          <w:rFonts w:hint="eastAsia"/>
          <w:b/>
          <w:color w:val="404040" w:themeColor="text1" w:themeTint="BF"/>
        </w:rPr>
      </w:pPr>
    </w:p>
    <w:p w14:paraId="40D8BBD6" w14:textId="77777777" w:rsidR="00CD65C2" w:rsidRDefault="00CD65C2">
      <w:pPr>
        <w:pStyle w:val="Corpo"/>
        <w:spacing w:line="276" w:lineRule="auto"/>
        <w:rPr>
          <w:rFonts w:hint="eastAsia"/>
          <w:b/>
          <w:color w:val="404040" w:themeColor="text1" w:themeTint="BF"/>
        </w:rPr>
      </w:pPr>
    </w:p>
    <w:p w14:paraId="55AADCE7" w14:textId="77777777" w:rsidR="00CD65C2" w:rsidRDefault="00CD65C2">
      <w:pPr>
        <w:pStyle w:val="Corpo"/>
        <w:spacing w:line="276" w:lineRule="auto"/>
        <w:rPr>
          <w:rFonts w:hint="eastAsia"/>
          <w:b/>
          <w:color w:val="404040" w:themeColor="text1" w:themeTint="BF"/>
        </w:rPr>
      </w:pPr>
    </w:p>
    <w:p w14:paraId="16E973CB" w14:textId="77777777" w:rsidR="00CD65C2" w:rsidRDefault="00CD65C2">
      <w:pPr>
        <w:pStyle w:val="Corpo"/>
        <w:spacing w:line="276" w:lineRule="auto"/>
        <w:rPr>
          <w:rFonts w:hint="eastAsia"/>
          <w:b/>
          <w:color w:val="404040" w:themeColor="text1" w:themeTint="BF"/>
        </w:rPr>
      </w:pPr>
    </w:p>
    <w:p w14:paraId="150BFF7A" w14:textId="77777777" w:rsidR="00CD65C2" w:rsidRDefault="00CD65C2">
      <w:pPr>
        <w:pStyle w:val="Corpo"/>
        <w:spacing w:line="276" w:lineRule="auto"/>
        <w:rPr>
          <w:rFonts w:hint="eastAsia"/>
          <w:b/>
          <w:color w:val="404040" w:themeColor="text1" w:themeTint="BF"/>
        </w:rPr>
      </w:pPr>
    </w:p>
    <w:p w14:paraId="08549ECD" w14:textId="77777777" w:rsidR="00CD65C2" w:rsidRDefault="00CD65C2">
      <w:pPr>
        <w:pStyle w:val="Corpo"/>
        <w:spacing w:line="276" w:lineRule="auto"/>
        <w:rPr>
          <w:rFonts w:hint="eastAsia"/>
          <w:b/>
          <w:color w:val="404040" w:themeColor="text1" w:themeTint="BF"/>
        </w:rPr>
      </w:pPr>
    </w:p>
    <w:p w14:paraId="315CC9C8" w14:textId="77777777" w:rsidR="00CD65C2" w:rsidRDefault="00CD65C2">
      <w:pPr>
        <w:pStyle w:val="Corpo"/>
        <w:spacing w:line="276" w:lineRule="auto"/>
        <w:rPr>
          <w:rFonts w:hint="eastAsia"/>
          <w:b/>
          <w:color w:val="404040" w:themeColor="text1" w:themeTint="BF"/>
        </w:rPr>
      </w:pPr>
    </w:p>
    <w:p w14:paraId="4FB5D70C" w14:textId="77777777" w:rsidR="00CD65C2" w:rsidRDefault="00CD65C2">
      <w:pPr>
        <w:pStyle w:val="Corpo"/>
        <w:spacing w:line="276" w:lineRule="auto"/>
        <w:rPr>
          <w:rFonts w:hint="eastAsia"/>
          <w:b/>
          <w:color w:val="404040" w:themeColor="text1" w:themeTint="BF"/>
        </w:rPr>
      </w:pPr>
    </w:p>
    <w:p w14:paraId="0E07B596" w14:textId="77777777" w:rsidR="00CD65C2" w:rsidRDefault="00CD65C2">
      <w:pPr>
        <w:pStyle w:val="Corpo"/>
        <w:spacing w:line="276" w:lineRule="auto"/>
        <w:rPr>
          <w:rFonts w:hint="eastAsia"/>
          <w:b/>
          <w:color w:val="404040" w:themeColor="text1" w:themeTint="BF"/>
        </w:rPr>
      </w:pPr>
    </w:p>
    <w:p w14:paraId="58CE073E" w14:textId="77777777" w:rsidR="00CD65C2" w:rsidRDefault="00CD65C2">
      <w:pPr>
        <w:pStyle w:val="Corpo"/>
        <w:spacing w:line="276" w:lineRule="auto"/>
        <w:rPr>
          <w:rFonts w:hint="eastAsia"/>
          <w:b/>
          <w:color w:val="404040" w:themeColor="text1" w:themeTint="BF"/>
        </w:rPr>
      </w:pPr>
    </w:p>
    <w:p w14:paraId="72F8C7DC" w14:textId="77777777" w:rsidR="00CD65C2" w:rsidRDefault="00CD65C2">
      <w:pPr>
        <w:pStyle w:val="Corpo"/>
        <w:spacing w:line="276" w:lineRule="auto"/>
        <w:rPr>
          <w:rFonts w:hint="eastAsia"/>
          <w:b/>
          <w:color w:val="404040" w:themeColor="text1" w:themeTint="BF"/>
        </w:rPr>
      </w:pPr>
    </w:p>
    <w:p w14:paraId="4D184A2B" w14:textId="77777777" w:rsidR="00CD65C2" w:rsidRDefault="00CD65C2">
      <w:pPr>
        <w:pStyle w:val="Corpo"/>
        <w:spacing w:line="276" w:lineRule="auto"/>
        <w:rPr>
          <w:rFonts w:hint="eastAsia"/>
          <w:b/>
          <w:color w:val="404040" w:themeColor="text1" w:themeTint="BF"/>
        </w:rPr>
      </w:pPr>
    </w:p>
    <w:p w14:paraId="37E22837" w14:textId="77777777" w:rsidR="00CD65C2" w:rsidRDefault="00CD65C2">
      <w:pPr>
        <w:pStyle w:val="Corpo"/>
        <w:spacing w:line="276" w:lineRule="auto"/>
        <w:rPr>
          <w:rFonts w:hint="eastAsia"/>
          <w:b/>
          <w:color w:val="404040" w:themeColor="text1" w:themeTint="BF"/>
        </w:rPr>
      </w:pPr>
    </w:p>
    <w:p w14:paraId="7A2DA297" w14:textId="77777777" w:rsidR="00CD65C2" w:rsidRDefault="00CD65C2">
      <w:pPr>
        <w:pStyle w:val="Corpo"/>
        <w:spacing w:line="276" w:lineRule="auto"/>
        <w:rPr>
          <w:rFonts w:hint="eastAsia"/>
          <w:b/>
          <w:color w:val="404040" w:themeColor="text1" w:themeTint="BF"/>
        </w:rPr>
      </w:pPr>
    </w:p>
    <w:p w14:paraId="43C3682D" w14:textId="77777777" w:rsidR="00CD65C2" w:rsidRDefault="00CD65C2">
      <w:pPr>
        <w:pStyle w:val="SemEspaamento"/>
      </w:pPr>
    </w:p>
    <w:p w14:paraId="3A8060C9" w14:textId="77777777" w:rsidR="00CD65C2" w:rsidRDefault="00FA41FC">
      <w:pPr>
        <w:rPr>
          <w:lang w:eastAsia="pt-BR"/>
        </w:rPr>
      </w:pPr>
      <w:r>
        <w:rPr>
          <w:noProof/>
          <w:lang w:eastAsia="pt-BR"/>
        </w:rPr>
        <w:drawing>
          <wp:anchor distT="0" distB="0" distL="114300" distR="114300" simplePos="0" relativeHeight="252024832" behindDoc="0" locked="0" layoutInCell="1" allowOverlap="1">
            <wp:simplePos x="0" y="0"/>
            <wp:positionH relativeFrom="page">
              <wp:posOffset>-1346835</wp:posOffset>
            </wp:positionH>
            <wp:positionV relativeFrom="paragraph">
              <wp:posOffset>-903605</wp:posOffset>
            </wp:positionV>
            <wp:extent cx="10753725" cy="7219950"/>
            <wp:effectExtent l="0" t="0" r="9525" b="0"/>
            <wp:wrapNone/>
            <wp:docPr id="739657945" name="Imagem 739657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657945" name="Imagem 739657945"/>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753725" cy="7219950"/>
                    </a:xfrm>
                    <a:prstGeom prst="rect">
                      <a:avLst/>
                    </a:prstGeom>
                    <a:noFill/>
                    <a:ln>
                      <a:noFill/>
                    </a:ln>
                  </pic:spPr>
                </pic:pic>
              </a:graphicData>
            </a:graphic>
          </wp:anchor>
        </w:drawing>
      </w:r>
    </w:p>
    <w:p w14:paraId="6A0DE213" w14:textId="77777777" w:rsidR="00CD65C2" w:rsidRDefault="00CD65C2">
      <w:pPr>
        <w:rPr>
          <w:lang w:eastAsia="pt-BR"/>
        </w:rPr>
      </w:pPr>
    </w:p>
    <w:p w14:paraId="31A6D1B0" w14:textId="77777777" w:rsidR="00CD65C2" w:rsidRDefault="00CD65C2">
      <w:pPr>
        <w:rPr>
          <w:lang w:eastAsia="pt-BR"/>
        </w:rPr>
      </w:pPr>
    </w:p>
    <w:p w14:paraId="67C71E28" w14:textId="77777777" w:rsidR="00CD65C2" w:rsidRDefault="00CD65C2">
      <w:pPr>
        <w:rPr>
          <w:lang w:eastAsia="pt-BR"/>
        </w:rPr>
      </w:pPr>
    </w:p>
    <w:p w14:paraId="5CDCE0D6" w14:textId="77777777" w:rsidR="00CD65C2" w:rsidRDefault="00CD65C2">
      <w:pPr>
        <w:rPr>
          <w:lang w:eastAsia="pt-BR"/>
        </w:rPr>
      </w:pPr>
    </w:p>
    <w:p w14:paraId="20AA58B2" w14:textId="77777777" w:rsidR="00CD65C2" w:rsidRDefault="00CD65C2">
      <w:pPr>
        <w:rPr>
          <w:lang w:eastAsia="pt-BR"/>
        </w:rPr>
      </w:pPr>
    </w:p>
    <w:p w14:paraId="42196E2B" w14:textId="77777777" w:rsidR="00CD65C2" w:rsidRDefault="00CD65C2">
      <w:pPr>
        <w:rPr>
          <w:lang w:eastAsia="pt-BR"/>
        </w:rPr>
      </w:pPr>
    </w:p>
    <w:p w14:paraId="64A448BA" w14:textId="77777777" w:rsidR="00CD65C2" w:rsidRDefault="00CD65C2">
      <w:pPr>
        <w:rPr>
          <w:lang w:eastAsia="pt-BR"/>
        </w:rPr>
      </w:pPr>
    </w:p>
    <w:p w14:paraId="0D86F0FF" w14:textId="77777777" w:rsidR="00CD65C2" w:rsidRDefault="00CD65C2">
      <w:pPr>
        <w:rPr>
          <w:lang w:eastAsia="pt-BR"/>
        </w:rPr>
      </w:pPr>
    </w:p>
    <w:p w14:paraId="0CD82FEC" w14:textId="77777777" w:rsidR="00CD65C2" w:rsidRDefault="00CD65C2">
      <w:pPr>
        <w:rPr>
          <w:lang w:eastAsia="pt-BR"/>
        </w:rPr>
      </w:pPr>
    </w:p>
    <w:p w14:paraId="5CB31692" w14:textId="77777777" w:rsidR="00CD65C2" w:rsidRDefault="00CD65C2">
      <w:pPr>
        <w:rPr>
          <w:lang w:eastAsia="pt-BR"/>
        </w:rPr>
      </w:pPr>
    </w:p>
    <w:p w14:paraId="5D75D4D3" w14:textId="77777777" w:rsidR="00CD65C2" w:rsidRDefault="00CD65C2">
      <w:pPr>
        <w:rPr>
          <w:lang w:eastAsia="pt-BR"/>
        </w:rPr>
      </w:pPr>
    </w:p>
    <w:p w14:paraId="0C72912D" w14:textId="77777777" w:rsidR="00CD65C2" w:rsidRDefault="00CD65C2">
      <w:pPr>
        <w:rPr>
          <w:lang w:eastAsia="pt-BR"/>
        </w:rPr>
      </w:pPr>
    </w:p>
    <w:p w14:paraId="22381BC1" w14:textId="77777777" w:rsidR="00CD65C2" w:rsidRDefault="00CD65C2">
      <w:pPr>
        <w:rPr>
          <w:lang w:eastAsia="pt-BR"/>
        </w:rPr>
      </w:pPr>
    </w:p>
    <w:p w14:paraId="5D8D7BA0" w14:textId="77777777" w:rsidR="00CD65C2" w:rsidRDefault="00CD65C2">
      <w:pPr>
        <w:rPr>
          <w:lang w:eastAsia="pt-BR"/>
        </w:rPr>
      </w:pPr>
    </w:p>
    <w:p w14:paraId="17CC9207" w14:textId="77777777" w:rsidR="00CD65C2" w:rsidRDefault="00CD65C2">
      <w:pPr>
        <w:rPr>
          <w:lang w:eastAsia="pt-BR"/>
        </w:rPr>
      </w:pPr>
    </w:p>
    <w:p w14:paraId="1E0AD569" w14:textId="77777777" w:rsidR="00CD65C2" w:rsidRDefault="00CD65C2">
      <w:pPr>
        <w:rPr>
          <w:lang w:eastAsia="pt-BR"/>
        </w:rPr>
      </w:pPr>
    </w:p>
    <w:p w14:paraId="20A9DFD5" w14:textId="77777777" w:rsidR="00CD65C2" w:rsidRDefault="00CD65C2">
      <w:pPr>
        <w:rPr>
          <w:lang w:eastAsia="pt-BR"/>
        </w:rPr>
      </w:pPr>
    </w:p>
    <w:p w14:paraId="2FFCBB2F" w14:textId="77777777" w:rsidR="00CD65C2" w:rsidRDefault="00CD65C2">
      <w:pPr>
        <w:rPr>
          <w:lang w:eastAsia="pt-BR"/>
        </w:rPr>
      </w:pPr>
    </w:p>
    <w:p w14:paraId="0DA5B486" w14:textId="77777777" w:rsidR="00CD65C2" w:rsidRDefault="00CD65C2">
      <w:pPr>
        <w:rPr>
          <w:lang w:eastAsia="pt-BR"/>
        </w:rPr>
      </w:pPr>
    </w:p>
    <w:p w14:paraId="290B1FDE" w14:textId="77777777" w:rsidR="00CD65C2" w:rsidRDefault="00CD65C2">
      <w:pPr>
        <w:rPr>
          <w:lang w:eastAsia="pt-BR"/>
        </w:rPr>
      </w:pPr>
    </w:p>
    <w:p w14:paraId="2AD2616A" w14:textId="77777777" w:rsidR="00CD65C2" w:rsidRDefault="00CD65C2"/>
    <w:p w14:paraId="63EFEA36" w14:textId="77777777" w:rsidR="00CD65C2" w:rsidRDefault="00CD65C2"/>
    <w:p w14:paraId="05F8F722" w14:textId="77777777" w:rsidR="00CD65C2" w:rsidRDefault="00CD65C2"/>
    <w:p w14:paraId="3B2D7AD7" w14:textId="77777777" w:rsidR="00CD65C2" w:rsidRDefault="00FA41FC">
      <w:pPr>
        <w:pStyle w:val="Ttulo1"/>
        <w:jc w:val="center"/>
        <w:rPr>
          <w:rFonts w:hint="eastAsia"/>
        </w:rPr>
      </w:pPr>
      <w:bookmarkStart w:id="186" w:name="_Toc165537333"/>
      <w:r>
        <w:t>Suporte ao Tratamento do Câncer de Mama</w:t>
      </w:r>
      <w:bookmarkEnd w:id="186"/>
    </w:p>
    <w:p w14:paraId="5ACE5961" w14:textId="77777777" w:rsidR="00CD65C2" w:rsidRDefault="00CD65C2">
      <w:pPr>
        <w:pStyle w:val="SemEspaamento"/>
      </w:pPr>
    </w:p>
    <w:p w14:paraId="3947BED2" w14:textId="77777777" w:rsidR="00CD65C2" w:rsidRDefault="00FA41FC">
      <w:pPr>
        <w:pStyle w:val="Ttulo1"/>
        <w:jc w:val="center"/>
        <w:rPr>
          <w:rFonts w:hint="eastAsia"/>
        </w:rPr>
      </w:pPr>
      <w:bookmarkStart w:id="187" w:name="_Toc165537334"/>
      <w:r>
        <w:rPr>
          <w:bCs/>
          <w:iCs/>
        </w:rPr>
        <w:t>Coenzima Q10</w:t>
      </w:r>
      <w:bookmarkEnd w:id="187"/>
    </w:p>
    <w:p w14:paraId="10705D4D" w14:textId="77777777" w:rsidR="00CD65C2" w:rsidRPr="00D1428E" w:rsidRDefault="00FA41FC">
      <w:pPr>
        <w:pStyle w:val="Corpo"/>
        <w:jc w:val="center"/>
        <w:rPr>
          <w:rFonts w:hint="eastAsia"/>
          <w:b/>
          <w:color w:val="0070C0"/>
          <w:sz w:val="40"/>
        </w:rPr>
      </w:pPr>
      <w:r w:rsidRPr="00D1428E">
        <w:rPr>
          <w:b/>
          <w:color w:val="0070C0"/>
          <w:sz w:val="40"/>
        </w:rPr>
        <w:t>Melhora Marcadores Inflamatórios em Pacientes com Câncer de Mama</w:t>
      </w:r>
    </w:p>
    <w:p w14:paraId="41B812BD" w14:textId="77777777" w:rsidR="00CD65C2" w:rsidRDefault="00CD65C2">
      <w:pPr>
        <w:pStyle w:val="Corpo"/>
        <w:rPr>
          <w:rFonts w:hint="eastAsia"/>
          <w:color w:val="404040" w:themeColor="text1" w:themeTint="BF"/>
          <w:sz w:val="10"/>
          <w:szCs w:val="10"/>
        </w:rPr>
      </w:pPr>
    </w:p>
    <w:p w14:paraId="4DB3A63D" w14:textId="59561E99" w:rsidR="00CD65C2" w:rsidRDefault="00FA41FC">
      <w:pPr>
        <w:pStyle w:val="Corpo"/>
        <w:spacing w:after="120"/>
        <w:rPr>
          <w:rFonts w:hint="eastAsia"/>
          <w:color w:val="404040" w:themeColor="text1" w:themeTint="BF"/>
          <w:szCs w:val="23"/>
        </w:rPr>
      </w:pPr>
      <w:r>
        <w:rPr>
          <w:noProof/>
          <w:color w:val="404040" w:themeColor="text1" w:themeTint="BF"/>
          <w:szCs w:val="23"/>
          <w:lang w:eastAsia="pt-BR"/>
        </w:rPr>
        <mc:AlternateContent>
          <mc:Choice Requires="wps">
            <w:drawing>
              <wp:anchor distT="0" distB="0" distL="114300" distR="114300" simplePos="0" relativeHeight="252022784" behindDoc="0" locked="0" layoutInCell="1" allowOverlap="1">
                <wp:simplePos x="0" y="0"/>
                <wp:positionH relativeFrom="margin">
                  <wp:align>right</wp:align>
                </wp:positionH>
                <wp:positionV relativeFrom="paragraph">
                  <wp:posOffset>713740</wp:posOffset>
                </wp:positionV>
                <wp:extent cx="5734050" cy="733425"/>
                <wp:effectExtent l="0" t="0" r="19050" b="28575"/>
                <wp:wrapNone/>
                <wp:docPr id="739657906" name="Caixa de texto 739657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733425"/>
                        </a:xfrm>
                        <a:prstGeom prst="rect">
                          <a:avLst/>
                        </a:prstGeom>
                        <a:solidFill>
                          <a:schemeClr val="bg1">
                            <a:lumMod val="100000"/>
                            <a:lumOff val="0"/>
                          </a:schemeClr>
                        </a:solidFill>
                        <a:ln w="9525">
                          <a:solidFill>
                            <a:srgbClr val="0070C0"/>
                          </a:solidFill>
                          <a:miter lim="800000"/>
                        </a:ln>
                      </wps:spPr>
                      <wps:txbx>
                        <w:txbxContent>
                          <w:p w14:paraId="6113D019" w14:textId="7BACDD5E" w:rsidR="00FA41FC" w:rsidRDefault="00FA41FC">
                            <w:pPr>
                              <w:jc w:val="center"/>
                              <w:rPr>
                                <w:rFonts w:ascii="Swis721 Th BT" w:hAnsi="Swis721 Th BT"/>
                                <w:sz w:val="23"/>
                                <w:szCs w:val="23"/>
                              </w:rPr>
                            </w:pPr>
                            <w:r>
                              <w:rPr>
                                <w:rFonts w:ascii="Swis721 Th BT" w:hAnsi="Swis721 Th BT"/>
                                <w:sz w:val="23"/>
                                <w:szCs w:val="23"/>
                              </w:rPr>
                              <w:t xml:space="preserve">Assim, 30 pacientes com câncer de mama, receptor de estrogênio positivo, pelo menos há seis meses sem quimioterapia ou radioterapia e sob tratamento com tamoxifeno e 29 pacientes saudáveis foram randomizados para receberem por dois meses: </w:t>
                            </w:r>
                          </w:p>
                        </w:txbxContent>
                      </wps:txbx>
                      <wps:bodyPr rot="0" vert="horz" wrap="square" lIns="91440" tIns="45720" rIns="91440" bIns="45720" anchor="t" anchorCtr="0" upright="1">
                        <a:noAutofit/>
                      </wps:bodyPr>
                    </wps:wsp>
                  </a:graphicData>
                </a:graphic>
              </wp:anchor>
            </w:drawing>
          </mc:Choice>
          <mc:Fallback>
            <w:pict>
              <v:shape id="Caixa de texto 739657906" o:spid="_x0000_s1266" type="#_x0000_t202" style="position:absolute;left:0;text-align:left;margin-left:400.3pt;margin-top:56.2pt;width:451.5pt;height:57.75pt;z-index:25202278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" fillcolor="white [3212]" strokecolor="#0070c0">
                <v:textbox>
                  <w:txbxContent>
                    <w:p w14:paraId="6113D019" w14:textId="7BACDD5E" w:rsidR="00FA41FC" w:rsidRDefault="00FA41FC">
                      <w:pPr>
                        <w:jc w:val="center"/>
                        <w:rPr>
                          <w:rFonts w:ascii="Swis721 Th BT" w:hAnsi="Swis721 Th BT"/>
                          <w:sz w:val="23"/>
                          <w:szCs w:val="23"/>
                        </w:rPr>
                      </w:pPr>
                      <w:r>
                        <w:rPr>
                          <w:rFonts w:ascii="Swis721 Th BT" w:hAnsi="Swis721 Th BT"/>
                          <w:sz w:val="23"/>
                          <w:szCs w:val="23"/>
                        </w:rPr>
                        <w:t xml:space="preserve">Assim, 30 pacientes com câncer de mama, receptor de estrogênio positivo, pelo menos há seis meses sem quimioterapia ou radioterapia e sob tratamento com tamoxifeno e 29 pacientes saudáveis foram randomizados para receberem por dois meses: </w:t>
                      </w:r>
                    </w:p>
                  </w:txbxContent>
                </v:textbox>
                <w10:wrap anchorx="margin"/>
              </v:shape>
            </w:pict>
          </mc:Fallback>
        </mc:AlternateContent>
      </w:r>
      <w:r w:rsidRPr="00D1428E">
        <w:rPr>
          <w:color w:val="404040" w:themeColor="text1" w:themeTint="BF"/>
          <w:szCs w:val="23"/>
          <w:lang w:eastAsia="pt-BR"/>
        </w:rPr>
        <w:t xml:space="preserve">Este </w:t>
      </w:r>
      <w:r>
        <w:rPr>
          <w:color w:val="404040" w:themeColor="text1" w:themeTint="BF"/>
          <w:szCs w:val="23"/>
        </w:rPr>
        <w:t xml:space="preserve">estudo clínico, duplo-cego, placebo-controlado e randomizado avaliou a eficácia da coenzima Q10 em marcadores inflamatórios em pacientes com câncer de mama sob tratamento com tamoxifeno </w:t>
      </w:r>
      <w:r>
        <w:rPr>
          <w:color w:val="404040" w:themeColor="text1" w:themeTint="BF"/>
          <w:szCs w:val="23"/>
        </w:rPr>
        <w:fldChar w:fldCharType="begin">
          <w:fldData xml:space="preserve">PEVuZE5vdGU+PENpdGU+PEF1dGhvcj5aYWhyb29uaTwvQXV0aG9yPjxZZWFyPjIwMTk8L1llYXI+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</w:fldData>
        </w:fldChar>
      </w:r>
      <w:r>
        <w:rPr>
          <w:color w:val="404040" w:themeColor="text1" w:themeTint="BF"/>
          <w:szCs w:val="23"/>
        </w:rPr>
        <w:instrText xml:space="preserve"> ADDIN EN.CITE </w:instrText>
      </w:r>
      <w:r>
        <w:rPr>
          <w:color w:val="404040" w:themeColor="text1" w:themeTint="BF"/>
          <w:szCs w:val="23"/>
        </w:rPr>
        <w:fldChar w:fldCharType="begin">
          <w:fldData xml:space="preserve">PEVuZE5vdGU+PENpdGU+PEF1dGhvcj5aYWhyb29uaTwvQXV0aG9yPjxZZWFyPjIwMTk8L1llYXI+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</w:fldData>
        </w:fldChar>
      </w:r>
      <w:r>
        <w:rPr>
          <w:color w:val="404040" w:themeColor="text1" w:themeTint="BF"/>
          <w:szCs w:val="23"/>
        </w:rPr>
        <w:instrText xml:space="preserve"> ADDIN EN.CITE.DATA </w:instrText>
      </w:r>
      <w:r>
        <w:rPr>
          <w:color w:val="404040" w:themeColor="text1" w:themeTint="BF"/>
          <w:szCs w:val="23"/>
        </w:rPr>
      </w:r>
      <w:r>
        <w:rPr>
          <w:color w:val="404040" w:themeColor="text1" w:themeTint="BF"/>
          <w:szCs w:val="23"/>
        </w:rPr>
        <w:fldChar w:fldCharType="end"/>
      </w:r>
      <w:r>
        <w:rPr>
          <w:color w:val="404040" w:themeColor="text1" w:themeTint="BF"/>
          <w:szCs w:val="23"/>
        </w:rPr>
      </w:r>
      <w:r>
        <w:rPr>
          <w:color w:val="404040" w:themeColor="text1" w:themeTint="BF"/>
          <w:szCs w:val="23"/>
        </w:rPr>
        <w:fldChar w:fldCharType="separate"/>
      </w:r>
      <w:r>
        <w:rPr>
          <w:color w:val="404040" w:themeColor="text1" w:themeTint="BF"/>
          <w:szCs w:val="23"/>
        </w:rPr>
        <w:t>(ZAHROONI; HOSSEINI; AHMADZADEH; AHMADI ANGALI</w:t>
      </w:r>
      <w:r>
        <w:rPr>
          <w:i/>
          <w:color w:val="404040" w:themeColor="text1" w:themeTint="BF"/>
          <w:szCs w:val="23"/>
        </w:rPr>
        <w:t xml:space="preserve"> et al.</w:t>
      </w:r>
      <w:r>
        <w:rPr>
          <w:color w:val="404040" w:themeColor="text1" w:themeTint="BF"/>
          <w:szCs w:val="23"/>
        </w:rPr>
        <w:t>, 2019)</w:t>
      </w:r>
      <w:r>
        <w:rPr>
          <w:color w:val="404040" w:themeColor="text1" w:themeTint="BF"/>
          <w:szCs w:val="23"/>
        </w:rPr>
        <w:fldChar w:fldCharType="end"/>
      </w:r>
      <w:r>
        <w:rPr>
          <w:color w:val="404040" w:themeColor="text1" w:themeTint="BF"/>
          <w:szCs w:val="23"/>
        </w:rPr>
        <w:t>.</w:t>
      </w:r>
    </w:p>
    <w:p w14:paraId="50233E20" w14:textId="77777777" w:rsidR="00CD65C2" w:rsidRDefault="00FA41FC">
      <w:pPr>
        <w:pStyle w:val="Corpo"/>
        <w:rPr>
          <w:rFonts w:hint="eastAsia"/>
          <w:color w:val="404040" w:themeColor="text1" w:themeTint="BF"/>
          <w:szCs w:val="23"/>
        </w:rPr>
      </w:pPr>
      <w:r>
        <w:rPr>
          <w:color w:val="404040" w:themeColor="text1" w:themeTint="BF"/>
          <w:szCs w:val="23"/>
        </w:rPr>
        <w:br/>
      </w:r>
    </w:p>
    <w:p w14:paraId="731332CE" w14:textId="77777777" w:rsidR="00CD65C2" w:rsidRDefault="00CD65C2">
      <w:pPr>
        <w:pStyle w:val="Corpo"/>
        <w:rPr>
          <w:rFonts w:hint="eastAsia"/>
          <w:color w:val="404040" w:themeColor="text1" w:themeTint="BF"/>
          <w:szCs w:val="23"/>
        </w:rPr>
      </w:pPr>
    </w:p>
    <w:p w14:paraId="4290F93B" w14:textId="77777777" w:rsidR="00CD65C2" w:rsidRDefault="00FA41FC">
      <w:pPr>
        <w:pStyle w:val="Corpo"/>
        <w:rPr>
          <w:rFonts w:hint="eastAsia"/>
          <w:color w:val="404040" w:themeColor="text1" w:themeTint="BF"/>
          <w:szCs w:val="23"/>
        </w:rPr>
      </w:pPr>
      <w:r>
        <w:rPr>
          <w:noProof/>
          <w:color w:val="404040" w:themeColor="text1" w:themeTint="BF"/>
          <w:szCs w:val="23"/>
          <w:lang w:eastAsia="pt-BR"/>
        </w:rPr>
        <mc:AlternateContent>
          <mc:Choice Requires="wps">
            <w:drawing>
              <wp:anchor distT="0" distB="0" distL="114300" distR="114300" simplePos="0" relativeHeight="252021760" behindDoc="0" locked="0" layoutInCell="1" allowOverlap="1">
                <wp:simplePos x="0" y="0"/>
                <wp:positionH relativeFrom="column">
                  <wp:posOffset>3183890</wp:posOffset>
                </wp:positionH>
                <wp:positionV relativeFrom="paragraph">
                  <wp:posOffset>163830</wp:posOffset>
                </wp:positionV>
                <wp:extent cx="2555875" cy="827405"/>
                <wp:effectExtent l="0" t="0" r="15875" b="10795"/>
                <wp:wrapNone/>
                <wp:docPr id="739657925" name="Caixa de texto 7396579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5875" cy="827405"/>
                        </a:xfrm>
                        <a:prstGeom prst="rect">
                          <a:avLst/>
                        </a:prstGeom>
                        <a:solidFill>
                          <a:srgbClr val="0070C0"/>
                        </a:solidFill>
                        <a:ln w="9525">
                          <a:solidFill>
                            <a:srgbClr val="0070C0"/>
                          </a:solidFill>
                          <a:miter lim="800000"/>
                        </a:ln>
                      </wps:spPr>
                      <wps:txbx>
                        <w:txbxContent>
                          <w:p w14:paraId="256A1E04"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14:paraId="730E3300"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(Pacientes Saudáveis e com Câncer)</w:t>
                            </w:r>
                          </w:p>
                          <w:p w14:paraId="02C78602"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739657925" o:spid="_x0000_s1267" type="#_x0000_t202" style="position:absolute;left:0;text-align:left;margin-left:250.7pt;margin-top:12.9pt;width:201.25pt;height:65.15pt;z-index:252021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" fillcolor="#0070c0" strokecolor="#0070c0">
                <v:textbox>
                  <w:txbxContent>
                    <w:p w14:paraId="256A1E04"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14:paraId="730E3300"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(Pacientes Saudáveis e com Câncer)</w:t>
                      </w:r>
                    </w:p>
                    <w:p w14:paraId="02C78602"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txbxContent>
                </v:textbox>
              </v:shape>
            </w:pict>
          </mc:Fallback>
        </mc:AlternateContent>
      </w:r>
      <w:r>
        <w:rPr>
          <w:noProof/>
          <w:color w:val="404040" w:themeColor="text1" w:themeTint="BF"/>
          <w:szCs w:val="23"/>
          <w:lang w:eastAsia="pt-BR"/>
        </w:rPr>
        <mc:AlternateContent>
          <mc:Choice Requires="wps">
            <w:drawing>
              <wp:anchor distT="0" distB="0" distL="114300" distR="114300" simplePos="0" relativeHeight="252023808" behindDoc="0" locked="0" layoutInCell="1" allowOverlap="1">
                <wp:simplePos x="0" y="0"/>
                <wp:positionH relativeFrom="column">
                  <wp:posOffset>-3810</wp:posOffset>
                </wp:positionH>
                <wp:positionV relativeFrom="paragraph">
                  <wp:posOffset>163830</wp:posOffset>
                </wp:positionV>
                <wp:extent cx="2555875" cy="827405"/>
                <wp:effectExtent l="0" t="0" r="15875" b="10795"/>
                <wp:wrapNone/>
                <wp:docPr id="739657928" name="Caixa de texto 7396579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5875" cy="827405"/>
                        </a:xfrm>
                        <a:prstGeom prst="rect">
                          <a:avLst/>
                        </a:prstGeom>
                        <a:solidFill>
                          <a:srgbClr val="0070C0"/>
                        </a:solidFill>
                        <a:ln w="9525">
                          <a:solidFill>
                            <a:srgbClr val="0070C0"/>
                          </a:solidFill>
                          <a:miter lim="800000"/>
                        </a:ln>
                      </wps:spPr>
                      <wps:txbx>
                        <w:txbxContent>
                          <w:p w14:paraId="5F10FD43"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29D0EEC0"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(Pacientes Saudáveis e com Câncer)</w:t>
                            </w:r>
                          </w:p>
                          <w:p w14:paraId="4F63F572"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Coenzima Q10</w:t>
                            </w:r>
                          </w:p>
                          <w:p w14:paraId="48CBEB02"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100 mg ao dia</w:t>
                            </w:r>
                          </w:p>
                        </w:txbxContent>
                      </wps:txbx>
                      <wps:bodyPr rot="0" vert="horz" wrap="square" lIns="91440" tIns="45720" rIns="91440" bIns="45720" anchor="ctr" anchorCtr="0" upright="1">
                        <a:noAutofit/>
                      </wps:bodyPr>
                    </wps:wsp>
                  </a:graphicData>
                </a:graphic>
              </wp:anchor>
            </w:drawing>
          </mc:Choice>
          <mc:Fallback>
            <w:pict>
              <v:shape id="Caixa de texto 739657928" o:spid="_x0000_s1268" type="#_x0000_t202" style="position:absolute;left:0;text-align:left;margin-left:-.3pt;margin-top:12.9pt;width:201.25pt;height:65.15pt;z-index:252023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" fillcolor="#0070c0" strokecolor="#0070c0">
                <v:textbox>
                  <w:txbxContent>
                    <w:p w14:paraId="5F10FD43"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29D0EEC0"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(Pacientes Saudáveis e com Câncer)</w:t>
                      </w:r>
                    </w:p>
                    <w:p w14:paraId="4F63F572"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Coenzima Q10</w:t>
                      </w:r>
                    </w:p>
                    <w:p w14:paraId="48CBEB02"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100 mg ao dia</w:t>
                      </w:r>
                    </w:p>
                  </w:txbxContent>
                </v:textbox>
              </v:shape>
            </w:pict>
          </mc:Fallback>
        </mc:AlternateContent>
      </w:r>
    </w:p>
    <w:p w14:paraId="52038856" w14:textId="77777777" w:rsidR="00CD65C2" w:rsidRDefault="00CD65C2">
      <w:pPr>
        <w:pStyle w:val="Corpo"/>
        <w:rPr>
          <w:rFonts w:hint="eastAsia"/>
          <w:color w:val="404040" w:themeColor="text1" w:themeTint="BF"/>
          <w:szCs w:val="23"/>
        </w:rPr>
      </w:pPr>
    </w:p>
    <w:p w14:paraId="6C92388F" w14:textId="77777777" w:rsidR="00CD65C2" w:rsidRDefault="00CD65C2">
      <w:pPr>
        <w:pStyle w:val="Corpo"/>
        <w:rPr>
          <w:rFonts w:hint="eastAsia"/>
          <w:color w:val="404040" w:themeColor="text1" w:themeTint="BF"/>
          <w:szCs w:val="23"/>
        </w:rPr>
      </w:pPr>
    </w:p>
    <w:p w14:paraId="4090C6AD" w14:textId="77777777" w:rsidR="00CD65C2" w:rsidRDefault="00CD65C2">
      <w:pPr>
        <w:pStyle w:val="Corpo"/>
        <w:rPr>
          <w:rFonts w:hint="eastAsia"/>
          <w:color w:val="404040" w:themeColor="text1" w:themeTint="BF"/>
          <w:szCs w:val="23"/>
        </w:rPr>
      </w:pPr>
    </w:p>
    <w:p w14:paraId="0D22B716" w14:textId="77777777" w:rsidR="00CD65C2" w:rsidRDefault="00CD65C2">
      <w:pPr>
        <w:pStyle w:val="Corpo"/>
        <w:rPr>
          <w:rFonts w:hint="eastAsia"/>
          <w:color w:val="404040" w:themeColor="text1" w:themeTint="BF"/>
        </w:rPr>
      </w:pPr>
    </w:p>
    <w:p w14:paraId="07D6917A" w14:textId="77777777" w:rsidR="00CD65C2" w:rsidRDefault="00CD65C2">
      <w:pPr>
        <w:pStyle w:val="Corpo"/>
        <w:rPr>
          <w:rFonts w:hint="eastAsia"/>
          <w:color w:val="404040" w:themeColor="text1" w:themeTint="BF"/>
        </w:rPr>
      </w:pPr>
    </w:p>
    <w:p w14:paraId="4D979790"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4B9E4987" w14:textId="77777777" w:rsidR="00CD65C2" w:rsidRDefault="00FA41FC">
      <w:pPr>
        <w:pStyle w:val="Corpo"/>
        <w:numPr>
          <w:ilvl w:val="0"/>
          <w:numId w:val="5"/>
        </w:numPr>
        <w:spacing w:after="0"/>
        <w:rPr>
          <w:rFonts w:hint="eastAsia"/>
          <w:color w:val="404040" w:themeColor="text1" w:themeTint="BF"/>
          <w:szCs w:val="23"/>
        </w:rPr>
      </w:pPr>
      <w:r>
        <w:rPr>
          <w:color w:val="404040" w:themeColor="text1" w:themeTint="BF"/>
          <w:szCs w:val="23"/>
        </w:rPr>
        <w:t>A suplementação com coenzima Q10 demonstrou reduzir significativamente os níveis séricos de IL-8 e IL-6 comparado ao placebo. O grupo de pacientes que recebeu o suplemento apresentou maior redução dos níveis séricos de citocinas comparado ao grupo placebo.</w:t>
      </w:r>
    </w:p>
    <w:p w14:paraId="12778E32" w14:textId="77777777" w:rsidR="00CD65C2" w:rsidRDefault="00CD65C2">
      <w:pPr>
        <w:pStyle w:val="Corpo"/>
        <w:spacing w:after="0"/>
        <w:ind w:left="360"/>
        <w:rPr>
          <w:rFonts w:hint="eastAsia"/>
          <w:color w:val="404040" w:themeColor="text1" w:themeTint="BF"/>
          <w:szCs w:val="23"/>
        </w:rPr>
      </w:pPr>
    </w:p>
    <w:tbl>
      <w:tblPr>
        <w:tblStyle w:val="TabelaSimples22"/>
        <w:tblW w:w="0" w:type="auto"/>
        <w:tblLook w:val="04A0" w:firstRow="1" w:lastRow="0" w:firstColumn="1" w:lastColumn="0" w:noHBand="0" w:noVBand="1"/>
      </w:tblPr>
      <w:tblGrid>
        <w:gridCol w:w="1228"/>
        <w:gridCol w:w="2968"/>
        <w:gridCol w:w="1781"/>
        <w:gridCol w:w="2762"/>
      </w:tblGrid>
      <w:tr w:rsidR="00CD65C2" w14:paraId="26629DD4" w14:textId="77777777" w:rsidTr="00CD65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F96D8F4" w14:textId="77777777" w:rsidR="00CD65C2" w:rsidRDefault="00FA41FC">
            <w:pPr>
              <w:spacing w:after="0" w:line="393" w:lineRule="atLeast"/>
              <w:jc w:val="center"/>
              <w:rPr>
                <w:rFonts w:ascii="Swis721 Th BT" w:hAnsi="Swis721 Th BT"/>
                <w:b w:val="0"/>
                <w:bCs w:val="0"/>
                <w:color w:val="000000"/>
                <w:sz w:val="20"/>
                <w:szCs w:val="21"/>
              </w:rPr>
            </w:pPr>
            <w:r>
              <w:rPr>
                <w:rFonts w:ascii="Swis721 Th BT" w:hAnsi="Swis721 Th BT"/>
                <w:b w:val="0"/>
                <w:bCs w:val="0"/>
                <w:color w:val="000000"/>
                <w:sz w:val="20"/>
                <w:szCs w:val="21"/>
              </w:rPr>
              <w:t>Parâmetros</w:t>
            </w:r>
          </w:p>
        </w:tc>
        <w:tc>
          <w:tcPr>
            <w:tcW w:w="0" w:type="auto"/>
            <w:vAlign w:val="center"/>
          </w:tcPr>
          <w:p w14:paraId="290DB261" w14:textId="77777777" w:rsidR="00CD65C2" w:rsidRDefault="00FA41FC">
            <w:pPr>
              <w:spacing w:after="0" w:line="393" w:lineRule="atLeast"/>
              <w:jc w:val="center"/>
              <w:cnfStyle w:val="100000000000" w:firstRow="1" w:lastRow="0" w:firstColumn="0" w:lastColumn="0" w:oddVBand="0" w:evenVBand="0" w:oddHBand="0" w:evenHBand="0" w:firstRowFirstColumn="0" w:firstRowLastColumn="0" w:lastRowFirstColumn="0" w:lastRowLastColumn="0"/>
              <w:rPr>
                <w:rFonts w:ascii="Swis721 Th BT" w:hAnsi="Swis721 Th BT"/>
                <w:color w:val="000000"/>
                <w:sz w:val="20"/>
                <w:szCs w:val="21"/>
              </w:rPr>
            </w:pPr>
            <w:r>
              <w:rPr>
                <w:rFonts w:ascii="Swis721 Th BT" w:hAnsi="Swis721 Th BT"/>
                <w:b w:val="0"/>
                <w:bCs w:val="0"/>
                <w:color w:val="000000"/>
                <w:sz w:val="20"/>
                <w:szCs w:val="21"/>
              </w:rPr>
              <w:t>Grupo</w:t>
            </w:r>
          </w:p>
        </w:tc>
        <w:tc>
          <w:tcPr>
            <w:tcW w:w="0" w:type="auto"/>
            <w:vAlign w:val="center"/>
          </w:tcPr>
          <w:p w14:paraId="0D80ED63" w14:textId="77777777" w:rsidR="00CD65C2" w:rsidRDefault="00FA41FC">
            <w:pPr>
              <w:spacing w:after="0" w:line="393" w:lineRule="atLeast"/>
              <w:jc w:val="center"/>
              <w:cnfStyle w:val="100000000000" w:firstRow="1" w:lastRow="0" w:firstColumn="0" w:lastColumn="0" w:oddVBand="0" w:evenVBand="0" w:oddHBand="0" w:evenHBand="0" w:firstRowFirstColumn="0" w:firstRowLastColumn="0" w:lastRowFirstColumn="0" w:lastRowLastColumn="0"/>
              <w:rPr>
                <w:rFonts w:ascii="Swis721 Th BT" w:hAnsi="Swis721 Th BT"/>
                <w:color w:val="000000"/>
                <w:sz w:val="20"/>
                <w:szCs w:val="21"/>
              </w:rPr>
            </w:pPr>
            <w:r>
              <w:rPr>
                <w:rFonts w:ascii="Swis721 Th BT" w:hAnsi="Swis721 Th BT"/>
                <w:b w:val="0"/>
                <w:bCs w:val="0"/>
                <w:color w:val="000000"/>
                <w:sz w:val="20"/>
                <w:szCs w:val="21"/>
              </w:rPr>
              <w:t>Antes (Média±DP)</w:t>
            </w:r>
          </w:p>
        </w:tc>
        <w:tc>
          <w:tcPr>
            <w:tcW w:w="0" w:type="auto"/>
            <w:vAlign w:val="center"/>
          </w:tcPr>
          <w:p w14:paraId="261FA0A5" w14:textId="77777777" w:rsidR="00CD65C2" w:rsidRDefault="00FA41FC">
            <w:pPr>
              <w:spacing w:after="0" w:line="393" w:lineRule="atLeast"/>
              <w:jc w:val="center"/>
              <w:cnfStyle w:val="100000000000" w:firstRow="1" w:lastRow="0" w:firstColumn="0" w:lastColumn="0" w:oddVBand="0" w:evenVBand="0" w:oddHBand="0" w:evenHBand="0" w:firstRowFirstColumn="0" w:firstRowLastColumn="0" w:lastRowFirstColumn="0" w:lastRowLastColumn="0"/>
              <w:rPr>
                <w:rFonts w:ascii="Swis721 Th BT" w:hAnsi="Swis721 Th BT"/>
                <w:color w:val="000000"/>
                <w:sz w:val="20"/>
                <w:szCs w:val="21"/>
              </w:rPr>
            </w:pPr>
            <w:r>
              <w:rPr>
                <w:rFonts w:ascii="Swis721 Th BT" w:hAnsi="Swis721 Th BT"/>
                <w:b w:val="0"/>
                <w:bCs w:val="0"/>
                <w:color w:val="000000"/>
                <w:sz w:val="20"/>
                <w:szCs w:val="21"/>
              </w:rPr>
              <w:t>Após Intervenção (Média±DP)</w:t>
            </w:r>
          </w:p>
        </w:tc>
      </w:tr>
      <w:tr w:rsidR="00CD65C2" w14:paraId="7FA8B1B8" w14:textId="77777777" w:rsidTr="00CD65C2">
        <w:trPr>
          <w:trHeight w:val="377"/>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7F7F7F" w:themeColor="text1" w:themeTint="80"/>
              <w:bottom w:val="single" w:sz="4" w:space="0" w:color="7F7F7F" w:themeColor="text1" w:themeTint="80"/>
            </w:tcBorders>
            <w:vAlign w:val="center"/>
          </w:tcPr>
          <w:p w14:paraId="304D9739" w14:textId="77777777" w:rsidR="00CD65C2" w:rsidRDefault="00FA41FC">
            <w:pPr>
              <w:spacing w:after="0" w:line="393" w:lineRule="atLeast"/>
              <w:jc w:val="center"/>
              <w:rPr>
                <w:rFonts w:ascii="Swis721 Th BT" w:hAnsi="Swis721 Th BT"/>
                <w:b w:val="0"/>
                <w:bCs w:val="0"/>
                <w:color w:val="000000"/>
                <w:sz w:val="20"/>
                <w:szCs w:val="21"/>
              </w:rPr>
            </w:pPr>
            <w:r>
              <w:rPr>
                <w:rFonts w:ascii="Swis721 Th BT" w:hAnsi="Swis721 Th BT"/>
                <w:color w:val="000000"/>
                <w:sz w:val="20"/>
                <w:szCs w:val="21"/>
              </w:rPr>
              <w:t>IL6 (ng/L)</w:t>
            </w:r>
          </w:p>
        </w:tc>
        <w:tc>
          <w:tcPr>
            <w:tcW w:w="0" w:type="auto"/>
            <w:tcBorders>
              <w:top w:val="single" w:sz="4" w:space="0" w:color="7F7F7F" w:themeColor="text1" w:themeTint="80"/>
              <w:bottom w:val="single" w:sz="4" w:space="0" w:color="7F7F7F" w:themeColor="text1" w:themeTint="80"/>
            </w:tcBorders>
            <w:shd w:val="clear" w:color="auto" w:fill="F2F2F2" w:themeFill="background1" w:themeFillShade="F2"/>
            <w:vAlign w:val="center"/>
          </w:tcPr>
          <w:p w14:paraId="2BAF2AF1" w14:textId="77777777" w:rsidR="00CD65C2" w:rsidRDefault="00FA41FC">
            <w:pPr>
              <w:spacing w:after="0"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 w:val="20"/>
                <w:szCs w:val="21"/>
              </w:rPr>
            </w:pPr>
            <w:r>
              <w:rPr>
                <w:rFonts w:ascii="Swis721 Th BT" w:hAnsi="Swis721 Th BT"/>
                <w:color w:val="000000"/>
                <w:sz w:val="20"/>
                <w:szCs w:val="21"/>
              </w:rPr>
              <w:t>Pacientes Saudáveis - Placebo</w:t>
            </w:r>
          </w:p>
        </w:tc>
        <w:tc>
          <w:tcPr>
            <w:tcW w:w="0" w:type="auto"/>
            <w:tcBorders>
              <w:top w:val="single" w:sz="4" w:space="0" w:color="7F7F7F" w:themeColor="text1" w:themeTint="80"/>
              <w:bottom w:val="single" w:sz="4" w:space="0" w:color="7F7F7F" w:themeColor="text1" w:themeTint="80"/>
            </w:tcBorders>
            <w:shd w:val="clear" w:color="auto" w:fill="F2F2F2" w:themeFill="background1" w:themeFillShade="F2"/>
            <w:vAlign w:val="center"/>
          </w:tcPr>
          <w:p w14:paraId="7A0F3318" w14:textId="77777777" w:rsidR="00CD65C2" w:rsidRDefault="00FA41FC">
            <w:pPr>
              <w:spacing w:after="0"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 w:val="20"/>
                <w:szCs w:val="21"/>
              </w:rPr>
            </w:pPr>
            <w:r>
              <w:rPr>
                <w:rFonts w:ascii="Swis721 Th BT" w:hAnsi="Swis721 Th BT"/>
                <w:color w:val="000000"/>
                <w:sz w:val="20"/>
                <w:szCs w:val="21"/>
              </w:rPr>
              <w:t>83,06±20,91</w:t>
            </w:r>
          </w:p>
        </w:tc>
        <w:tc>
          <w:tcPr>
            <w:tcW w:w="0" w:type="auto"/>
            <w:tcBorders>
              <w:top w:val="single" w:sz="4" w:space="0" w:color="7F7F7F" w:themeColor="text1" w:themeTint="80"/>
              <w:bottom w:val="single" w:sz="4" w:space="0" w:color="7F7F7F" w:themeColor="text1" w:themeTint="80"/>
            </w:tcBorders>
            <w:shd w:val="clear" w:color="auto" w:fill="F2F2F2" w:themeFill="background1" w:themeFillShade="F2"/>
            <w:vAlign w:val="center"/>
          </w:tcPr>
          <w:p w14:paraId="34280DDD" w14:textId="77777777" w:rsidR="00CD65C2" w:rsidRDefault="00FA41FC">
            <w:pPr>
              <w:spacing w:after="0"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 w:val="20"/>
                <w:szCs w:val="21"/>
              </w:rPr>
            </w:pPr>
            <w:r>
              <w:rPr>
                <w:rFonts w:ascii="Swis721 Th BT" w:hAnsi="Swis721 Th BT"/>
                <w:color w:val="000000"/>
                <w:sz w:val="20"/>
                <w:szCs w:val="21"/>
              </w:rPr>
              <w:t>76,06±19,17</w:t>
            </w:r>
          </w:p>
        </w:tc>
      </w:tr>
      <w:tr w:rsidR="00CD65C2" w14:paraId="3C26274A" w14:textId="77777777" w:rsidTr="00CD65C2">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5B6E944" w14:textId="77777777" w:rsidR="00CD65C2" w:rsidRDefault="00CD65C2">
            <w:pPr>
              <w:spacing w:after="0" w:line="393" w:lineRule="atLeast"/>
              <w:jc w:val="center"/>
              <w:rPr>
                <w:rFonts w:ascii="Swis721 Th BT" w:hAnsi="Swis721 Th BT"/>
                <w:b w:val="0"/>
                <w:bCs w:val="0"/>
                <w:color w:val="000000"/>
                <w:sz w:val="20"/>
                <w:szCs w:val="21"/>
              </w:rPr>
            </w:pPr>
          </w:p>
        </w:tc>
        <w:tc>
          <w:tcPr>
            <w:tcW w:w="0" w:type="auto"/>
            <w:vAlign w:val="center"/>
          </w:tcPr>
          <w:p w14:paraId="551F8E46" w14:textId="77777777" w:rsidR="00CD65C2" w:rsidRDefault="00FA41FC">
            <w:pPr>
              <w:spacing w:after="0"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 w:val="20"/>
                <w:szCs w:val="21"/>
              </w:rPr>
            </w:pPr>
            <w:r>
              <w:rPr>
                <w:rFonts w:ascii="Swis721 Th BT" w:hAnsi="Swis721 Th BT"/>
                <w:color w:val="000000"/>
                <w:sz w:val="20"/>
                <w:szCs w:val="21"/>
              </w:rPr>
              <w:t>Pacientes com Câncer - Placebo</w:t>
            </w:r>
          </w:p>
        </w:tc>
        <w:tc>
          <w:tcPr>
            <w:tcW w:w="0" w:type="auto"/>
            <w:vAlign w:val="center"/>
          </w:tcPr>
          <w:p w14:paraId="36A1F297" w14:textId="77777777" w:rsidR="00CD65C2" w:rsidRDefault="00FA41FC">
            <w:pPr>
              <w:spacing w:after="0"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 w:val="20"/>
                <w:szCs w:val="21"/>
              </w:rPr>
            </w:pPr>
            <w:r>
              <w:rPr>
                <w:rFonts w:ascii="Swis721 Th BT" w:hAnsi="Swis721 Th BT"/>
                <w:color w:val="000000"/>
                <w:sz w:val="20"/>
                <w:szCs w:val="21"/>
              </w:rPr>
              <w:t>214,06±31,37</w:t>
            </w:r>
          </w:p>
        </w:tc>
        <w:tc>
          <w:tcPr>
            <w:tcW w:w="0" w:type="auto"/>
            <w:vAlign w:val="center"/>
          </w:tcPr>
          <w:p w14:paraId="7DE4588D" w14:textId="77777777" w:rsidR="00CD65C2" w:rsidRDefault="00FA41FC">
            <w:pPr>
              <w:spacing w:after="0"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 w:val="20"/>
                <w:szCs w:val="21"/>
              </w:rPr>
            </w:pPr>
            <w:r>
              <w:rPr>
                <w:rFonts w:ascii="Swis721 Th BT" w:hAnsi="Swis721 Th BT"/>
                <w:color w:val="000000"/>
                <w:sz w:val="20"/>
                <w:szCs w:val="21"/>
              </w:rPr>
              <w:t>202,40±29,65</w:t>
            </w:r>
          </w:p>
        </w:tc>
      </w:tr>
      <w:tr w:rsidR="00CD65C2" w14:paraId="4E4CC47A" w14:textId="77777777" w:rsidTr="00CD65C2">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bottom w:val="single" w:sz="4" w:space="0" w:color="7F7F7F" w:themeColor="text1" w:themeTint="80"/>
            </w:tcBorders>
            <w:vAlign w:val="center"/>
          </w:tcPr>
          <w:p w14:paraId="1EBE0459" w14:textId="77777777" w:rsidR="00CD65C2" w:rsidRDefault="00CD65C2">
            <w:pPr>
              <w:spacing w:after="0" w:line="393" w:lineRule="atLeast"/>
              <w:jc w:val="center"/>
              <w:rPr>
                <w:rFonts w:ascii="Swis721 Th BT" w:hAnsi="Swis721 Th BT"/>
                <w:b w:val="0"/>
                <w:bCs w:val="0"/>
                <w:color w:val="000000"/>
                <w:sz w:val="20"/>
                <w:szCs w:val="21"/>
              </w:rPr>
            </w:pPr>
          </w:p>
        </w:tc>
        <w:tc>
          <w:tcPr>
            <w:tcW w:w="0" w:type="auto"/>
            <w:tcBorders>
              <w:top w:val="single" w:sz="4" w:space="0" w:color="7F7F7F" w:themeColor="text1" w:themeTint="80"/>
              <w:bottom w:val="single" w:sz="4" w:space="0" w:color="7F7F7F" w:themeColor="text1" w:themeTint="80"/>
            </w:tcBorders>
            <w:shd w:val="clear" w:color="auto" w:fill="F2F2F2" w:themeFill="background1" w:themeFillShade="F2"/>
            <w:vAlign w:val="center"/>
          </w:tcPr>
          <w:p w14:paraId="7AB9823A" w14:textId="77777777" w:rsidR="00CD65C2" w:rsidRDefault="00FA41FC">
            <w:pPr>
              <w:spacing w:after="0"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 w:val="20"/>
                <w:szCs w:val="21"/>
              </w:rPr>
            </w:pPr>
            <w:r>
              <w:rPr>
                <w:rFonts w:ascii="Swis721 Th BT" w:hAnsi="Swis721 Th BT"/>
                <w:color w:val="000000"/>
                <w:sz w:val="20"/>
                <w:szCs w:val="21"/>
              </w:rPr>
              <w:t>Pacientes Saudáveis - CoQ10</w:t>
            </w:r>
          </w:p>
        </w:tc>
        <w:tc>
          <w:tcPr>
            <w:tcW w:w="0" w:type="auto"/>
            <w:tcBorders>
              <w:top w:val="single" w:sz="4" w:space="0" w:color="7F7F7F" w:themeColor="text1" w:themeTint="80"/>
              <w:bottom w:val="single" w:sz="4" w:space="0" w:color="7F7F7F" w:themeColor="text1" w:themeTint="80"/>
            </w:tcBorders>
            <w:shd w:val="clear" w:color="auto" w:fill="F2F2F2" w:themeFill="background1" w:themeFillShade="F2"/>
            <w:vAlign w:val="center"/>
          </w:tcPr>
          <w:p w14:paraId="39C5D83E" w14:textId="77777777" w:rsidR="00CD65C2" w:rsidRDefault="00FA41FC">
            <w:pPr>
              <w:spacing w:after="0"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 w:val="20"/>
                <w:szCs w:val="21"/>
              </w:rPr>
            </w:pPr>
            <w:r>
              <w:rPr>
                <w:rFonts w:ascii="Swis721 Th BT" w:hAnsi="Swis721 Th BT"/>
                <w:color w:val="000000"/>
                <w:sz w:val="20"/>
                <w:szCs w:val="21"/>
              </w:rPr>
              <w:t>91,85±81,83</w:t>
            </w:r>
          </w:p>
        </w:tc>
        <w:tc>
          <w:tcPr>
            <w:tcW w:w="0" w:type="auto"/>
            <w:tcBorders>
              <w:top w:val="single" w:sz="4" w:space="0" w:color="7F7F7F" w:themeColor="text1" w:themeTint="80"/>
              <w:bottom w:val="single" w:sz="4" w:space="0" w:color="7F7F7F" w:themeColor="text1" w:themeTint="80"/>
            </w:tcBorders>
            <w:shd w:val="clear" w:color="auto" w:fill="F2F2F2" w:themeFill="background1" w:themeFillShade="F2"/>
            <w:vAlign w:val="center"/>
          </w:tcPr>
          <w:p w14:paraId="76058F06" w14:textId="77777777" w:rsidR="00CD65C2" w:rsidRDefault="00FA41FC">
            <w:pPr>
              <w:spacing w:after="0"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 w:val="20"/>
                <w:szCs w:val="21"/>
              </w:rPr>
            </w:pPr>
            <w:r>
              <w:rPr>
                <w:rFonts w:ascii="Swis721 Th BT" w:hAnsi="Swis721 Th BT"/>
                <w:color w:val="000000"/>
                <w:sz w:val="20"/>
                <w:szCs w:val="21"/>
              </w:rPr>
              <w:t>72,21±59,05</w:t>
            </w:r>
          </w:p>
        </w:tc>
      </w:tr>
      <w:tr w:rsidR="00CD65C2" w14:paraId="61DDF57C" w14:textId="77777777" w:rsidTr="00CD65C2">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721A5A5A" w14:textId="77777777" w:rsidR="00CD65C2" w:rsidRDefault="00CD65C2">
            <w:pPr>
              <w:spacing w:after="0" w:line="393" w:lineRule="atLeast"/>
              <w:jc w:val="center"/>
              <w:rPr>
                <w:rFonts w:ascii="Swis721 Th BT" w:hAnsi="Swis721 Th BT"/>
                <w:b w:val="0"/>
                <w:bCs w:val="0"/>
                <w:color w:val="000000"/>
                <w:sz w:val="20"/>
                <w:szCs w:val="21"/>
              </w:rPr>
            </w:pPr>
          </w:p>
        </w:tc>
        <w:tc>
          <w:tcPr>
            <w:tcW w:w="0" w:type="auto"/>
            <w:vAlign w:val="center"/>
          </w:tcPr>
          <w:p w14:paraId="78092D52" w14:textId="77777777" w:rsidR="00CD65C2" w:rsidRDefault="00FA41FC">
            <w:pPr>
              <w:spacing w:after="0"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 w:val="20"/>
                <w:szCs w:val="21"/>
              </w:rPr>
            </w:pPr>
            <w:r>
              <w:rPr>
                <w:rFonts w:ascii="Swis721 Th BT" w:hAnsi="Swis721 Th BT"/>
                <w:color w:val="000000"/>
                <w:sz w:val="20"/>
                <w:szCs w:val="21"/>
              </w:rPr>
              <w:t>Pacientes com Câncer - CoQ10</w:t>
            </w:r>
          </w:p>
        </w:tc>
        <w:tc>
          <w:tcPr>
            <w:tcW w:w="0" w:type="auto"/>
            <w:vAlign w:val="center"/>
          </w:tcPr>
          <w:p w14:paraId="131CA218" w14:textId="77777777" w:rsidR="00CD65C2" w:rsidRDefault="00FA41FC">
            <w:pPr>
              <w:spacing w:after="0"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 w:val="20"/>
                <w:szCs w:val="21"/>
              </w:rPr>
            </w:pPr>
            <w:r>
              <w:rPr>
                <w:rFonts w:ascii="Swis721 Th BT" w:hAnsi="Swis721 Th BT"/>
                <w:color w:val="000000"/>
                <w:sz w:val="20"/>
                <w:szCs w:val="21"/>
              </w:rPr>
              <w:t>120,20±79,35</w:t>
            </w:r>
          </w:p>
        </w:tc>
        <w:tc>
          <w:tcPr>
            <w:tcW w:w="0" w:type="auto"/>
            <w:vAlign w:val="center"/>
          </w:tcPr>
          <w:p w14:paraId="4C833D92" w14:textId="77777777" w:rsidR="00CD65C2" w:rsidRDefault="00FA41FC">
            <w:pPr>
              <w:spacing w:after="0"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 w:val="20"/>
                <w:szCs w:val="21"/>
              </w:rPr>
            </w:pPr>
            <w:r>
              <w:rPr>
                <w:rFonts w:ascii="Swis721 Th BT" w:hAnsi="Swis721 Th BT"/>
                <w:color w:val="000000"/>
                <w:sz w:val="20"/>
                <w:szCs w:val="21"/>
              </w:rPr>
              <w:t>95,53±89,14</w:t>
            </w:r>
          </w:p>
        </w:tc>
      </w:tr>
      <w:tr w:rsidR="00CD65C2" w14:paraId="64EE9378" w14:textId="77777777" w:rsidTr="00CD65C2">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7F7F7F" w:themeColor="text1" w:themeTint="80"/>
              <w:bottom w:val="single" w:sz="4" w:space="0" w:color="7F7F7F" w:themeColor="text1" w:themeTint="80"/>
            </w:tcBorders>
            <w:vAlign w:val="center"/>
          </w:tcPr>
          <w:p w14:paraId="1B1F8205" w14:textId="77777777" w:rsidR="00CD65C2" w:rsidRDefault="00FA41FC">
            <w:pPr>
              <w:spacing w:after="0" w:line="393" w:lineRule="atLeast"/>
              <w:jc w:val="center"/>
              <w:rPr>
                <w:rFonts w:ascii="Swis721 Th BT" w:hAnsi="Swis721 Th BT"/>
                <w:b w:val="0"/>
                <w:bCs w:val="0"/>
                <w:color w:val="000000"/>
                <w:sz w:val="20"/>
                <w:szCs w:val="21"/>
              </w:rPr>
            </w:pPr>
            <w:r>
              <w:rPr>
                <w:rFonts w:ascii="Swis721 Th BT" w:hAnsi="Swis721 Th BT"/>
                <w:color w:val="000000"/>
                <w:sz w:val="20"/>
                <w:szCs w:val="21"/>
              </w:rPr>
              <w:t>IL8 (ng/L)</w:t>
            </w:r>
          </w:p>
        </w:tc>
        <w:tc>
          <w:tcPr>
            <w:tcW w:w="0" w:type="auto"/>
            <w:tcBorders>
              <w:top w:val="single" w:sz="4" w:space="0" w:color="7F7F7F" w:themeColor="text1" w:themeTint="80"/>
              <w:bottom w:val="single" w:sz="4" w:space="0" w:color="7F7F7F" w:themeColor="text1" w:themeTint="80"/>
            </w:tcBorders>
            <w:shd w:val="clear" w:color="auto" w:fill="F2F2F2" w:themeFill="background1" w:themeFillShade="F2"/>
            <w:vAlign w:val="center"/>
          </w:tcPr>
          <w:p w14:paraId="22CBC9D8" w14:textId="77777777" w:rsidR="00CD65C2" w:rsidRDefault="00FA41FC">
            <w:pPr>
              <w:spacing w:after="0"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 w:val="20"/>
                <w:szCs w:val="21"/>
              </w:rPr>
            </w:pPr>
            <w:r>
              <w:rPr>
                <w:rFonts w:ascii="Swis721 Th BT" w:hAnsi="Swis721 Th BT"/>
                <w:color w:val="000000"/>
                <w:sz w:val="20"/>
                <w:szCs w:val="21"/>
              </w:rPr>
              <w:t>Pacientes Saudáveis - Placebo</w:t>
            </w:r>
          </w:p>
        </w:tc>
        <w:tc>
          <w:tcPr>
            <w:tcW w:w="0" w:type="auto"/>
            <w:tcBorders>
              <w:top w:val="single" w:sz="4" w:space="0" w:color="7F7F7F" w:themeColor="text1" w:themeTint="80"/>
              <w:bottom w:val="single" w:sz="4" w:space="0" w:color="7F7F7F" w:themeColor="text1" w:themeTint="80"/>
            </w:tcBorders>
            <w:shd w:val="clear" w:color="auto" w:fill="F2F2F2" w:themeFill="background1" w:themeFillShade="F2"/>
            <w:vAlign w:val="center"/>
          </w:tcPr>
          <w:p w14:paraId="7F0B16A4" w14:textId="77777777" w:rsidR="00CD65C2" w:rsidRDefault="00FA41FC">
            <w:pPr>
              <w:spacing w:after="0"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 w:val="20"/>
                <w:szCs w:val="21"/>
              </w:rPr>
            </w:pPr>
            <w:r>
              <w:rPr>
                <w:rFonts w:ascii="Swis721 Th BT" w:hAnsi="Swis721 Th BT"/>
                <w:color w:val="000000"/>
                <w:sz w:val="20"/>
                <w:szCs w:val="21"/>
              </w:rPr>
              <w:t>191,93±135,87</w:t>
            </w:r>
          </w:p>
        </w:tc>
        <w:tc>
          <w:tcPr>
            <w:tcW w:w="0" w:type="auto"/>
            <w:tcBorders>
              <w:top w:val="single" w:sz="4" w:space="0" w:color="7F7F7F" w:themeColor="text1" w:themeTint="80"/>
              <w:bottom w:val="single" w:sz="4" w:space="0" w:color="7F7F7F" w:themeColor="text1" w:themeTint="80"/>
            </w:tcBorders>
            <w:shd w:val="clear" w:color="auto" w:fill="F2F2F2" w:themeFill="background1" w:themeFillShade="F2"/>
            <w:vAlign w:val="center"/>
          </w:tcPr>
          <w:p w14:paraId="6770941A" w14:textId="77777777" w:rsidR="00CD65C2" w:rsidRDefault="00FA41FC">
            <w:pPr>
              <w:spacing w:after="0"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 w:val="20"/>
                <w:szCs w:val="21"/>
              </w:rPr>
            </w:pPr>
            <w:r>
              <w:rPr>
                <w:rFonts w:ascii="Swis721 Th BT" w:hAnsi="Swis721 Th BT"/>
                <w:color w:val="000000"/>
                <w:sz w:val="20"/>
                <w:szCs w:val="21"/>
              </w:rPr>
              <w:t>185,73±134,50</w:t>
            </w:r>
          </w:p>
        </w:tc>
      </w:tr>
      <w:tr w:rsidR="00CD65C2" w14:paraId="517B8F61" w14:textId="77777777" w:rsidTr="00CD65C2">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2F9C3D42" w14:textId="77777777" w:rsidR="00CD65C2" w:rsidRDefault="00CD65C2">
            <w:pPr>
              <w:spacing w:after="0" w:line="393" w:lineRule="atLeast"/>
              <w:jc w:val="center"/>
              <w:rPr>
                <w:rFonts w:ascii="Swis721 Th BT" w:hAnsi="Swis721 Th BT"/>
                <w:b w:val="0"/>
                <w:bCs w:val="0"/>
                <w:color w:val="000000"/>
                <w:sz w:val="20"/>
                <w:szCs w:val="21"/>
              </w:rPr>
            </w:pPr>
          </w:p>
        </w:tc>
        <w:tc>
          <w:tcPr>
            <w:tcW w:w="0" w:type="auto"/>
            <w:vAlign w:val="center"/>
          </w:tcPr>
          <w:p w14:paraId="17E6DE94" w14:textId="77777777" w:rsidR="00CD65C2" w:rsidRDefault="00FA41FC">
            <w:pPr>
              <w:spacing w:after="0"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 w:val="20"/>
                <w:szCs w:val="20"/>
              </w:rPr>
            </w:pPr>
            <w:r>
              <w:rPr>
                <w:rFonts w:ascii="Swis721 Th BT" w:hAnsi="Swis721 Th BT"/>
                <w:color w:val="000000"/>
                <w:sz w:val="20"/>
                <w:szCs w:val="21"/>
              </w:rPr>
              <w:t xml:space="preserve">Pacientes com Câncer - </w:t>
            </w:r>
            <w:r>
              <w:rPr>
                <w:rFonts w:ascii="Swis721 Th BT" w:hAnsi="Swis721 Th BT"/>
                <w:color w:val="000000"/>
                <w:sz w:val="20"/>
                <w:szCs w:val="20"/>
              </w:rPr>
              <w:t>Placebo</w:t>
            </w:r>
          </w:p>
        </w:tc>
        <w:tc>
          <w:tcPr>
            <w:tcW w:w="0" w:type="auto"/>
            <w:vAlign w:val="center"/>
          </w:tcPr>
          <w:p w14:paraId="0EF57FD4" w14:textId="77777777" w:rsidR="00CD65C2" w:rsidRDefault="00FA41FC">
            <w:pPr>
              <w:spacing w:after="0"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 w:val="20"/>
                <w:szCs w:val="20"/>
              </w:rPr>
            </w:pPr>
            <w:r>
              <w:rPr>
                <w:rFonts w:ascii="Swis721 Th BT" w:hAnsi="Swis721 Th BT"/>
                <w:color w:val="000000"/>
                <w:sz w:val="20"/>
                <w:szCs w:val="20"/>
              </w:rPr>
              <w:t>281,60±135,79</w:t>
            </w:r>
          </w:p>
        </w:tc>
        <w:tc>
          <w:tcPr>
            <w:tcW w:w="0" w:type="auto"/>
            <w:vAlign w:val="center"/>
          </w:tcPr>
          <w:p w14:paraId="7B3593FF" w14:textId="77777777" w:rsidR="00CD65C2" w:rsidRDefault="00FA41FC">
            <w:pPr>
              <w:spacing w:after="0"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 w:val="20"/>
                <w:szCs w:val="20"/>
              </w:rPr>
            </w:pPr>
            <w:r>
              <w:rPr>
                <w:rFonts w:ascii="Swis721 Th BT" w:hAnsi="Swis721 Th BT"/>
                <w:color w:val="000000"/>
                <w:sz w:val="20"/>
                <w:szCs w:val="20"/>
              </w:rPr>
              <w:t>274,26±133,47</w:t>
            </w:r>
          </w:p>
        </w:tc>
      </w:tr>
      <w:tr w:rsidR="00CD65C2" w14:paraId="6C0236D7" w14:textId="77777777" w:rsidTr="00CD65C2">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bottom w:val="single" w:sz="4" w:space="0" w:color="7F7F7F" w:themeColor="text1" w:themeTint="80"/>
            </w:tcBorders>
            <w:vAlign w:val="center"/>
          </w:tcPr>
          <w:p w14:paraId="0C384BE4" w14:textId="77777777" w:rsidR="00CD65C2" w:rsidRDefault="00CD65C2">
            <w:pPr>
              <w:spacing w:after="0" w:line="393" w:lineRule="atLeast"/>
              <w:jc w:val="center"/>
              <w:rPr>
                <w:rFonts w:ascii="Swis721 Th BT" w:hAnsi="Swis721 Th BT"/>
                <w:b w:val="0"/>
                <w:bCs w:val="0"/>
                <w:color w:val="000000"/>
                <w:sz w:val="20"/>
                <w:szCs w:val="21"/>
              </w:rPr>
            </w:pPr>
          </w:p>
        </w:tc>
        <w:tc>
          <w:tcPr>
            <w:tcW w:w="0" w:type="auto"/>
            <w:tcBorders>
              <w:top w:val="single" w:sz="4" w:space="0" w:color="7F7F7F" w:themeColor="text1" w:themeTint="80"/>
              <w:bottom w:val="single" w:sz="4" w:space="0" w:color="7F7F7F" w:themeColor="text1" w:themeTint="80"/>
            </w:tcBorders>
            <w:shd w:val="clear" w:color="auto" w:fill="F2F2F2" w:themeFill="background1" w:themeFillShade="F2"/>
            <w:vAlign w:val="center"/>
          </w:tcPr>
          <w:p w14:paraId="66C42086" w14:textId="77777777" w:rsidR="00CD65C2" w:rsidRDefault="00FA41FC">
            <w:pPr>
              <w:spacing w:after="0"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 w:val="20"/>
                <w:szCs w:val="20"/>
              </w:rPr>
            </w:pPr>
            <w:r>
              <w:rPr>
                <w:rFonts w:ascii="Swis721 Th BT" w:hAnsi="Swis721 Th BT"/>
                <w:color w:val="000000"/>
                <w:sz w:val="20"/>
                <w:szCs w:val="21"/>
              </w:rPr>
              <w:t xml:space="preserve">Pacientes Saudáveis - </w:t>
            </w:r>
            <w:r>
              <w:rPr>
                <w:rFonts w:ascii="Swis721 Th BT" w:hAnsi="Swis721 Th BT"/>
                <w:color w:val="000000"/>
                <w:sz w:val="20"/>
                <w:szCs w:val="20"/>
              </w:rPr>
              <w:t>CoQ10</w:t>
            </w:r>
          </w:p>
        </w:tc>
        <w:tc>
          <w:tcPr>
            <w:tcW w:w="0" w:type="auto"/>
            <w:tcBorders>
              <w:top w:val="single" w:sz="4" w:space="0" w:color="7F7F7F" w:themeColor="text1" w:themeTint="80"/>
              <w:bottom w:val="single" w:sz="4" w:space="0" w:color="7F7F7F" w:themeColor="text1" w:themeTint="80"/>
            </w:tcBorders>
            <w:shd w:val="clear" w:color="auto" w:fill="F2F2F2" w:themeFill="background1" w:themeFillShade="F2"/>
            <w:vAlign w:val="center"/>
          </w:tcPr>
          <w:p w14:paraId="0D20A573" w14:textId="77777777" w:rsidR="00CD65C2" w:rsidRDefault="00FA41FC">
            <w:pPr>
              <w:spacing w:after="0"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 w:val="20"/>
                <w:szCs w:val="20"/>
              </w:rPr>
            </w:pPr>
            <w:r>
              <w:rPr>
                <w:rFonts w:ascii="Swis721 Th BT" w:hAnsi="Swis721 Th BT"/>
                <w:color w:val="000000"/>
                <w:sz w:val="20"/>
                <w:szCs w:val="20"/>
              </w:rPr>
              <w:t>262±114,51</w:t>
            </w:r>
          </w:p>
        </w:tc>
        <w:tc>
          <w:tcPr>
            <w:tcW w:w="0" w:type="auto"/>
            <w:tcBorders>
              <w:top w:val="single" w:sz="4" w:space="0" w:color="7F7F7F" w:themeColor="text1" w:themeTint="80"/>
              <w:bottom w:val="single" w:sz="4" w:space="0" w:color="7F7F7F" w:themeColor="text1" w:themeTint="80"/>
            </w:tcBorders>
            <w:shd w:val="clear" w:color="auto" w:fill="F2F2F2" w:themeFill="background1" w:themeFillShade="F2"/>
            <w:vAlign w:val="center"/>
          </w:tcPr>
          <w:p w14:paraId="3877EE6A" w14:textId="77777777" w:rsidR="00CD65C2" w:rsidRDefault="00FA41FC">
            <w:pPr>
              <w:spacing w:after="0"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 w:val="20"/>
                <w:szCs w:val="20"/>
              </w:rPr>
            </w:pPr>
            <w:r>
              <w:rPr>
                <w:rFonts w:ascii="Swis721 Th BT" w:hAnsi="Swis721 Th BT"/>
                <w:color w:val="000000"/>
                <w:sz w:val="20"/>
                <w:szCs w:val="20"/>
              </w:rPr>
              <w:t>143,78±108,10</w:t>
            </w:r>
          </w:p>
        </w:tc>
      </w:tr>
      <w:tr w:rsidR="00CD65C2" w14:paraId="486C3C31" w14:textId="77777777" w:rsidTr="00CD65C2">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2BFECA3F" w14:textId="77777777" w:rsidR="00CD65C2" w:rsidRDefault="00CD65C2">
            <w:pPr>
              <w:spacing w:after="0" w:line="393" w:lineRule="atLeast"/>
              <w:jc w:val="center"/>
              <w:rPr>
                <w:rFonts w:ascii="Swis721 Th BT" w:hAnsi="Swis721 Th BT"/>
                <w:b w:val="0"/>
                <w:bCs w:val="0"/>
                <w:color w:val="000000"/>
                <w:sz w:val="20"/>
                <w:szCs w:val="21"/>
              </w:rPr>
            </w:pPr>
          </w:p>
        </w:tc>
        <w:tc>
          <w:tcPr>
            <w:tcW w:w="0" w:type="auto"/>
            <w:vAlign w:val="center"/>
          </w:tcPr>
          <w:p w14:paraId="68A19B57" w14:textId="77777777" w:rsidR="00CD65C2" w:rsidRDefault="00FA41FC">
            <w:pPr>
              <w:spacing w:after="0"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 w:val="20"/>
                <w:szCs w:val="20"/>
              </w:rPr>
            </w:pPr>
            <w:r>
              <w:rPr>
                <w:rFonts w:ascii="Swis721 Th BT" w:hAnsi="Swis721 Th BT"/>
                <w:color w:val="000000"/>
                <w:sz w:val="20"/>
                <w:szCs w:val="21"/>
              </w:rPr>
              <w:t xml:space="preserve">Pacientes com Câncer - </w:t>
            </w:r>
            <w:r>
              <w:rPr>
                <w:rFonts w:ascii="Swis721 Th BT" w:hAnsi="Swis721 Th BT"/>
                <w:color w:val="000000"/>
                <w:sz w:val="20"/>
                <w:szCs w:val="20"/>
              </w:rPr>
              <w:t>CoQ10</w:t>
            </w:r>
          </w:p>
        </w:tc>
        <w:tc>
          <w:tcPr>
            <w:tcW w:w="0" w:type="auto"/>
            <w:vAlign w:val="center"/>
          </w:tcPr>
          <w:p w14:paraId="1AD14B40" w14:textId="77777777" w:rsidR="00CD65C2" w:rsidRDefault="00FA41FC">
            <w:pPr>
              <w:spacing w:after="0"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 w:val="20"/>
                <w:szCs w:val="20"/>
              </w:rPr>
            </w:pPr>
            <w:r>
              <w:rPr>
                <w:rFonts w:ascii="Swis721 Th BT" w:hAnsi="Swis721 Th BT"/>
                <w:color w:val="000000"/>
                <w:sz w:val="20"/>
                <w:szCs w:val="20"/>
              </w:rPr>
              <w:t>255,06±124,34</w:t>
            </w:r>
          </w:p>
        </w:tc>
        <w:tc>
          <w:tcPr>
            <w:tcW w:w="0" w:type="auto"/>
            <w:vAlign w:val="center"/>
          </w:tcPr>
          <w:p w14:paraId="6A408647" w14:textId="77777777" w:rsidR="00CD65C2" w:rsidRDefault="00FA41FC">
            <w:pPr>
              <w:spacing w:after="0"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 w:val="20"/>
                <w:szCs w:val="20"/>
              </w:rPr>
            </w:pPr>
            <w:r>
              <w:rPr>
                <w:rFonts w:ascii="Swis721 Th BT" w:hAnsi="Swis721 Th BT"/>
                <w:color w:val="000000"/>
                <w:sz w:val="20"/>
                <w:szCs w:val="20"/>
              </w:rPr>
              <w:t>156±108,63</w:t>
            </w:r>
          </w:p>
        </w:tc>
      </w:tr>
      <w:tr w:rsidR="00CD65C2" w14:paraId="007EC7F6" w14:textId="77777777" w:rsidTr="00CD65C2">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7F7F7F" w:themeColor="text1" w:themeTint="80"/>
              <w:bottom w:val="single" w:sz="4" w:space="0" w:color="7F7F7F" w:themeColor="text1" w:themeTint="80"/>
            </w:tcBorders>
            <w:vAlign w:val="center"/>
          </w:tcPr>
          <w:p w14:paraId="7B4DFAF0" w14:textId="77777777" w:rsidR="00CD65C2" w:rsidRDefault="00FA41FC">
            <w:pPr>
              <w:spacing w:after="0" w:line="393" w:lineRule="atLeast"/>
              <w:jc w:val="center"/>
              <w:rPr>
                <w:rFonts w:ascii="Swis721 Th BT" w:hAnsi="Swis721 Th BT"/>
                <w:b w:val="0"/>
                <w:bCs w:val="0"/>
                <w:color w:val="000000"/>
                <w:sz w:val="20"/>
                <w:szCs w:val="21"/>
              </w:rPr>
            </w:pPr>
            <w:r>
              <w:rPr>
                <w:rFonts w:ascii="Swis721 Th BT" w:hAnsi="Swis721 Th BT"/>
                <w:color w:val="000000"/>
                <w:sz w:val="20"/>
                <w:szCs w:val="20"/>
              </w:rPr>
              <w:t>VEGF (ng/L)</w:t>
            </w:r>
          </w:p>
        </w:tc>
        <w:tc>
          <w:tcPr>
            <w:tcW w:w="0" w:type="auto"/>
            <w:tcBorders>
              <w:top w:val="single" w:sz="4" w:space="0" w:color="7F7F7F" w:themeColor="text1" w:themeTint="80"/>
              <w:bottom w:val="single" w:sz="4" w:space="0" w:color="7F7F7F" w:themeColor="text1" w:themeTint="80"/>
            </w:tcBorders>
            <w:shd w:val="clear" w:color="auto" w:fill="F2F2F2" w:themeFill="background1" w:themeFillShade="F2"/>
            <w:vAlign w:val="center"/>
          </w:tcPr>
          <w:p w14:paraId="79A0D2E7" w14:textId="77777777" w:rsidR="00CD65C2" w:rsidRDefault="00FA41FC">
            <w:pPr>
              <w:spacing w:after="0"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 w:val="20"/>
                <w:szCs w:val="20"/>
              </w:rPr>
            </w:pPr>
            <w:r>
              <w:rPr>
                <w:rFonts w:ascii="Swis721 Th BT" w:hAnsi="Swis721 Th BT"/>
                <w:color w:val="000000"/>
                <w:sz w:val="20"/>
                <w:szCs w:val="21"/>
              </w:rPr>
              <w:t xml:space="preserve">Pacientes Saudáveis - </w:t>
            </w:r>
            <w:r>
              <w:rPr>
                <w:rFonts w:ascii="Swis721 Th BT" w:hAnsi="Swis721 Th BT"/>
                <w:color w:val="000000"/>
                <w:sz w:val="20"/>
                <w:szCs w:val="20"/>
              </w:rPr>
              <w:t>Placebo</w:t>
            </w:r>
          </w:p>
        </w:tc>
        <w:tc>
          <w:tcPr>
            <w:tcW w:w="0" w:type="auto"/>
            <w:tcBorders>
              <w:top w:val="single" w:sz="4" w:space="0" w:color="7F7F7F" w:themeColor="text1" w:themeTint="80"/>
              <w:bottom w:val="single" w:sz="4" w:space="0" w:color="7F7F7F" w:themeColor="text1" w:themeTint="80"/>
            </w:tcBorders>
            <w:shd w:val="clear" w:color="auto" w:fill="F2F2F2" w:themeFill="background1" w:themeFillShade="F2"/>
            <w:vAlign w:val="center"/>
          </w:tcPr>
          <w:p w14:paraId="29C7E2BA" w14:textId="77777777" w:rsidR="00CD65C2" w:rsidRDefault="00FA41FC">
            <w:pPr>
              <w:spacing w:after="0"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 w:val="20"/>
                <w:szCs w:val="20"/>
              </w:rPr>
            </w:pPr>
            <w:r>
              <w:rPr>
                <w:rFonts w:ascii="Swis721 Th BT" w:hAnsi="Swis721 Th BT"/>
                <w:color w:val="000000"/>
                <w:sz w:val="20"/>
                <w:szCs w:val="20"/>
              </w:rPr>
              <w:t>1522,80±277,34</w:t>
            </w:r>
          </w:p>
        </w:tc>
        <w:tc>
          <w:tcPr>
            <w:tcW w:w="0" w:type="auto"/>
            <w:tcBorders>
              <w:top w:val="single" w:sz="4" w:space="0" w:color="7F7F7F" w:themeColor="text1" w:themeTint="80"/>
              <w:bottom w:val="single" w:sz="4" w:space="0" w:color="7F7F7F" w:themeColor="text1" w:themeTint="80"/>
            </w:tcBorders>
            <w:shd w:val="clear" w:color="auto" w:fill="F2F2F2" w:themeFill="background1" w:themeFillShade="F2"/>
            <w:vAlign w:val="center"/>
          </w:tcPr>
          <w:p w14:paraId="7451C851" w14:textId="77777777" w:rsidR="00CD65C2" w:rsidRDefault="00FA41FC">
            <w:pPr>
              <w:spacing w:after="0"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 w:val="20"/>
                <w:szCs w:val="20"/>
              </w:rPr>
            </w:pPr>
            <w:r>
              <w:rPr>
                <w:rFonts w:ascii="Swis721 Th BT" w:hAnsi="Swis721 Th BT"/>
                <w:color w:val="000000"/>
                <w:sz w:val="20"/>
                <w:szCs w:val="20"/>
              </w:rPr>
              <w:t>1507,66±278,83</w:t>
            </w:r>
          </w:p>
        </w:tc>
      </w:tr>
      <w:tr w:rsidR="00CD65C2" w14:paraId="099F8389" w14:textId="77777777" w:rsidTr="00CD65C2">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AC9D7A6" w14:textId="77777777" w:rsidR="00CD65C2" w:rsidRDefault="00CD65C2">
            <w:pPr>
              <w:spacing w:after="0" w:line="393" w:lineRule="atLeast"/>
              <w:jc w:val="center"/>
              <w:rPr>
                <w:rFonts w:ascii="Swis721 Th BT" w:hAnsi="Swis721 Th BT"/>
                <w:b w:val="0"/>
                <w:bCs w:val="0"/>
                <w:color w:val="000000"/>
                <w:sz w:val="20"/>
                <w:szCs w:val="21"/>
              </w:rPr>
            </w:pPr>
          </w:p>
        </w:tc>
        <w:tc>
          <w:tcPr>
            <w:tcW w:w="0" w:type="auto"/>
            <w:vAlign w:val="center"/>
          </w:tcPr>
          <w:p w14:paraId="4C62C662" w14:textId="77777777" w:rsidR="00CD65C2" w:rsidRDefault="00FA41FC">
            <w:pPr>
              <w:spacing w:after="0"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 w:val="20"/>
                <w:szCs w:val="20"/>
              </w:rPr>
            </w:pPr>
            <w:r>
              <w:rPr>
                <w:rFonts w:ascii="Swis721 Th BT" w:hAnsi="Swis721 Th BT"/>
                <w:color w:val="000000"/>
                <w:sz w:val="20"/>
                <w:szCs w:val="21"/>
              </w:rPr>
              <w:t xml:space="preserve">Pacientes com Câncer - </w:t>
            </w:r>
            <w:r>
              <w:rPr>
                <w:rFonts w:ascii="Swis721 Th BT" w:hAnsi="Swis721 Th BT"/>
                <w:color w:val="000000"/>
                <w:sz w:val="20"/>
                <w:szCs w:val="20"/>
              </w:rPr>
              <w:t>Placebo</w:t>
            </w:r>
          </w:p>
        </w:tc>
        <w:tc>
          <w:tcPr>
            <w:tcW w:w="0" w:type="auto"/>
            <w:vAlign w:val="center"/>
          </w:tcPr>
          <w:p w14:paraId="04618319" w14:textId="77777777" w:rsidR="00CD65C2" w:rsidRDefault="00FA41FC">
            <w:pPr>
              <w:spacing w:after="0"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 w:val="20"/>
                <w:szCs w:val="20"/>
              </w:rPr>
            </w:pPr>
            <w:r>
              <w:rPr>
                <w:rFonts w:ascii="Swis721 Th BT" w:hAnsi="Swis721 Th BT"/>
                <w:color w:val="000000"/>
                <w:sz w:val="20"/>
                <w:szCs w:val="20"/>
              </w:rPr>
              <w:t>1432,86±92,79</w:t>
            </w:r>
          </w:p>
        </w:tc>
        <w:tc>
          <w:tcPr>
            <w:tcW w:w="0" w:type="auto"/>
            <w:vAlign w:val="center"/>
          </w:tcPr>
          <w:p w14:paraId="2BEEF7A7" w14:textId="77777777" w:rsidR="00CD65C2" w:rsidRDefault="00FA41FC">
            <w:pPr>
              <w:spacing w:after="0"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 w:val="20"/>
                <w:szCs w:val="20"/>
              </w:rPr>
            </w:pPr>
            <w:r>
              <w:rPr>
                <w:rFonts w:ascii="Swis721 Th BT" w:hAnsi="Swis721 Th BT"/>
                <w:color w:val="000000"/>
                <w:sz w:val="20"/>
                <w:szCs w:val="20"/>
              </w:rPr>
              <w:t>1421±89,19</w:t>
            </w:r>
          </w:p>
        </w:tc>
      </w:tr>
      <w:tr w:rsidR="00CD65C2" w14:paraId="30DAC24C" w14:textId="77777777" w:rsidTr="00CD65C2">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bottom w:val="single" w:sz="4" w:space="0" w:color="7F7F7F" w:themeColor="text1" w:themeTint="80"/>
            </w:tcBorders>
            <w:vAlign w:val="center"/>
          </w:tcPr>
          <w:p w14:paraId="4785C548" w14:textId="77777777" w:rsidR="00CD65C2" w:rsidRDefault="00CD65C2">
            <w:pPr>
              <w:spacing w:after="0" w:line="393" w:lineRule="atLeast"/>
              <w:jc w:val="center"/>
              <w:rPr>
                <w:rFonts w:ascii="Swis721 Th BT" w:hAnsi="Swis721 Th BT"/>
                <w:b w:val="0"/>
                <w:bCs w:val="0"/>
                <w:color w:val="000000"/>
                <w:sz w:val="20"/>
                <w:szCs w:val="21"/>
              </w:rPr>
            </w:pPr>
          </w:p>
        </w:tc>
        <w:tc>
          <w:tcPr>
            <w:tcW w:w="0" w:type="auto"/>
            <w:tcBorders>
              <w:top w:val="single" w:sz="4" w:space="0" w:color="7F7F7F" w:themeColor="text1" w:themeTint="80"/>
              <w:bottom w:val="single" w:sz="4" w:space="0" w:color="7F7F7F" w:themeColor="text1" w:themeTint="80"/>
            </w:tcBorders>
            <w:shd w:val="clear" w:color="auto" w:fill="F2F2F2" w:themeFill="background1" w:themeFillShade="F2"/>
            <w:vAlign w:val="center"/>
          </w:tcPr>
          <w:p w14:paraId="71EE42EE" w14:textId="77777777" w:rsidR="00CD65C2" w:rsidRDefault="00FA41FC">
            <w:pPr>
              <w:spacing w:after="0"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 w:val="20"/>
                <w:szCs w:val="20"/>
              </w:rPr>
            </w:pPr>
            <w:r>
              <w:rPr>
                <w:rFonts w:ascii="Swis721 Th BT" w:hAnsi="Swis721 Th BT"/>
                <w:color w:val="000000"/>
                <w:sz w:val="20"/>
                <w:szCs w:val="21"/>
              </w:rPr>
              <w:t xml:space="preserve">Pacientes Saudáveis - </w:t>
            </w:r>
            <w:r>
              <w:rPr>
                <w:rFonts w:ascii="Swis721 Th BT" w:hAnsi="Swis721 Th BT"/>
                <w:color w:val="000000"/>
                <w:sz w:val="20"/>
                <w:szCs w:val="20"/>
              </w:rPr>
              <w:t>CoQ10</w:t>
            </w:r>
          </w:p>
        </w:tc>
        <w:tc>
          <w:tcPr>
            <w:tcW w:w="0" w:type="auto"/>
            <w:tcBorders>
              <w:top w:val="single" w:sz="4" w:space="0" w:color="7F7F7F" w:themeColor="text1" w:themeTint="80"/>
              <w:bottom w:val="single" w:sz="4" w:space="0" w:color="7F7F7F" w:themeColor="text1" w:themeTint="80"/>
            </w:tcBorders>
            <w:shd w:val="clear" w:color="auto" w:fill="F2F2F2" w:themeFill="background1" w:themeFillShade="F2"/>
            <w:vAlign w:val="center"/>
          </w:tcPr>
          <w:p w14:paraId="5C8A9441" w14:textId="77777777" w:rsidR="00CD65C2" w:rsidRDefault="00FA41FC">
            <w:pPr>
              <w:spacing w:after="0"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 w:val="20"/>
                <w:szCs w:val="20"/>
              </w:rPr>
            </w:pPr>
            <w:r>
              <w:rPr>
                <w:rFonts w:ascii="Swis721 Th BT" w:hAnsi="Swis721 Th BT"/>
                <w:color w:val="000000"/>
                <w:sz w:val="20"/>
                <w:szCs w:val="20"/>
              </w:rPr>
              <w:t>1778,92±597,03</w:t>
            </w:r>
          </w:p>
        </w:tc>
        <w:tc>
          <w:tcPr>
            <w:tcW w:w="0" w:type="auto"/>
            <w:tcBorders>
              <w:top w:val="single" w:sz="4" w:space="0" w:color="7F7F7F" w:themeColor="text1" w:themeTint="80"/>
              <w:bottom w:val="single" w:sz="4" w:space="0" w:color="7F7F7F" w:themeColor="text1" w:themeTint="80"/>
            </w:tcBorders>
            <w:shd w:val="clear" w:color="auto" w:fill="F2F2F2" w:themeFill="background1" w:themeFillShade="F2"/>
            <w:vAlign w:val="center"/>
          </w:tcPr>
          <w:p w14:paraId="4B665BC0" w14:textId="77777777" w:rsidR="00CD65C2" w:rsidRDefault="00FA41FC">
            <w:pPr>
              <w:spacing w:after="0"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 w:val="20"/>
                <w:szCs w:val="20"/>
              </w:rPr>
            </w:pPr>
            <w:r>
              <w:rPr>
                <w:rFonts w:ascii="Swis721 Th BT" w:hAnsi="Swis721 Th BT"/>
                <w:color w:val="000000"/>
                <w:sz w:val="20"/>
                <w:szCs w:val="20"/>
              </w:rPr>
              <w:t>1538,78±527,98</w:t>
            </w:r>
          </w:p>
        </w:tc>
      </w:tr>
      <w:tr w:rsidR="00CD65C2" w14:paraId="12B73732" w14:textId="77777777" w:rsidTr="00CD65C2">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535CA684" w14:textId="77777777" w:rsidR="00CD65C2" w:rsidRDefault="00CD65C2">
            <w:pPr>
              <w:spacing w:after="0" w:line="393" w:lineRule="atLeast"/>
              <w:jc w:val="center"/>
              <w:rPr>
                <w:rFonts w:ascii="Swis721 Th BT" w:hAnsi="Swis721 Th BT"/>
                <w:b w:val="0"/>
                <w:bCs w:val="0"/>
                <w:color w:val="000000"/>
                <w:sz w:val="20"/>
                <w:szCs w:val="21"/>
              </w:rPr>
            </w:pPr>
          </w:p>
        </w:tc>
        <w:tc>
          <w:tcPr>
            <w:tcW w:w="0" w:type="auto"/>
            <w:vAlign w:val="center"/>
          </w:tcPr>
          <w:p w14:paraId="246CE5AE" w14:textId="77777777" w:rsidR="00CD65C2" w:rsidRDefault="00FA41FC">
            <w:pPr>
              <w:spacing w:after="0"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 w:val="20"/>
                <w:szCs w:val="20"/>
              </w:rPr>
            </w:pPr>
            <w:r>
              <w:rPr>
                <w:rFonts w:ascii="Swis721 Th BT" w:hAnsi="Swis721 Th BT"/>
                <w:color w:val="000000"/>
                <w:sz w:val="20"/>
                <w:szCs w:val="21"/>
              </w:rPr>
              <w:t xml:space="preserve">Pacientes com Câncer - </w:t>
            </w:r>
            <w:r>
              <w:rPr>
                <w:rFonts w:ascii="Swis721 Th BT" w:hAnsi="Swis721 Th BT"/>
                <w:color w:val="000000"/>
                <w:sz w:val="20"/>
                <w:szCs w:val="20"/>
              </w:rPr>
              <w:t>CoQ10</w:t>
            </w:r>
          </w:p>
        </w:tc>
        <w:tc>
          <w:tcPr>
            <w:tcW w:w="0" w:type="auto"/>
            <w:vAlign w:val="center"/>
          </w:tcPr>
          <w:p w14:paraId="00B401E2" w14:textId="77777777" w:rsidR="00CD65C2" w:rsidRDefault="00FA41FC">
            <w:pPr>
              <w:spacing w:after="0"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 w:val="20"/>
                <w:szCs w:val="20"/>
              </w:rPr>
            </w:pPr>
            <w:r>
              <w:rPr>
                <w:rFonts w:ascii="Swis721 Th BT" w:hAnsi="Swis721 Th BT"/>
                <w:color w:val="000000"/>
                <w:sz w:val="20"/>
                <w:szCs w:val="20"/>
              </w:rPr>
              <w:t>1767±594,32</w:t>
            </w:r>
          </w:p>
        </w:tc>
        <w:tc>
          <w:tcPr>
            <w:tcW w:w="0" w:type="auto"/>
            <w:vAlign w:val="center"/>
          </w:tcPr>
          <w:p w14:paraId="14B8DB06" w14:textId="77777777" w:rsidR="00CD65C2" w:rsidRDefault="00FA41FC">
            <w:pPr>
              <w:spacing w:after="0"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 w:val="20"/>
                <w:szCs w:val="20"/>
              </w:rPr>
            </w:pPr>
            <w:r>
              <w:rPr>
                <w:rFonts w:ascii="Swis721 Th BT" w:hAnsi="Swis721 Th BT"/>
                <w:color w:val="000000"/>
                <w:sz w:val="20"/>
                <w:szCs w:val="20"/>
              </w:rPr>
              <w:t>1522,46±279,82</w:t>
            </w:r>
          </w:p>
        </w:tc>
      </w:tr>
    </w:tbl>
    <w:p w14:paraId="19CD391E" w14:textId="77777777" w:rsidR="00CD65C2" w:rsidRDefault="00FA41FC">
      <w:pPr>
        <w:pStyle w:val="Ttulo1"/>
        <w:jc w:val="center"/>
        <w:rPr>
          <w:rFonts w:hint="eastAsia"/>
        </w:rPr>
      </w:pPr>
      <w:bookmarkStart w:id="188" w:name="_Toc165537335"/>
      <w:r>
        <w:rPr>
          <w:rStyle w:val="Ttulo1Char"/>
          <w:b/>
        </w:rPr>
        <w:t>Formulário</w:t>
      </w:r>
      <w:bookmarkEnd w:id="188"/>
    </w:p>
    <w:p w14:paraId="7114FBB7" w14:textId="77777777" w:rsidR="00CD65C2" w:rsidRDefault="00CD65C2">
      <w:pPr>
        <w:pStyle w:val="Corpo"/>
        <w:rPr>
          <w:rFonts w:hint="eastAsia"/>
          <w:b/>
          <w:i/>
          <w:color w:val="404040" w:themeColor="text1" w:themeTint="BF"/>
        </w:rPr>
      </w:pPr>
    </w:p>
    <w:p w14:paraId="4D098C6F" w14:textId="77777777" w:rsidR="00CD65C2" w:rsidRDefault="00FA41FC">
      <w:pPr>
        <w:pStyle w:val="Corpo"/>
        <w:tabs>
          <w:tab w:val="left" w:pos="3555"/>
        </w:tabs>
        <w:rPr>
          <w:rFonts w:hint="eastAsia"/>
          <w:b/>
          <w:i/>
          <w:color w:val="404040" w:themeColor="text1" w:themeTint="BF"/>
        </w:rPr>
      </w:pPr>
      <w:r>
        <w:rPr>
          <w:b/>
          <w:i/>
          <w:color w:val="404040" w:themeColor="text1" w:themeTint="BF"/>
        </w:rPr>
        <w:tab/>
      </w:r>
    </w:p>
    <w:p w14:paraId="025D649B" w14:textId="77777777" w:rsidR="00CD65C2" w:rsidRDefault="00FA41FC">
      <w:pPr>
        <w:pStyle w:val="Corpo"/>
        <w:rPr>
          <w:rFonts w:hint="eastAsia"/>
          <w:b/>
          <w:i/>
          <w:color w:val="404040" w:themeColor="text1" w:themeTint="BF"/>
          <w:sz w:val="24"/>
        </w:rPr>
      </w:pPr>
      <w:r>
        <w:rPr>
          <w:b/>
          <w:i/>
          <w:color w:val="404040" w:themeColor="text1" w:themeTint="BF"/>
          <w:sz w:val="24"/>
        </w:rPr>
        <w:t>Redução de Citocinas Inflamatórias em Pacientes com Câncer de Mama Sob Terapia com Tamoxifeno</w:t>
      </w:r>
    </w:p>
    <w:p w14:paraId="53E93F76"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14FADD16"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363471B4" w14:textId="77777777" w:rsidR="00CD65C2" w:rsidRDefault="00FA41FC">
            <w:pPr>
              <w:pStyle w:val="Corpo"/>
              <w:jc w:val="center"/>
              <w:rPr>
                <w:rFonts w:hint="eastAsia"/>
                <w:b/>
                <w:color w:val="FFFFFF" w:themeColor="background1"/>
              </w:rPr>
            </w:pPr>
            <w:r>
              <w:rPr>
                <w:b/>
                <w:color w:val="FFFFFF" w:themeColor="background1"/>
                <w:sz w:val="22"/>
              </w:rPr>
              <w:t>Cápsulas de Coenzima Q10</w:t>
            </w:r>
          </w:p>
        </w:tc>
      </w:tr>
      <w:tr w:rsidR="00CD65C2" w14:paraId="61D1CACA"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7004E89" w14:textId="77777777" w:rsidR="00CD65C2" w:rsidRDefault="00FA41FC">
            <w:pPr>
              <w:pStyle w:val="Corpo"/>
              <w:rPr>
                <w:rFonts w:hint="eastAsia"/>
                <w:color w:val="404040" w:themeColor="text1" w:themeTint="BF"/>
              </w:rPr>
            </w:pPr>
            <w:r>
              <w:rPr>
                <w:color w:val="404040" w:themeColor="text1" w:themeTint="BF"/>
              </w:rPr>
              <w:t>Coenzima Q10................................100 mg</w:t>
            </w:r>
          </w:p>
        </w:tc>
      </w:tr>
      <w:tr w:rsidR="00CD65C2" w14:paraId="47DCA63D"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85D8C50" w14:textId="57E0C03A" w:rsidR="00CD65C2" w:rsidRDefault="00FA41FC">
            <w:pPr>
              <w:pStyle w:val="Corpo"/>
              <w:rPr>
                <w:rFonts w:hint="eastAsia"/>
                <w:color w:val="404040" w:themeColor="text1" w:themeTint="BF"/>
              </w:rPr>
            </w:pPr>
            <w:r>
              <w:rPr>
                <w:color w:val="404040" w:themeColor="text1" w:themeTint="BF"/>
              </w:rPr>
              <w:t>Excipiente q.s.p. ........................1 Cápsula</w:t>
            </w:r>
          </w:p>
        </w:tc>
      </w:tr>
    </w:tbl>
    <w:p w14:paraId="76E24F71" w14:textId="77777777" w:rsidR="00CD65C2" w:rsidRDefault="00FA41FC">
      <w:pPr>
        <w:pStyle w:val="Corpo"/>
        <w:ind w:right="4960"/>
        <w:jc w:val="center"/>
        <w:rPr>
          <w:rFonts w:hint="eastAsia"/>
          <w:color w:val="404040" w:themeColor="text1" w:themeTint="BF"/>
          <w:sz w:val="22"/>
          <w:szCs w:val="22"/>
        </w:rPr>
      </w:pPr>
      <w:r>
        <w:rPr>
          <w:color w:val="404040" w:themeColor="text1" w:themeTint="BF"/>
          <w:sz w:val="22"/>
          <w:szCs w:val="22"/>
        </w:rPr>
        <w:t>Administrar 1 cápsula ao dia ou conforme orientação médica.</w:t>
      </w:r>
    </w:p>
    <w:p w14:paraId="630EA7B9" w14:textId="77777777" w:rsidR="00CD65C2" w:rsidRDefault="00CD65C2">
      <w:pPr>
        <w:pStyle w:val="Corpo"/>
        <w:spacing w:line="276" w:lineRule="auto"/>
        <w:rPr>
          <w:rFonts w:hint="eastAsia"/>
          <w:b/>
          <w:color w:val="404040" w:themeColor="text1" w:themeTint="BF"/>
        </w:rPr>
      </w:pPr>
    </w:p>
    <w:p w14:paraId="44453FD8" w14:textId="77777777" w:rsidR="00CD65C2" w:rsidRDefault="00CD65C2">
      <w:pPr>
        <w:pStyle w:val="Corpo"/>
        <w:spacing w:line="276" w:lineRule="auto"/>
        <w:rPr>
          <w:rFonts w:hint="eastAsia"/>
          <w:b/>
          <w:color w:val="404040" w:themeColor="text1" w:themeTint="BF"/>
        </w:rPr>
      </w:pPr>
    </w:p>
    <w:p w14:paraId="2FAF20EE" w14:textId="77777777" w:rsidR="00CD65C2" w:rsidRDefault="00CD65C2">
      <w:pPr>
        <w:pStyle w:val="Corpo"/>
        <w:spacing w:line="276" w:lineRule="auto"/>
        <w:rPr>
          <w:rFonts w:hint="eastAsia"/>
          <w:b/>
          <w:color w:val="404040" w:themeColor="text1" w:themeTint="BF"/>
        </w:rPr>
      </w:pPr>
    </w:p>
    <w:p w14:paraId="6C8F0DAB" w14:textId="77777777" w:rsidR="00CD65C2" w:rsidRDefault="00CD65C2">
      <w:pPr>
        <w:pStyle w:val="Corpo"/>
        <w:spacing w:line="276" w:lineRule="auto"/>
        <w:rPr>
          <w:rFonts w:hint="eastAsia"/>
          <w:b/>
          <w:color w:val="404040" w:themeColor="text1" w:themeTint="BF"/>
        </w:rPr>
      </w:pPr>
    </w:p>
    <w:p w14:paraId="470C56B3" w14:textId="77777777" w:rsidR="00CD65C2" w:rsidRDefault="00CD65C2">
      <w:pPr>
        <w:pStyle w:val="Corpo"/>
        <w:spacing w:line="276" w:lineRule="auto"/>
        <w:rPr>
          <w:rFonts w:hint="eastAsia"/>
          <w:b/>
          <w:color w:val="404040" w:themeColor="text1" w:themeTint="BF"/>
        </w:rPr>
      </w:pPr>
    </w:p>
    <w:p w14:paraId="3F66FB5A" w14:textId="77777777" w:rsidR="00CD65C2" w:rsidRDefault="00CD65C2">
      <w:pPr>
        <w:pStyle w:val="Corpo"/>
        <w:spacing w:line="276" w:lineRule="auto"/>
        <w:rPr>
          <w:rFonts w:hint="eastAsia"/>
          <w:b/>
          <w:color w:val="404040" w:themeColor="text1" w:themeTint="BF"/>
        </w:rPr>
      </w:pPr>
    </w:p>
    <w:p w14:paraId="6CC57BDE" w14:textId="77777777" w:rsidR="00CD65C2" w:rsidRDefault="00CD65C2">
      <w:pPr>
        <w:pStyle w:val="Corpo"/>
        <w:spacing w:line="276" w:lineRule="auto"/>
        <w:rPr>
          <w:rFonts w:hint="eastAsia"/>
          <w:b/>
          <w:color w:val="404040" w:themeColor="text1" w:themeTint="BF"/>
        </w:rPr>
      </w:pPr>
    </w:p>
    <w:p w14:paraId="6F2DDB1F" w14:textId="77777777" w:rsidR="00CD65C2" w:rsidRDefault="00CD65C2">
      <w:pPr>
        <w:pStyle w:val="Corpo"/>
        <w:spacing w:line="276" w:lineRule="auto"/>
        <w:rPr>
          <w:rFonts w:hint="eastAsia"/>
          <w:b/>
          <w:color w:val="404040" w:themeColor="text1" w:themeTint="BF"/>
        </w:rPr>
      </w:pPr>
    </w:p>
    <w:p w14:paraId="4D3C2E9F" w14:textId="77777777" w:rsidR="00CD65C2" w:rsidRDefault="00CD65C2">
      <w:pPr>
        <w:pStyle w:val="Corpo"/>
        <w:spacing w:line="276" w:lineRule="auto"/>
        <w:rPr>
          <w:rFonts w:hint="eastAsia"/>
          <w:b/>
          <w:color w:val="404040" w:themeColor="text1" w:themeTint="BF"/>
        </w:rPr>
      </w:pPr>
    </w:p>
    <w:p w14:paraId="18D55511" w14:textId="77777777" w:rsidR="00CD65C2" w:rsidRDefault="00CD65C2">
      <w:pPr>
        <w:pStyle w:val="Corpo"/>
        <w:spacing w:line="276" w:lineRule="auto"/>
        <w:rPr>
          <w:rFonts w:hint="eastAsia"/>
          <w:b/>
          <w:color w:val="404040" w:themeColor="text1" w:themeTint="BF"/>
        </w:rPr>
      </w:pPr>
    </w:p>
    <w:p w14:paraId="4B2D35B5" w14:textId="77777777" w:rsidR="00CD65C2" w:rsidRDefault="00CD65C2">
      <w:pPr>
        <w:pStyle w:val="Corpo"/>
        <w:spacing w:line="276" w:lineRule="auto"/>
        <w:rPr>
          <w:rFonts w:hint="eastAsia"/>
          <w:b/>
          <w:color w:val="404040" w:themeColor="text1" w:themeTint="BF"/>
        </w:rPr>
      </w:pPr>
    </w:p>
    <w:p w14:paraId="20723400" w14:textId="77777777" w:rsidR="00CD65C2" w:rsidRDefault="00CD65C2">
      <w:pPr>
        <w:pStyle w:val="Corpo"/>
        <w:spacing w:line="276" w:lineRule="auto"/>
        <w:rPr>
          <w:rFonts w:hint="eastAsia"/>
          <w:b/>
          <w:color w:val="404040" w:themeColor="text1" w:themeTint="BF"/>
        </w:rPr>
      </w:pPr>
    </w:p>
    <w:p w14:paraId="5841B645" w14:textId="77777777" w:rsidR="00CD65C2" w:rsidRDefault="00CD65C2">
      <w:pPr>
        <w:pStyle w:val="Corpo"/>
        <w:spacing w:line="276" w:lineRule="auto"/>
        <w:rPr>
          <w:rFonts w:hint="eastAsia"/>
          <w:b/>
          <w:color w:val="404040" w:themeColor="text1" w:themeTint="BF"/>
        </w:rPr>
      </w:pPr>
    </w:p>
    <w:p w14:paraId="6BFA5FD6" w14:textId="77777777" w:rsidR="00CD65C2" w:rsidRDefault="00CD65C2">
      <w:pPr>
        <w:pStyle w:val="Corpo"/>
        <w:spacing w:line="276" w:lineRule="auto"/>
        <w:rPr>
          <w:rFonts w:hint="eastAsia"/>
          <w:b/>
          <w:color w:val="404040" w:themeColor="text1" w:themeTint="BF"/>
        </w:rPr>
      </w:pPr>
    </w:p>
    <w:p w14:paraId="7F3B8EB9" w14:textId="77777777" w:rsidR="00CD65C2" w:rsidRDefault="00CD65C2">
      <w:pPr>
        <w:pStyle w:val="Corpo"/>
        <w:spacing w:line="276" w:lineRule="auto"/>
        <w:rPr>
          <w:rFonts w:hint="eastAsia"/>
          <w:b/>
          <w:color w:val="404040" w:themeColor="text1" w:themeTint="BF"/>
        </w:rPr>
      </w:pPr>
    </w:p>
    <w:p w14:paraId="2ADF4452" w14:textId="77777777" w:rsidR="00CD65C2" w:rsidRDefault="00CD65C2">
      <w:pPr>
        <w:pStyle w:val="Corpo"/>
        <w:spacing w:line="276" w:lineRule="auto"/>
        <w:rPr>
          <w:rFonts w:hint="eastAsia"/>
          <w:b/>
          <w:color w:val="404040" w:themeColor="text1" w:themeTint="BF"/>
        </w:rPr>
      </w:pPr>
    </w:p>
    <w:p w14:paraId="524CD408" w14:textId="77777777" w:rsidR="00CD65C2" w:rsidRDefault="00CD65C2">
      <w:pPr>
        <w:pStyle w:val="Corpo"/>
        <w:spacing w:line="276" w:lineRule="auto"/>
        <w:rPr>
          <w:rFonts w:hint="eastAsia"/>
          <w:b/>
          <w:color w:val="404040" w:themeColor="text1" w:themeTint="BF"/>
        </w:rPr>
      </w:pPr>
    </w:p>
    <w:p w14:paraId="686F135E" w14:textId="77777777" w:rsidR="00CD65C2" w:rsidRDefault="00CD65C2">
      <w:pPr>
        <w:pStyle w:val="Corpo"/>
        <w:spacing w:line="276" w:lineRule="auto"/>
        <w:rPr>
          <w:rFonts w:hint="eastAsia"/>
          <w:b/>
          <w:color w:val="404040" w:themeColor="text1" w:themeTint="BF"/>
        </w:rPr>
      </w:pPr>
    </w:p>
    <w:p w14:paraId="0846DC89" w14:textId="77777777" w:rsidR="00CD65C2" w:rsidRDefault="00CD65C2">
      <w:pPr>
        <w:pStyle w:val="Corpo"/>
        <w:spacing w:line="276" w:lineRule="auto"/>
        <w:rPr>
          <w:rFonts w:hint="eastAsia"/>
          <w:b/>
          <w:color w:val="404040" w:themeColor="text1" w:themeTint="BF"/>
        </w:rPr>
      </w:pPr>
    </w:p>
    <w:p w14:paraId="21873004" w14:textId="77777777" w:rsidR="00CD65C2" w:rsidRDefault="00CD65C2">
      <w:pPr>
        <w:pStyle w:val="Corpo"/>
        <w:spacing w:line="276" w:lineRule="auto"/>
        <w:rPr>
          <w:rFonts w:hint="eastAsia"/>
          <w:b/>
          <w:color w:val="404040" w:themeColor="text1" w:themeTint="BF"/>
        </w:rPr>
      </w:pPr>
    </w:p>
    <w:p w14:paraId="5A49BE6D" w14:textId="77777777" w:rsidR="00CD65C2" w:rsidRDefault="00CD65C2">
      <w:pPr>
        <w:pStyle w:val="Corpo"/>
        <w:spacing w:line="276" w:lineRule="auto"/>
        <w:rPr>
          <w:rFonts w:hint="eastAsia"/>
          <w:b/>
          <w:color w:val="404040" w:themeColor="text1" w:themeTint="BF"/>
        </w:rPr>
      </w:pPr>
    </w:p>
    <w:p w14:paraId="5A1B458C" w14:textId="77777777" w:rsidR="00CD65C2" w:rsidRDefault="00CD65C2">
      <w:pPr>
        <w:pStyle w:val="Corpo"/>
        <w:spacing w:line="276" w:lineRule="auto"/>
        <w:rPr>
          <w:rFonts w:hint="eastAsia"/>
          <w:b/>
          <w:color w:val="404040" w:themeColor="text1" w:themeTint="BF"/>
        </w:rPr>
      </w:pPr>
    </w:p>
    <w:p w14:paraId="6347DF8D" w14:textId="77777777" w:rsidR="00CD65C2" w:rsidRDefault="00CD65C2">
      <w:pPr>
        <w:pStyle w:val="Corpo"/>
        <w:spacing w:line="276" w:lineRule="auto"/>
        <w:rPr>
          <w:rFonts w:hint="eastAsia"/>
          <w:b/>
          <w:color w:val="404040" w:themeColor="text1" w:themeTint="BF"/>
        </w:rPr>
      </w:pPr>
    </w:p>
    <w:p w14:paraId="5758204E" w14:textId="77777777" w:rsidR="00CD65C2" w:rsidRDefault="00CD65C2">
      <w:pPr>
        <w:pStyle w:val="Corpo"/>
        <w:spacing w:line="276" w:lineRule="auto"/>
        <w:rPr>
          <w:rFonts w:hint="eastAsia"/>
          <w:b/>
          <w:color w:val="404040" w:themeColor="text1" w:themeTint="BF"/>
        </w:rPr>
      </w:pPr>
    </w:p>
    <w:p w14:paraId="6ADC2261" w14:textId="77777777" w:rsidR="00CD65C2" w:rsidRDefault="00FA41FC">
      <w:pPr>
        <w:pStyle w:val="Ttulo1"/>
        <w:jc w:val="center"/>
        <w:rPr>
          <w:rFonts w:hint="eastAsia"/>
        </w:rPr>
      </w:pPr>
      <w:bookmarkStart w:id="189" w:name="_Toc165537336"/>
      <w:r>
        <w:rPr>
          <w:bCs/>
          <w:iCs/>
        </w:rPr>
        <w:t>Óleo de Peixe, Hidroxitirosol e Curcumina</w:t>
      </w:r>
      <w:bookmarkEnd w:id="189"/>
    </w:p>
    <w:p w14:paraId="1A1FDF79" w14:textId="77777777" w:rsidR="00CD65C2" w:rsidRPr="00D1428E" w:rsidRDefault="00FA41FC">
      <w:pPr>
        <w:pStyle w:val="Corpo"/>
        <w:jc w:val="center"/>
        <w:rPr>
          <w:rFonts w:hint="eastAsia"/>
          <w:b/>
          <w:color w:val="0070C0"/>
          <w:sz w:val="40"/>
        </w:rPr>
      </w:pPr>
      <w:r w:rsidRPr="00D1428E">
        <w:rPr>
          <w:b/>
          <w:color w:val="0070C0"/>
          <w:sz w:val="40"/>
        </w:rPr>
        <w:t>Associação Reduz a Dor em Pacientes sob Tratamento com Inibidores da Aromatase</w:t>
      </w:r>
    </w:p>
    <w:p w14:paraId="53CCDEBA" w14:textId="77777777" w:rsidR="00CD65C2" w:rsidRDefault="00CD65C2">
      <w:pPr>
        <w:pStyle w:val="Corpo"/>
        <w:rPr>
          <w:rFonts w:hint="eastAsia"/>
          <w:color w:val="404040" w:themeColor="text1" w:themeTint="BF"/>
          <w:sz w:val="24"/>
        </w:rPr>
      </w:pPr>
    </w:p>
    <w:p w14:paraId="75896121" w14:textId="53E3453A" w:rsidR="00CD65C2" w:rsidRDefault="00FA41FC">
      <w:pPr>
        <w:pStyle w:val="Corpo"/>
        <w:spacing w:after="120"/>
        <w:rPr>
          <w:rFonts w:hint="eastAsia"/>
          <w:color w:val="404040" w:themeColor="text1" w:themeTint="BF"/>
          <w:sz w:val="24"/>
        </w:rPr>
      </w:pPr>
      <w:r>
        <w:rPr>
          <w:color w:val="404040" w:themeColor="text1" w:themeTint="BF"/>
          <w:sz w:val="24"/>
        </w:rPr>
        <w:t xml:space="preserve">O objetivo deste estudo prospectivo, multicêntrico, aberto e clínico foi avaliar os efeitos do hidroxitirosol, ômega 3 e curcumina na redução dos níveis de proteína C reativa (PCR) e sintomas musculoesqueléticos em pacientes com câncer de mama sob terapia hormonal adjuvante </w:t>
      </w:r>
      <w:r>
        <w:rPr>
          <w:color w:val="404040" w:themeColor="text1" w:themeTint="BF"/>
          <w:sz w:val="24"/>
        </w:rPr>
        <w:fldChar w:fldCharType="begin">
          <w:fldData xml:space="preserve">PEVuZE5vdGU+PENpdGU+PEF1dGhvcj5NYXJ0aW5lejwvQXV0aG9yPjxZZWFyPjIwMTg8L1llYXI+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</w:fldData>
        </w:fldChar>
      </w:r>
      <w:r>
        <w:rPr>
          <w:color w:val="404040" w:themeColor="text1" w:themeTint="BF"/>
          <w:sz w:val="24"/>
        </w:rPr>
        <w:instrText xml:space="preserve"> ADDIN EN.CITE </w:instrText>
      </w:r>
      <w:r>
        <w:rPr>
          <w:color w:val="404040" w:themeColor="text1" w:themeTint="BF"/>
          <w:sz w:val="24"/>
        </w:rPr>
        <w:fldChar w:fldCharType="begin">
          <w:fldData xml:space="preserve">PEVuZE5vdGU+PENpdGU+PEF1dGhvcj5NYXJ0aW5lejwvQXV0aG9yPjxZZWFyPjIwMTg8L1llYXI+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</w:fldData>
        </w:fldChar>
      </w:r>
      <w:r>
        <w:rPr>
          <w:color w:val="404040" w:themeColor="text1" w:themeTint="BF"/>
          <w:sz w:val="24"/>
        </w:rPr>
        <w:instrText xml:space="preserve"> ADDIN EN.CITE.DATA </w:instrText>
      </w:r>
      <w:r>
        <w:rPr>
          <w:color w:val="404040" w:themeColor="text1" w:themeTint="BF"/>
          <w:sz w:val="24"/>
        </w:rPr>
      </w:r>
      <w:r>
        <w:rPr>
          <w:color w:val="404040" w:themeColor="text1" w:themeTint="BF"/>
          <w:sz w:val="24"/>
        </w:rPr>
        <w:fldChar w:fldCharType="end"/>
      </w:r>
      <w:r>
        <w:rPr>
          <w:color w:val="404040" w:themeColor="text1" w:themeTint="BF"/>
          <w:sz w:val="24"/>
        </w:rPr>
      </w:r>
      <w:r>
        <w:rPr>
          <w:color w:val="404040" w:themeColor="text1" w:themeTint="BF"/>
          <w:sz w:val="24"/>
        </w:rPr>
        <w:fldChar w:fldCharType="separate"/>
      </w:r>
      <w:r>
        <w:rPr>
          <w:color w:val="404040" w:themeColor="text1" w:themeTint="BF"/>
          <w:sz w:val="24"/>
        </w:rPr>
        <w:t>(Martinez</w:t>
      </w:r>
      <w:r>
        <w:rPr>
          <w:i/>
          <w:color w:val="404040" w:themeColor="text1" w:themeTint="BF"/>
          <w:sz w:val="24"/>
        </w:rPr>
        <w:t xml:space="preserve"> et al.</w:t>
      </w:r>
      <w:r>
        <w:rPr>
          <w:color w:val="404040" w:themeColor="text1" w:themeTint="BF"/>
          <w:sz w:val="24"/>
        </w:rPr>
        <w:t>, 2018)</w:t>
      </w:r>
      <w:r>
        <w:rPr>
          <w:color w:val="404040" w:themeColor="text1" w:themeTint="BF"/>
          <w:sz w:val="24"/>
        </w:rPr>
        <w:fldChar w:fldCharType="end"/>
      </w:r>
      <w:r>
        <w:rPr>
          <w:color w:val="404040" w:themeColor="text1" w:themeTint="BF"/>
          <w:sz w:val="24"/>
        </w:rPr>
        <w:t>.</w:t>
      </w:r>
    </w:p>
    <w:p w14:paraId="32602DD8"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2025856" behindDoc="0" locked="0" layoutInCell="1" allowOverlap="1">
                <wp:simplePos x="0" y="0"/>
                <wp:positionH relativeFrom="margin">
                  <wp:align>right</wp:align>
                </wp:positionH>
                <wp:positionV relativeFrom="paragraph">
                  <wp:posOffset>88265</wp:posOffset>
                </wp:positionV>
                <wp:extent cx="5734050" cy="657225"/>
                <wp:effectExtent l="0" t="0" r="19050" b="28575"/>
                <wp:wrapNone/>
                <wp:docPr id="739657951" name="Caixa de texto 7396579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57225"/>
                        </a:xfrm>
                        <a:prstGeom prst="rect">
                          <a:avLst/>
                        </a:prstGeom>
                        <a:solidFill>
                          <a:schemeClr val="bg1">
                            <a:lumMod val="100000"/>
                            <a:lumOff val="0"/>
                          </a:schemeClr>
                        </a:solidFill>
                        <a:ln w="9525">
                          <a:solidFill>
                            <a:srgbClr val="0070C0"/>
                          </a:solidFill>
                          <a:miter lim="800000"/>
                        </a:ln>
                      </wps:spPr>
                      <wps:txbx>
                        <w:txbxContent>
                          <w:p w14:paraId="5B3835CC" w14:textId="77777777" w:rsidR="00FA41FC" w:rsidRDefault="00FA41FC">
                            <w:pPr>
                              <w:jc w:val="center"/>
                              <w:rPr>
                                <w:rFonts w:ascii="Swis721 Th BT" w:hAnsi="Swis721 Th BT"/>
                                <w:b/>
                                <w:sz w:val="23"/>
                                <w:szCs w:val="23"/>
                              </w:rPr>
                            </w:pPr>
                            <w:r>
                              <w:rPr>
                                <w:rFonts w:ascii="Swis721 Th BT" w:hAnsi="Swis721 Th BT"/>
                                <w:sz w:val="23"/>
                                <w:szCs w:val="23"/>
                              </w:rPr>
                              <w:t xml:space="preserve">Para isso, 45 pacientes pós-menopausadas com diagnóstico de </w:t>
                            </w:r>
                            <w:r>
                              <w:rPr>
                                <w:rFonts w:ascii="Swis721 Th BT" w:hAnsi="Swis721 Th BT"/>
                                <w:i/>
                                <w:sz w:val="23"/>
                                <w:szCs w:val="23"/>
                              </w:rPr>
                              <w:t xml:space="preserve">American Joint Commitee on Cancer </w:t>
                            </w:r>
                            <w:r>
                              <w:rPr>
                                <w:rFonts w:ascii="Swis721 Th BT" w:hAnsi="Swis721 Th BT"/>
                                <w:sz w:val="23"/>
                                <w:szCs w:val="23"/>
                              </w:rPr>
                              <w:t>(AJCC) Estágio 0-IIIA, níveis elevados de PCR e em tratamento com, principalmente, inibidores da aromatase receberam durante 30 dias:</w:t>
                            </w:r>
                          </w:p>
                          <w:p w14:paraId="1674B844" w14:textId="77777777" w:rsidR="00FA41FC" w:rsidRDefault="00FA41FC">
                            <w:pPr>
                              <w:jc w:val="center"/>
                              <w:rPr>
                                <w:rFonts w:ascii="Swis721 Th BT" w:hAnsi="Swis721 Th BT"/>
                                <w:sz w:val="23"/>
                                <w:szCs w:val="23"/>
                              </w:rPr>
                            </w:pPr>
                            <w:r>
                              <w:rPr>
                                <w:rFonts w:ascii="Swis721 Th BT" w:hAnsi="Swis721 Th BT"/>
                                <w:sz w:val="23"/>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739657951" o:spid="_x0000_s1269" type="#_x0000_t202" style="position:absolute;left:0;text-align:left;margin-left:400.3pt;margin-top:6.95pt;width:451.5pt;height:51.75pt;z-index:25202585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" fillcolor="white [3212]" strokecolor="#0070c0">
                <v:textbox>
                  <w:txbxContent>
                    <w:p w14:paraId="5B3835CC" w14:textId="77777777" w:rsidR="00FA41FC" w:rsidRDefault="00FA41FC">
                      <w:pPr>
                        <w:jc w:val="center"/>
                        <w:rPr>
                          <w:rFonts w:ascii="Swis721 Th BT" w:hAnsi="Swis721 Th BT"/>
                          <w:b/>
                          <w:sz w:val="23"/>
                          <w:szCs w:val="23"/>
                        </w:rPr>
                      </w:pPr>
                      <w:r>
                        <w:rPr>
                          <w:rFonts w:ascii="Swis721 Th BT" w:hAnsi="Swis721 Th BT"/>
                          <w:sz w:val="23"/>
                          <w:szCs w:val="23"/>
                        </w:rPr>
                        <w:t xml:space="preserve">Para isso, 45 pacientes pós-menopausadas com diagnóstico de </w:t>
                      </w:r>
                      <w:r>
                        <w:rPr>
                          <w:rFonts w:ascii="Swis721 Th BT" w:hAnsi="Swis721 Th BT"/>
                          <w:i/>
                          <w:sz w:val="23"/>
                          <w:szCs w:val="23"/>
                        </w:rPr>
                        <w:t xml:space="preserve">American Joint Commitee on Cancer </w:t>
                      </w:r>
                      <w:r>
                        <w:rPr>
                          <w:rFonts w:ascii="Swis721 Th BT" w:hAnsi="Swis721 Th BT"/>
                          <w:sz w:val="23"/>
                          <w:szCs w:val="23"/>
                        </w:rPr>
                        <w:t>(AJCC) Estágio 0-IIIA, níveis elevados de PCR e em tratamento com, principalmente, inibidores da aromatase receberam durante 30 dias:</w:t>
                      </w:r>
                    </w:p>
                    <w:p w14:paraId="1674B844" w14:textId="77777777" w:rsidR="00FA41FC" w:rsidRDefault="00FA41FC">
                      <w:pPr>
                        <w:jc w:val="center"/>
                        <w:rPr>
                          <w:rFonts w:ascii="Swis721 Th BT" w:hAnsi="Swis721 Th BT"/>
                          <w:sz w:val="23"/>
                          <w:szCs w:val="23"/>
                        </w:rPr>
                      </w:pPr>
                      <w:r>
                        <w:rPr>
                          <w:rFonts w:ascii="Swis721 Th BT" w:hAnsi="Swis721 Th BT"/>
                          <w:sz w:val="23"/>
                          <w:szCs w:val="23"/>
                        </w:rPr>
                        <w:t xml:space="preserve">: </w:t>
                      </w:r>
                    </w:p>
                  </w:txbxContent>
                </v:textbox>
                <w10:wrap anchorx="margin"/>
              </v:shape>
            </w:pict>
          </mc:Fallback>
        </mc:AlternateContent>
      </w:r>
      <w:r>
        <w:rPr>
          <w:color w:val="404040" w:themeColor="text1" w:themeTint="BF"/>
          <w:sz w:val="24"/>
        </w:rPr>
        <w:br/>
      </w:r>
    </w:p>
    <w:p w14:paraId="16CDC46C" w14:textId="77777777" w:rsidR="00CD65C2" w:rsidRDefault="00CD65C2">
      <w:pPr>
        <w:pStyle w:val="Corpo"/>
        <w:rPr>
          <w:rFonts w:hint="eastAsia"/>
          <w:color w:val="404040" w:themeColor="text1" w:themeTint="BF"/>
        </w:rPr>
      </w:pPr>
    </w:p>
    <w:p w14:paraId="6EF53428" w14:textId="77777777" w:rsidR="00CD65C2" w:rsidRDefault="00CD65C2">
      <w:pPr>
        <w:pStyle w:val="Corpo"/>
        <w:rPr>
          <w:rFonts w:hint="eastAsia"/>
          <w:color w:val="404040" w:themeColor="text1" w:themeTint="BF"/>
        </w:rPr>
      </w:pPr>
    </w:p>
    <w:p w14:paraId="4FDEC2F7"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2027904" behindDoc="0" locked="0" layoutInCell="1" allowOverlap="1">
                <wp:simplePos x="0" y="0"/>
                <wp:positionH relativeFrom="column">
                  <wp:posOffset>2590800</wp:posOffset>
                </wp:positionH>
                <wp:positionV relativeFrom="paragraph">
                  <wp:posOffset>77470</wp:posOffset>
                </wp:positionV>
                <wp:extent cx="226695" cy="138430"/>
                <wp:effectExtent l="0" t="0" r="1905" b="0"/>
                <wp:wrapNone/>
                <wp:docPr id="739657952" name="Triângulo isósceles 7396579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952" o:spid="_x0000_s1026" o:spt="5" type="#_x0000_t5" style="position:absolute;left:0pt;flip:y;margin-left:204pt;margin-top:6.1pt;height:10.9pt;width:17.85pt;z-index:252027904;mso-width-relative:page;mso-height-relative:page;" fillcolor="#D9D9D9 [3212]" filled="t" stroked="f" coordsize="21600,21600" o:gfxdata="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anZJfXAAAACQEAAA8AAAAAAAAAAQAgAAAAIgAAAGRycy9kb3ducmV2LnhtbFBLAQIUABQAAAAI&#10;AIdO4kBZFCjkYAIAALMEAAAOAAAAAAAAAAEAIAAAACYBAABkcnMvZTJvRG9jLnhtbFBLBQYAAAAA&#10;BgAGAFkBAAD4BQAAAAA=&#10;" adj="10800">
                <v:fill on="t" focussize="0,0"/>
                <v:stroke on="f"/>
                <v:imagedata o:title=""/>
                <o:lock v:ext="edit" aspectratio="f"/>
              </v:shape>
            </w:pict>
          </mc:Fallback>
        </mc:AlternateContent>
      </w:r>
    </w:p>
    <w:p w14:paraId="2FEA4EE1"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2026880" behindDoc="0" locked="0" layoutInCell="1" allowOverlap="1">
                <wp:simplePos x="0" y="0"/>
                <wp:positionH relativeFrom="column">
                  <wp:posOffset>1739265</wp:posOffset>
                </wp:positionH>
                <wp:positionV relativeFrom="paragraph">
                  <wp:posOffset>93345</wp:posOffset>
                </wp:positionV>
                <wp:extent cx="1913890" cy="819150"/>
                <wp:effectExtent l="0" t="0" r="10160" b="19050"/>
                <wp:wrapNone/>
                <wp:docPr id="739657953" name="Caixa de texto 7396579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819150"/>
                        </a:xfrm>
                        <a:prstGeom prst="rect">
                          <a:avLst/>
                        </a:prstGeom>
                        <a:solidFill>
                          <a:srgbClr val="0070C0"/>
                        </a:solidFill>
                        <a:ln w="9525">
                          <a:solidFill>
                            <a:srgbClr val="0070C0"/>
                          </a:solidFill>
                          <a:miter lim="800000"/>
                        </a:ln>
                      </wps:spPr>
                      <wps:txbx>
                        <w:txbxContent>
                          <w:p w14:paraId="60ECA9EE"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Óleo de Peixe 460 mg</w:t>
                            </w:r>
                          </w:p>
                          <w:p w14:paraId="723FF416"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Hidroxitirosol 12,5 mg</w:t>
                            </w:r>
                          </w:p>
                          <w:p w14:paraId="1A83EE06"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Curcumina 50 mg</w:t>
                            </w:r>
                          </w:p>
                          <w:p w14:paraId="524F23BC"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3 cápsulas ao dia</w:t>
                            </w:r>
                          </w:p>
                        </w:txbxContent>
                      </wps:txbx>
                      <wps:bodyPr rot="0" vert="horz" wrap="square" lIns="91440" tIns="45720" rIns="91440" bIns="45720" anchor="t" anchorCtr="0" upright="1">
                        <a:noAutofit/>
                      </wps:bodyPr>
                    </wps:wsp>
                  </a:graphicData>
                </a:graphic>
              </wp:anchor>
            </w:drawing>
          </mc:Choice>
          <mc:Fallback>
            <w:pict>
              <v:shape id="Caixa de texto 739657953" o:spid="_x0000_s1270" type="#_x0000_t202" style="position:absolute;left:0;text-align:left;margin-left:136.95pt;margin-top:7.35pt;width:150.7pt;height:64.5pt;z-index:252026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" fillcolor="#0070c0" strokecolor="#0070c0">
                <v:textbox>
                  <w:txbxContent>
                    <w:p w14:paraId="60ECA9EE"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Óleo de Peixe 460 mg</w:t>
                      </w:r>
                    </w:p>
                    <w:p w14:paraId="723FF416"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Hidroxitirosol 12,5 mg</w:t>
                      </w:r>
                    </w:p>
                    <w:p w14:paraId="1A83EE06"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Curcumina 50 mg</w:t>
                      </w:r>
                    </w:p>
                    <w:p w14:paraId="524F23BC"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3 cápsulas ao dia</w:t>
                      </w:r>
                    </w:p>
                  </w:txbxContent>
                </v:textbox>
              </v:shape>
            </w:pict>
          </mc:Fallback>
        </mc:AlternateContent>
      </w:r>
    </w:p>
    <w:p w14:paraId="411ACF0B" w14:textId="77777777" w:rsidR="00CD65C2" w:rsidRDefault="00CD65C2">
      <w:pPr>
        <w:pStyle w:val="Corpo"/>
        <w:rPr>
          <w:rFonts w:hint="eastAsia"/>
          <w:color w:val="404040" w:themeColor="text1" w:themeTint="BF"/>
        </w:rPr>
      </w:pPr>
    </w:p>
    <w:p w14:paraId="3C85BA7A" w14:textId="77777777" w:rsidR="00CD65C2" w:rsidRDefault="00CD65C2">
      <w:pPr>
        <w:pStyle w:val="Corpo"/>
        <w:rPr>
          <w:rFonts w:hint="eastAsia"/>
          <w:color w:val="404040" w:themeColor="text1" w:themeTint="BF"/>
        </w:rPr>
      </w:pPr>
    </w:p>
    <w:p w14:paraId="714FC038" w14:textId="77777777" w:rsidR="00CD65C2" w:rsidRDefault="00CD65C2">
      <w:pPr>
        <w:pStyle w:val="Corpo"/>
        <w:rPr>
          <w:rFonts w:hint="eastAsia"/>
          <w:color w:val="404040" w:themeColor="text1" w:themeTint="BF"/>
        </w:rPr>
      </w:pPr>
    </w:p>
    <w:p w14:paraId="1B8E25BF" w14:textId="77777777" w:rsidR="00CD65C2" w:rsidRDefault="00CD65C2">
      <w:pPr>
        <w:pStyle w:val="Corpo"/>
        <w:rPr>
          <w:rFonts w:hint="eastAsia"/>
          <w:color w:val="404040" w:themeColor="text1" w:themeTint="BF"/>
        </w:rPr>
      </w:pPr>
    </w:p>
    <w:p w14:paraId="374ADE8A" w14:textId="77777777" w:rsidR="00CD65C2" w:rsidRDefault="00CD65C2">
      <w:pPr>
        <w:pStyle w:val="Corpo"/>
        <w:ind w:left="360"/>
        <w:rPr>
          <w:rFonts w:hint="eastAsia"/>
          <w:color w:val="404040" w:themeColor="text1" w:themeTint="BF"/>
        </w:rPr>
      </w:pPr>
    </w:p>
    <w:p w14:paraId="4E4818EB" w14:textId="77777777" w:rsidR="00CD65C2" w:rsidRDefault="00CD65C2">
      <w:pPr>
        <w:pStyle w:val="Corpo"/>
        <w:rPr>
          <w:rFonts w:hint="eastAsia"/>
          <w:color w:val="404040" w:themeColor="text1" w:themeTint="BF"/>
        </w:rPr>
      </w:pPr>
    </w:p>
    <w:p w14:paraId="3EF0BF78"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34EE3F1A" w14:textId="77777777" w:rsidR="00CD65C2" w:rsidRDefault="00CD65C2">
      <w:pPr>
        <w:pStyle w:val="Corpo"/>
        <w:rPr>
          <w:rFonts w:hint="eastAsia"/>
          <w:color w:val="404040" w:themeColor="text1" w:themeTint="BF"/>
          <w:sz w:val="16"/>
          <w:szCs w:val="16"/>
        </w:rPr>
      </w:pPr>
    </w:p>
    <w:p w14:paraId="32F7A07D" w14:textId="77777777" w:rsidR="00CD65C2" w:rsidRDefault="00FA41FC">
      <w:pPr>
        <w:pStyle w:val="Corpo"/>
        <w:numPr>
          <w:ilvl w:val="0"/>
          <w:numId w:val="5"/>
        </w:numPr>
        <w:spacing w:after="0"/>
        <w:rPr>
          <w:rFonts w:hint="eastAsia"/>
          <w:color w:val="404040" w:themeColor="text1" w:themeTint="BF"/>
          <w:sz w:val="24"/>
        </w:rPr>
      </w:pPr>
      <w:r>
        <w:rPr>
          <w:color w:val="404040" w:themeColor="text1" w:themeTint="BF"/>
          <w:sz w:val="24"/>
        </w:rPr>
        <w:t>A média de PCR no início do estudo foi de 8,2±6,4 mg/L. Após 30 dias, houve redução dos valores para 5,3±3,2 mg/L;</w:t>
      </w:r>
    </w:p>
    <w:p w14:paraId="60D49F4B" w14:textId="77777777" w:rsidR="00CD65C2" w:rsidRDefault="00FA41FC">
      <w:pPr>
        <w:pStyle w:val="Corpo"/>
        <w:numPr>
          <w:ilvl w:val="0"/>
          <w:numId w:val="5"/>
        </w:numPr>
        <w:spacing w:after="0"/>
        <w:rPr>
          <w:rFonts w:hint="eastAsia"/>
          <w:color w:val="404040" w:themeColor="text1" w:themeTint="BF"/>
          <w:sz w:val="24"/>
        </w:rPr>
      </w:pPr>
      <w:r>
        <w:rPr>
          <w:color w:val="404040" w:themeColor="text1" w:themeTint="BF"/>
          <w:sz w:val="24"/>
        </w:rPr>
        <w:t xml:space="preserve">Após 30 dias, também foi observada uma redução de 1,6 pontos nos escores de dor avaliados pelo </w:t>
      </w:r>
      <w:r>
        <w:rPr>
          <w:i/>
          <w:color w:val="404040" w:themeColor="text1" w:themeTint="BF"/>
          <w:sz w:val="24"/>
        </w:rPr>
        <w:t>Brief Pain Intensity Score</w:t>
      </w:r>
      <w:r>
        <w:rPr>
          <w:color w:val="404040" w:themeColor="text1" w:themeTint="BF"/>
          <w:sz w:val="24"/>
        </w:rPr>
        <w:t>;</w:t>
      </w:r>
    </w:p>
    <w:p w14:paraId="57EFEFD0" w14:textId="50E3A19A" w:rsidR="00CD65C2" w:rsidRDefault="00FA41FC">
      <w:pPr>
        <w:pStyle w:val="Corpo"/>
        <w:numPr>
          <w:ilvl w:val="0"/>
          <w:numId w:val="5"/>
        </w:numPr>
        <w:spacing w:after="0"/>
        <w:rPr>
          <w:rFonts w:hint="eastAsia"/>
          <w:color w:val="404040" w:themeColor="text1" w:themeTint="BF"/>
          <w:sz w:val="24"/>
        </w:rPr>
      </w:pPr>
      <w:r>
        <w:rPr>
          <w:color w:val="404040" w:themeColor="text1" w:themeTint="BF"/>
          <w:sz w:val="24"/>
        </w:rPr>
        <w:t>Houve uma redução nos níveis de IFN-gama de 8,7% após 30 dias comparados os níveis do início do estudo. Os biomarcadores inflamatórios foram estáveis ao longo do estudo;</w:t>
      </w:r>
    </w:p>
    <w:p w14:paraId="2ACFEA29" w14:textId="77777777" w:rsidR="00CD65C2" w:rsidRDefault="00FA41FC">
      <w:pPr>
        <w:pStyle w:val="Corpo"/>
        <w:numPr>
          <w:ilvl w:val="0"/>
          <w:numId w:val="5"/>
        </w:numPr>
        <w:spacing w:after="0"/>
        <w:rPr>
          <w:rFonts w:hint="eastAsia"/>
          <w:color w:val="404040" w:themeColor="text1" w:themeTint="BF"/>
          <w:sz w:val="24"/>
        </w:rPr>
      </w:pPr>
      <w:r>
        <w:rPr>
          <w:color w:val="404040" w:themeColor="text1" w:themeTint="BF"/>
          <w:sz w:val="24"/>
        </w:rPr>
        <w:t>Também foi observada uma redução de 7% nos triglicerídeos, enquanto o HDL não sofreu alterações comparado aos valores basais e o LDL não apresentou aumento significativo.</w:t>
      </w:r>
    </w:p>
    <w:p w14:paraId="0556FA72" w14:textId="77777777" w:rsidR="00CD65C2" w:rsidRDefault="00CD65C2">
      <w:pPr>
        <w:pStyle w:val="Corpo"/>
        <w:spacing w:after="120"/>
        <w:rPr>
          <w:rFonts w:hint="eastAsia"/>
          <w:color w:val="404040" w:themeColor="text1" w:themeTint="BF"/>
          <w:sz w:val="24"/>
        </w:rPr>
      </w:pPr>
    </w:p>
    <w:p w14:paraId="74D288D4"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3F5CCE51" w14:textId="47BB817D" w:rsidR="00CD65C2" w:rsidRDefault="00FA41FC">
      <w:pPr>
        <w:jc w:val="center"/>
        <w:rPr>
          <w:rFonts w:ascii="Swis721 Th BT" w:hAnsi="Swis721 Th BT"/>
          <w:b/>
          <w:bCs/>
          <w:i/>
          <w:sz w:val="23"/>
          <w:szCs w:val="23"/>
        </w:rPr>
      </w:pPr>
      <w:r>
        <w:rPr>
          <w:rFonts w:ascii="Swis721 Th BT" w:hAnsi="Swis721 Th BT"/>
          <w:b/>
          <w:bCs/>
          <w:i/>
          <w:sz w:val="23"/>
          <w:szCs w:val="23"/>
        </w:rPr>
        <w:t>A combinação de hidroxitirosol, ômega 3 e curcumina reduziu a inflamação como indicado por uma diminuição em PCR. Além disso, também houve redução da dor em pacientes com sintomas musculoesqueléticos induzidos pela aromatase.</w:t>
      </w:r>
      <w:r>
        <w:rPr>
          <w:rFonts w:ascii="Swis721 Th BT" w:hAnsi="Swis721 Th BT"/>
          <w:b/>
          <w:i/>
          <w:sz w:val="23"/>
          <w:szCs w:val="23"/>
        </w:rPr>
        <w:t xml:space="preserve">    </w:t>
      </w:r>
    </w:p>
    <w:p w14:paraId="6663C10E" w14:textId="77777777" w:rsidR="00CD65C2" w:rsidRDefault="00FA41FC">
      <w:pPr>
        <w:pStyle w:val="Ttulo1"/>
        <w:jc w:val="center"/>
        <w:rPr>
          <w:rFonts w:hint="eastAsia"/>
        </w:rPr>
      </w:pPr>
      <w:bookmarkStart w:id="190" w:name="_Toc165537337"/>
      <w:r>
        <w:rPr>
          <w:rStyle w:val="Ttulo1Char"/>
          <w:b/>
        </w:rPr>
        <w:t>Formulário</w:t>
      </w:r>
      <w:bookmarkEnd w:id="190"/>
    </w:p>
    <w:p w14:paraId="1BF228CE" w14:textId="77777777" w:rsidR="00CD65C2" w:rsidRDefault="00CD65C2">
      <w:pPr>
        <w:pStyle w:val="Corpo"/>
        <w:rPr>
          <w:rFonts w:hint="eastAsia"/>
          <w:b/>
          <w:i/>
          <w:color w:val="404040" w:themeColor="text1" w:themeTint="BF"/>
        </w:rPr>
      </w:pPr>
    </w:p>
    <w:p w14:paraId="34141DD6" w14:textId="77777777" w:rsidR="00CD65C2" w:rsidRDefault="00FA41FC">
      <w:pPr>
        <w:pStyle w:val="Corpo"/>
        <w:tabs>
          <w:tab w:val="left" w:pos="3555"/>
        </w:tabs>
        <w:rPr>
          <w:rFonts w:hint="eastAsia"/>
          <w:b/>
          <w:i/>
          <w:color w:val="404040" w:themeColor="text1" w:themeTint="BF"/>
        </w:rPr>
      </w:pPr>
      <w:r>
        <w:rPr>
          <w:b/>
          <w:i/>
          <w:color w:val="404040" w:themeColor="text1" w:themeTint="BF"/>
        </w:rPr>
        <w:tab/>
      </w:r>
    </w:p>
    <w:p w14:paraId="02C95AA9" w14:textId="77777777" w:rsidR="00CD65C2" w:rsidRDefault="00FA41FC">
      <w:pPr>
        <w:pStyle w:val="Corpo"/>
        <w:rPr>
          <w:rFonts w:hint="eastAsia"/>
          <w:b/>
          <w:i/>
          <w:color w:val="404040" w:themeColor="text1" w:themeTint="BF"/>
          <w:sz w:val="24"/>
        </w:rPr>
      </w:pPr>
      <w:r>
        <w:rPr>
          <w:b/>
          <w:i/>
          <w:color w:val="404040" w:themeColor="text1" w:themeTint="BF"/>
          <w:sz w:val="24"/>
        </w:rPr>
        <w:t>Melhora da Dor e Inflamação em Pacientes sob Tratamento com Inibidores de Aromatase</w:t>
      </w:r>
    </w:p>
    <w:p w14:paraId="01A7B68D"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64DB9B59"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1A12F8B3" w14:textId="77777777" w:rsidR="00CD65C2" w:rsidRDefault="00FA41FC">
            <w:pPr>
              <w:pStyle w:val="Corpo"/>
              <w:jc w:val="center"/>
              <w:rPr>
                <w:rFonts w:hint="eastAsia"/>
                <w:b/>
                <w:color w:val="FFFFFF" w:themeColor="background1"/>
              </w:rPr>
            </w:pPr>
            <w:r>
              <w:rPr>
                <w:b/>
                <w:color w:val="FFFFFF" w:themeColor="background1"/>
                <w:sz w:val="22"/>
              </w:rPr>
              <w:t>Óleo de Peixe</w:t>
            </w:r>
          </w:p>
        </w:tc>
      </w:tr>
      <w:tr w:rsidR="00CD65C2" w14:paraId="515D68FF"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7E3987A" w14:textId="77777777" w:rsidR="00CD65C2" w:rsidRDefault="00FA41FC">
            <w:pPr>
              <w:pStyle w:val="Corpo"/>
              <w:rPr>
                <w:rFonts w:hint="eastAsia"/>
                <w:color w:val="404040" w:themeColor="text1" w:themeTint="BF"/>
              </w:rPr>
            </w:pPr>
            <w:r>
              <w:rPr>
                <w:color w:val="404040" w:themeColor="text1" w:themeTint="BF"/>
              </w:rPr>
              <w:t>Óleo de Peixe..................................500 mg</w:t>
            </w:r>
          </w:p>
        </w:tc>
      </w:tr>
      <w:tr w:rsidR="00CD65C2" w14:paraId="7FBD826A"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791CEF7" w14:textId="7F636B81" w:rsidR="00CD65C2" w:rsidRDefault="00FA41FC">
            <w:pPr>
              <w:pStyle w:val="Corpo"/>
              <w:rPr>
                <w:rFonts w:hint="eastAsia"/>
                <w:color w:val="404040" w:themeColor="text1" w:themeTint="BF"/>
              </w:rPr>
            </w:pPr>
            <w:r>
              <w:rPr>
                <w:color w:val="404040" w:themeColor="text1" w:themeTint="BF"/>
              </w:rPr>
              <w:t>Excipiente q.s.p. ........................1 Cápsula</w:t>
            </w:r>
          </w:p>
        </w:tc>
      </w:tr>
    </w:tbl>
    <w:p w14:paraId="24410E8D" w14:textId="77777777" w:rsidR="00CD65C2" w:rsidRDefault="00FA41FC">
      <w:pPr>
        <w:pStyle w:val="Corpo"/>
        <w:ind w:right="4819"/>
        <w:jc w:val="center"/>
        <w:rPr>
          <w:rFonts w:hint="eastAsia"/>
          <w:color w:val="404040" w:themeColor="text1" w:themeTint="BF"/>
          <w:sz w:val="22"/>
          <w:szCs w:val="22"/>
        </w:rPr>
      </w:pPr>
      <w:r>
        <w:rPr>
          <w:color w:val="404040" w:themeColor="text1" w:themeTint="BF"/>
          <w:sz w:val="22"/>
          <w:szCs w:val="22"/>
        </w:rPr>
        <w:t>Administrar 2 cápsulas no café da manhã e 1 cápsula no jantar ou conforme orientação médica.</w:t>
      </w:r>
    </w:p>
    <w:p w14:paraId="6ED7FC61" w14:textId="77777777" w:rsidR="00CD65C2" w:rsidRDefault="00CD65C2">
      <w:pPr>
        <w:pStyle w:val="Corpo"/>
        <w:ind w:right="4819"/>
        <w:jc w:val="left"/>
        <w:rPr>
          <w:rFonts w:hint="eastAsia"/>
          <w:color w:val="404040" w:themeColor="text1" w:themeTint="BF"/>
          <w:sz w:val="16"/>
          <w:szCs w:val="16"/>
        </w:rPr>
      </w:pPr>
    </w:p>
    <w:p w14:paraId="6EFA082D" w14:textId="77777777" w:rsidR="00CD65C2" w:rsidRDefault="00FA41FC">
      <w:pPr>
        <w:pStyle w:val="Corpo"/>
        <w:ind w:right="4819"/>
        <w:jc w:val="center"/>
        <w:rPr>
          <w:rFonts w:hint="eastAsia"/>
          <w:color w:val="404040" w:themeColor="text1" w:themeTint="BF"/>
          <w:sz w:val="16"/>
          <w:szCs w:val="16"/>
        </w:rPr>
      </w:pPr>
      <w:r>
        <w:rPr>
          <w:color w:val="404040" w:themeColor="text1" w:themeTint="BF"/>
          <w:sz w:val="16"/>
          <w:szCs w:val="16"/>
        </w:rPr>
        <w:t>+</w:t>
      </w:r>
    </w:p>
    <w:p w14:paraId="091898C4" w14:textId="77777777" w:rsidR="00CD65C2" w:rsidRDefault="00CD65C2">
      <w:pPr>
        <w:pStyle w:val="Corpo"/>
        <w:ind w:right="4819"/>
        <w:jc w:val="center"/>
        <w:rPr>
          <w:rFonts w:hint="eastAsia"/>
          <w:color w:val="404040" w:themeColor="text1" w:themeTint="BF"/>
          <w:sz w:val="16"/>
          <w:szCs w:val="16"/>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6EBF2E91"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0FA958C5" w14:textId="77777777" w:rsidR="00CD65C2" w:rsidRDefault="00FA41FC">
            <w:pPr>
              <w:pStyle w:val="Corpo"/>
              <w:jc w:val="center"/>
              <w:rPr>
                <w:rFonts w:hint="eastAsia"/>
                <w:b/>
                <w:color w:val="FFFFFF" w:themeColor="background1"/>
              </w:rPr>
            </w:pPr>
            <w:r>
              <w:rPr>
                <w:b/>
                <w:color w:val="FFFFFF" w:themeColor="background1"/>
                <w:sz w:val="22"/>
              </w:rPr>
              <w:t>Cápsulas Antioxidantes</w:t>
            </w:r>
          </w:p>
        </w:tc>
      </w:tr>
      <w:tr w:rsidR="00CD65C2" w14:paraId="08488733"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76A68F0" w14:textId="77777777" w:rsidR="00CD65C2" w:rsidRDefault="00FA41FC">
            <w:pPr>
              <w:pStyle w:val="Corpo"/>
              <w:rPr>
                <w:rFonts w:hint="eastAsia"/>
                <w:color w:val="404040" w:themeColor="text1" w:themeTint="BF"/>
              </w:rPr>
            </w:pPr>
            <w:r>
              <w:rPr>
                <w:color w:val="404040" w:themeColor="text1" w:themeTint="BF"/>
              </w:rPr>
              <w:t>Oliva 10% Hidroxitirosol*.................125 mg</w:t>
            </w:r>
          </w:p>
        </w:tc>
      </w:tr>
      <w:tr w:rsidR="00CD65C2" w14:paraId="39916C65"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17751FE" w14:textId="77777777" w:rsidR="00CD65C2" w:rsidRDefault="00FA41FC">
            <w:pPr>
              <w:pStyle w:val="Corpo"/>
              <w:rPr>
                <w:rFonts w:hint="eastAsia"/>
                <w:color w:val="404040" w:themeColor="text1" w:themeTint="BF"/>
              </w:rPr>
            </w:pPr>
            <w:r>
              <w:rPr>
                <w:color w:val="404040" w:themeColor="text1" w:themeTint="BF"/>
              </w:rPr>
              <w:t>Curcumina........................................50 mg</w:t>
            </w:r>
          </w:p>
        </w:tc>
      </w:tr>
      <w:tr w:rsidR="00CD65C2" w14:paraId="3C02D498"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AF8207B" w14:textId="24201E90" w:rsidR="00CD65C2" w:rsidRDefault="00FA41FC">
            <w:pPr>
              <w:pStyle w:val="Corpo"/>
              <w:rPr>
                <w:rFonts w:hint="eastAsia"/>
                <w:color w:val="404040" w:themeColor="text1" w:themeTint="BF"/>
              </w:rPr>
            </w:pPr>
            <w:r>
              <w:rPr>
                <w:color w:val="404040" w:themeColor="text1" w:themeTint="BF"/>
              </w:rPr>
              <w:t>Excipiente q.s.p. ........................1 Cápsula</w:t>
            </w:r>
          </w:p>
        </w:tc>
      </w:tr>
    </w:tbl>
    <w:p w14:paraId="53A290C0" w14:textId="77777777" w:rsidR="00CD65C2" w:rsidRDefault="00FA41FC">
      <w:pPr>
        <w:pStyle w:val="Corpo"/>
        <w:ind w:right="4819"/>
        <w:jc w:val="center"/>
        <w:rPr>
          <w:rFonts w:hint="eastAsia"/>
          <w:color w:val="404040" w:themeColor="text1" w:themeTint="BF"/>
          <w:sz w:val="22"/>
          <w:szCs w:val="22"/>
        </w:rPr>
      </w:pPr>
      <w:r>
        <w:rPr>
          <w:color w:val="404040" w:themeColor="text1" w:themeTint="BF"/>
          <w:sz w:val="22"/>
          <w:szCs w:val="22"/>
        </w:rPr>
        <w:t>Administrar 2 cápsulas no café da manhã e 1 cápsula no jantar ou conforme orientação médica.</w:t>
      </w:r>
    </w:p>
    <w:p w14:paraId="1E98052C" w14:textId="77777777" w:rsidR="00CD65C2" w:rsidRDefault="00FA41FC">
      <w:pPr>
        <w:pStyle w:val="Corpo"/>
        <w:ind w:right="3969"/>
        <w:jc w:val="left"/>
        <w:rPr>
          <w:rFonts w:hint="eastAsia"/>
          <w:color w:val="404040" w:themeColor="text1" w:themeTint="BF"/>
          <w:sz w:val="16"/>
          <w:szCs w:val="16"/>
        </w:rPr>
      </w:pPr>
      <w:r>
        <w:rPr>
          <w:noProof/>
          <w:color w:val="404040" w:themeColor="text1" w:themeTint="BF"/>
          <w:sz w:val="16"/>
          <w:szCs w:val="16"/>
          <w:lang w:eastAsia="pt-BR"/>
        </w:rPr>
        <mc:AlternateContent>
          <mc:Choice Requires="wps">
            <w:drawing>
              <wp:anchor distT="0" distB="0" distL="114300" distR="114300" simplePos="0" relativeHeight="252028928" behindDoc="0" locked="0" layoutInCell="1" allowOverlap="1">
                <wp:simplePos x="0" y="0"/>
                <wp:positionH relativeFrom="margin">
                  <wp:align>left</wp:align>
                </wp:positionH>
                <wp:positionV relativeFrom="paragraph">
                  <wp:posOffset>101600</wp:posOffset>
                </wp:positionV>
                <wp:extent cx="5753100" cy="419100"/>
                <wp:effectExtent l="0" t="0" r="0" b="0"/>
                <wp:wrapNone/>
                <wp:docPr id="739657954" name="Caixa de texto 739657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419100"/>
                        </a:xfrm>
                        <a:prstGeom prst="rect">
                          <a:avLst/>
                        </a:prstGeom>
                        <a:solidFill>
                          <a:schemeClr val="bg2">
                            <a:lumMod val="100000"/>
                            <a:lumOff val="0"/>
                          </a:schemeClr>
                        </a:solidFill>
                        <a:ln>
                          <a:noFill/>
                        </a:ln>
                      </wps:spPr>
                      <wps:txbx>
                        <w:txbxContent>
                          <w:p w14:paraId="65A21BF2" w14:textId="77777777" w:rsidR="00FA41FC" w:rsidRDefault="00FA41FC">
                            <w:pPr>
                              <w:pStyle w:val="Corpo"/>
                              <w:spacing w:line="276" w:lineRule="auto"/>
                              <w:rPr>
                                <w:rFonts w:hint="eastAsia"/>
                                <w:color w:val="404040" w:themeColor="text1" w:themeTint="BF"/>
                                <w:sz w:val="18"/>
                                <w:szCs w:val="18"/>
                              </w:rPr>
                            </w:pPr>
                            <w:r>
                              <w:rPr>
                                <w:color w:val="404040" w:themeColor="text1" w:themeTint="BF"/>
                                <w:sz w:val="18"/>
                                <w:szCs w:val="18"/>
                              </w:rPr>
                              <w:t xml:space="preserve">*Oliva é um extrato 100% natural obtido do fruto da oliveira e padronizado em 10% de hidroxitirosol.  </w:t>
                            </w:r>
                          </w:p>
                        </w:txbxContent>
                      </wps:txbx>
                      <wps:bodyPr rot="0" vert="horz" wrap="square" lIns="91440" tIns="45720" rIns="91440" bIns="45720" anchor="t" anchorCtr="0" upright="1">
                        <a:noAutofit/>
                      </wps:bodyPr>
                    </wps:wsp>
                  </a:graphicData>
                </a:graphic>
              </wp:anchor>
            </w:drawing>
          </mc:Choice>
          <mc:Fallback>
            <w:pict>
              <v:shape id="Caixa de texto 739657954" o:spid="_x0000_s1271" type="#_x0000_t202" style="position:absolute;margin-left:0;margin-top:8pt;width:453pt;height:33pt;z-index:25202892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" fillcolor="#e7e6e6 [3214]" stroked="f">
                <v:textbox>
                  <w:txbxContent>
                    <w:p w14:paraId="65A21BF2" w14:textId="77777777" w:rsidR="00FA41FC" w:rsidRDefault="00FA41FC">
                      <w:pPr>
                        <w:pStyle w:val="Corpo"/>
                        <w:spacing w:line="276" w:lineRule="auto"/>
                        <w:rPr>
                          <w:rFonts w:hint="eastAsia"/>
                          <w:color w:val="404040" w:themeColor="text1" w:themeTint="BF"/>
                          <w:sz w:val="18"/>
                          <w:szCs w:val="18"/>
                        </w:rPr>
                      </w:pPr>
                      <w:r>
                        <w:rPr>
                          <w:color w:val="404040" w:themeColor="text1" w:themeTint="BF"/>
                          <w:sz w:val="18"/>
                          <w:szCs w:val="18"/>
                        </w:rPr>
                        <w:t xml:space="preserve">*Oliva é um extrato 100% natural obtido do fruto da oliveira e padronizado em 10% de hidroxitirosol.  </w:t>
                      </w:r>
                    </w:p>
                  </w:txbxContent>
                </v:textbox>
                <w10:wrap anchorx="margin"/>
              </v:shape>
            </w:pict>
          </mc:Fallback>
        </mc:AlternateContent>
      </w:r>
    </w:p>
    <w:p w14:paraId="1716F440" w14:textId="77777777" w:rsidR="00CD65C2" w:rsidRDefault="00CD65C2">
      <w:pPr>
        <w:pStyle w:val="Corpo"/>
        <w:ind w:right="3969"/>
        <w:jc w:val="left"/>
        <w:rPr>
          <w:rFonts w:hint="eastAsia"/>
          <w:color w:val="404040" w:themeColor="text1" w:themeTint="BF"/>
          <w:sz w:val="16"/>
          <w:szCs w:val="16"/>
        </w:rPr>
      </w:pPr>
    </w:p>
    <w:p w14:paraId="66A4ECDA" w14:textId="77777777" w:rsidR="00CD65C2" w:rsidRDefault="00CD65C2">
      <w:pPr>
        <w:pStyle w:val="Corpo"/>
        <w:ind w:right="3969"/>
        <w:jc w:val="left"/>
        <w:rPr>
          <w:rFonts w:hint="eastAsia"/>
          <w:color w:val="404040" w:themeColor="text1" w:themeTint="BF"/>
          <w:sz w:val="16"/>
          <w:szCs w:val="16"/>
        </w:rPr>
      </w:pPr>
    </w:p>
    <w:p w14:paraId="601F4A79" w14:textId="77777777" w:rsidR="00CD65C2" w:rsidRDefault="00CD65C2">
      <w:pPr>
        <w:pStyle w:val="Corpo"/>
        <w:spacing w:line="276" w:lineRule="auto"/>
        <w:rPr>
          <w:rFonts w:hint="eastAsia"/>
          <w:b/>
          <w:color w:val="404040" w:themeColor="text1" w:themeTint="BF"/>
        </w:rPr>
      </w:pPr>
    </w:p>
    <w:p w14:paraId="2B78F7A6" w14:textId="77777777" w:rsidR="00CD65C2" w:rsidRDefault="00CD65C2">
      <w:pPr>
        <w:pStyle w:val="Corpo"/>
        <w:spacing w:line="276" w:lineRule="auto"/>
        <w:rPr>
          <w:rFonts w:hint="eastAsia"/>
          <w:b/>
          <w:color w:val="404040" w:themeColor="text1" w:themeTint="BF"/>
        </w:rPr>
      </w:pPr>
    </w:p>
    <w:p w14:paraId="5AC1602A" w14:textId="77777777" w:rsidR="00CD65C2" w:rsidRDefault="00CD65C2">
      <w:pPr>
        <w:pStyle w:val="Corpo"/>
        <w:spacing w:line="276" w:lineRule="auto"/>
        <w:rPr>
          <w:rFonts w:hint="eastAsia"/>
          <w:b/>
          <w:color w:val="404040" w:themeColor="text1" w:themeTint="BF"/>
        </w:rPr>
      </w:pPr>
    </w:p>
    <w:p w14:paraId="47930253" w14:textId="77777777" w:rsidR="00CD65C2" w:rsidRDefault="00CD65C2">
      <w:pPr>
        <w:pStyle w:val="Corpo"/>
        <w:spacing w:line="276" w:lineRule="auto"/>
        <w:rPr>
          <w:rFonts w:hint="eastAsia"/>
          <w:b/>
          <w:color w:val="404040" w:themeColor="text1" w:themeTint="BF"/>
        </w:rPr>
      </w:pPr>
    </w:p>
    <w:p w14:paraId="6DCD0689" w14:textId="77777777" w:rsidR="00CD65C2" w:rsidRDefault="00CD65C2">
      <w:pPr>
        <w:pStyle w:val="Corpo"/>
        <w:spacing w:line="276" w:lineRule="auto"/>
        <w:rPr>
          <w:rFonts w:hint="eastAsia"/>
          <w:b/>
          <w:color w:val="404040" w:themeColor="text1" w:themeTint="BF"/>
        </w:rPr>
      </w:pPr>
    </w:p>
    <w:p w14:paraId="6D80B48C" w14:textId="77777777" w:rsidR="00CD65C2" w:rsidRDefault="00CD65C2">
      <w:pPr>
        <w:pStyle w:val="Corpo"/>
        <w:spacing w:line="276" w:lineRule="auto"/>
        <w:rPr>
          <w:rFonts w:hint="eastAsia"/>
          <w:b/>
          <w:color w:val="404040" w:themeColor="text1" w:themeTint="BF"/>
        </w:rPr>
      </w:pPr>
    </w:p>
    <w:p w14:paraId="7D9B4595" w14:textId="77777777" w:rsidR="00CD65C2" w:rsidRDefault="00CD65C2">
      <w:pPr>
        <w:pStyle w:val="Corpo"/>
        <w:spacing w:line="276" w:lineRule="auto"/>
        <w:rPr>
          <w:rFonts w:hint="eastAsia"/>
          <w:b/>
          <w:color w:val="404040" w:themeColor="text1" w:themeTint="BF"/>
        </w:rPr>
      </w:pPr>
    </w:p>
    <w:p w14:paraId="48C96688" w14:textId="77777777" w:rsidR="00CD65C2" w:rsidRDefault="00CD65C2">
      <w:pPr>
        <w:pStyle w:val="Corpo"/>
        <w:spacing w:line="276" w:lineRule="auto"/>
        <w:rPr>
          <w:rFonts w:hint="eastAsia"/>
          <w:b/>
          <w:color w:val="404040" w:themeColor="text1" w:themeTint="BF"/>
        </w:rPr>
      </w:pPr>
    </w:p>
    <w:p w14:paraId="716F3D8E" w14:textId="77777777" w:rsidR="00CD65C2" w:rsidRDefault="00CD65C2">
      <w:pPr>
        <w:pStyle w:val="Corpo"/>
        <w:spacing w:line="276" w:lineRule="auto"/>
        <w:rPr>
          <w:rFonts w:hint="eastAsia"/>
          <w:b/>
          <w:color w:val="404040" w:themeColor="text1" w:themeTint="BF"/>
        </w:rPr>
      </w:pPr>
    </w:p>
    <w:p w14:paraId="53995BBC" w14:textId="77777777" w:rsidR="00CD65C2" w:rsidRDefault="00CD65C2">
      <w:pPr>
        <w:pStyle w:val="Corpo"/>
        <w:spacing w:line="276" w:lineRule="auto"/>
        <w:rPr>
          <w:rFonts w:hint="eastAsia"/>
          <w:b/>
          <w:color w:val="404040" w:themeColor="text1" w:themeTint="BF"/>
        </w:rPr>
      </w:pPr>
    </w:p>
    <w:p w14:paraId="3D610B8C" w14:textId="77777777" w:rsidR="00CD65C2" w:rsidRDefault="00CD65C2">
      <w:pPr>
        <w:pStyle w:val="Corpo"/>
        <w:spacing w:line="276" w:lineRule="auto"/>
        <w:rPr>
          <w:rFonts w:hint="eastAsia"/>
          <w:b/>
          <w:color w:val="404040" w:themeColor="text1" w:themeTint="BF"/>
        </w:rPr>
      </w:pPr>
    </w:p>
    <w:p w14:paraId="4F04C1F1" w14:textId="77777777" w:rsidR="00CD65C2" w:rsidRDefault="00CD65C2">
      <w:pPr>
        <w:pStyle w:val="Corpo"/>
        <w:spacing w:line="276" w:lineRule="auto"/>
        <w:rPr>
          <w:rFonts w:hint="eastAsia"/>
          <w:b/>
          <w:color w:val="404040" w:themeColor="text1" w:themeTint="BF"/>
        </w:rPr>
      </w:pPr>
    </w:p>
    <w:p w14:paraId="04910A5A" w14:textId="77777777" w:rsidR="00CD65C2" w:rsidRDefault="00FA41FC">
      <w:pPr>
        <w:pStyle w:val="Ttulo1"/>
        <w:jc w:val="center"/>
        <w:rPr>
          <w:rFonts w:hint="eastAsia"/>
        </w:rPr>
      </w:pPr>
      <w:bookmarkStart w:id="191" w:name="_Toc165537338"/>
      <w:r>
        <w:rPr>
          <w:bCs/>
          <w:iCs/>
        </w:rPr>
        <w:t>Curcumina</w:t>
      </w:r>
      <w:bookmarkEnd w:id="191"/>
    </w:p>
    <w:p w14:paraId="4B46E354" w14:textId="77777777" w:rsidR="00CD65C2" w:rsidRPr="00D1428E" w:rsidRDefault="00FA41FC">
      <w:pPr>
        <w:pStyle w:val="Corpo"/>
        <w:jc w:val="center"/>
        <w:rPr>
          <w:rFonts w:hint="eastAsia"/>
          <w:color w:val="0070C0"/>
          <w:sz w:val="24"/>
        </w:rPr>
      </w:pPr>
      <w:r w:rsidRPr="00D1428E">
        <w:rPr>
          <w:b/>
          <w:color w:val="0070C0"/>
          <w:sz w:val="40"/>
        </w:rPr>
        <w:t>Melhora a Qualidade de Vida e os Sintomas Relacionados ao Câncer em Pacientes com Câncer de Mama</w:t>
      </w:r>
    </w:p>
    <w:p w14:paraId="798BF60A" w14:textId="77777777" w:rsidR="00CD65C2" w:rsidRDefault="00CD65C2">
      <w:pPr>
        <w:pStyle w:val="Corpo"/>
        <w:spacing w:after="120"/>
        <w:rPr>
          <w:rFonts w:hint="eastAsia"/>
          <w:color w:val="404040" w:themeColor="text1" w:themeTint="BF"/>
          <w:sz w:val="24"/>
        </w:rPr>
      </w:pPr>
    </w:p>
    <w:p w14:paraId="096AC663" w14:textId="7F4146F6" w:rsidR="00CD65C2" w:rsidRDefault="00FA41FC">
      <w:pPr>
        <w:pStyle w:val="Corpo"/>
        <w:rPr>
          <w:rFonts w:hint="eastAsia"/>
          <w:color w:val="404040" w:themeColor="text1" w:themeTint="BF"/>
          <w:sz w:val="24"/>
        </w:rPr>
      </w:pPr>
      <w:r>
        <w:rPr>
          <w:color w:val="404040" w:themeColor="text1" w:themeTint="BF"/>
          <w:sz w:val="24"/>
        </w:rPr>
        <w:t xml:space="preserve">Um estudo prospectivo de série de casos foi conduzido por Hindu Kalluru </w:t>
      </w:r>
      <w:r>
        <w:rPr>
          <w:i/>
          <w:iCs/>
          <w:color w:val="404040" w:themeColor="text1" w:themeTint="BF"/>
          <w:sz w:val="24"/>
        </w:rPr>
        <w:t xml:space="preserve">et al. </w:t>
      </w:r>
      <w:r>
        <w:rPr>
          <w:color w:val="404040" w:themeColor="text1" w:themeTint="BF"/>
          <w:sz w:val="24"/>
        </w:rPr>
        <w:t>(2020) teve como objetivo avaliar os efeitos da suplementação de cúrcuma na qualidade de vida (QV) e parâmetros hematológicos em pacientes com câncer de mama em quimioterapia com Paclitaxel.</w:t>
      </w:r>
    </w:p>
    <w:p w14:paraId="6049750B" w14:textId="77777777" w:rsidR="00CD65C2" w:rsidRDefault="00CD65C2">
      <w:pPr>
        <w:pStyle w:val="Corpo"/>
        <w:rPr>
          <w:rFonts w:hint="eastAsia"/>
          <w:color w:val="404040" w:themeColor="text1" w:themeTint="BF"/>
          <w:sz w:val="24"/>
        </w:rPr>
      </w:pPr>
    </w:p>
    <w:p w14:paraId="7D1BFFDC"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2029952" behindDoc="0" locked="0" layoutInCell="1" allowOverlap="1">
                <wp:simplePos x="0" y="0"/>
                <wp:positionH relativeFrom="margin">
                  <wp:posOffset>8255</wp:posOffset>
                </wp:positionH>
                <wp:positionV relativeFrom="paragraph">
                  <wp:posOffset>96520</wp:posOffset>
                </wp:positionV>
                <wp:extent cx="5747385" cy="518160"/>
                <wp:effectExtent l="0" t="0" r="24765" b="15240"/>
                <wp:wrapNone/>
                <wp:docPr id="739657958" name="Caixa de texto 7396579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7658" cy="518160"/>
                        </a:xfrm>
                        <a:prstGeom prst="rect">
                          <a:avLst/>
                        </a:prstGeom>
                        <a:solidFill>
                          <a:schemeClr val="bg1">
                            <a:lumMod val="100000"/>
                            <a:lumOff val="0"/>
                          </a:schemeClr>
                        </a:solidFill>
                        <a:ln w="9525">
                          <a:solidFill>
                            <a:srgbClr val="0070C0"/>
                          </a:solidFill>
                          <a:miter lim="800000"/>
                        </a:ln>
                      </wps:spPr>
                      <wps:txbx>
                        <w:txbxContent>
                          <w:p w14:paraId="35E53D04" w14:textId="77777777" w:rsidR="00FA41FC" w:rsidRDefault="00FA41FC">
                            <w:pPr>
                              <w:jc w:val="center"/>
                              <w:rPr>
                                <w:rFonts w:ascii="Swis721 Th BT" w:hAnsi="Swis721 Th BT"/>
                                <w:sz w:val="23"/>
                                <w:szCs w:val="23"/>
                              </w:rPr>
                            </w:pPr>
                            <w:r>
                              <w:rPr>
                                <w:rFonts w:ascii="Swis721 Th BT" w:hAnsi="Swis721 Th BT"/>
                                <w:sz w:val="23"/>
                                <w:szCs w:val="23"/>
                              </w:rPr>
                              <w:t xml:space="preserve">Para isso, 60 pacientes com idade entre 18 e 75 anos foram selecionados e para receberam durante 21 dias: </w:t>
                            </w:r>
                          </w:p>
                        </w:txbxContent>
                      </wps:txbx>
                      <wps:bodyPr rot="0" vert="horz" wrap="square" lIns="91440" tIns="45720" rIns="91440" bIns="45720" anchor="t" anchorCtr="0" upright="1">
                        <a:noAutofit/>
                      </wps:bodyPr>
                    </wps:wsp>
                  </a:graphicData>
                </a:graphic>
              </wp:anchor>
            </w:drawing>
          </mc:Choice>
          <mc:Fallback>
            <w:pict>
              <v:shape id="Caixa de texto 739657958" o:spid="_x0000_s1272" type="#_x0000_t202" style="position:absolute;left:0;text-align:left;margin-left:.65pt;margin-top:7.6pt;width:452.55pt;height:40.8pt;z-index:2520299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" fillcolor="white [3212]" strokecolor="#0070c0">
                <v:textbox>
                  <w:txbxContent>
                    <w:p w14:paraId="35E53D04" w14:textId="77777777" w:rsidR="00FA41FC" w:rsidRDefault="00FA41FC">
                      <w:pPr>
                        <w:jc w:val="center"/>
                        <w:rPr>
                          <w:rFonts w:ascii="Swis721 Th BT" w:hAnsi="Swis721 Th BT"/>
                          <w:sz w:val="23"/>
                          <w:szCs w:val="23"/>
                        </w:rPr>
                      </w:pPr>
                      <w:r>
                        <w:rPr>
                          <w:rFonts w:ascii="Swis721 Th BT" w:hAnsi="Swis721 Th BT"/>
                          <w:sz w:val="23"/>
                          <w:szCs w:val="23"/>
                        </w:rPr>
                        <w:t xml:space="preserve">Para isso, 60 pacientes com idade entre 18 e 75 anos foram selecionados e para receberam durante 21 dias: </w:t>
                      </w:r>
                    </w:p>
                  </w:txbxContent>
                </v:textbox>
                <w10:wrap anchorx="margin"/>
              </v:shape>
            </w:pict>
          </mc:Fallback>
        </mc:AlternateContent>
      </w:r>
      <w:r>
        <w:rPr>
          <w:color w:val="404040" w:themeColor="text1" w:themeTint="BF"/>
          <w:sz w:val="24"/>
        </w:rPr>
        <w:br/>
      </w:r>
    </w:p>
    <w:p w14:paraId="36629181" w14:textId="77777777" w:rsidR="00CD65C2" w:rsidRDefault="00CD65C2">
      <w:pPr>
        <w:pStyle w:val="Corpo"/>
        <w:rPr>
          <w:rFonts w:hint="eastAsia"/>
          <w:color w:val="404040" w:themeColor="text1" w:themeTint="BF"/>
        </w:rPr>
      </w:pPr>
    </w:p>
    <w:p w14:paraId="7E74CD8A" w14:textId="77777777" w:rsidR="00CD65C2" w:rsidRDefault="00CD65C2">
      <w:pPr>
        <w:pStyle w:val="Corpo"/>
        <w:rPr>
          <w:rFonts w:hint="eastAsia"/>
          <w:color w:val="404040" w:themeColor="text1" w:themeTint="BF"/>
        </w:rPr>
      </w:pPr>
    </w:p>
    <w:p w14:paraId="61FE1281"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2032000" behindDoc="0" locked="0" layoutInCell="1" allowOverlap="1">
                <wp:simplePos x="0" y="0"/>
                <wp:positionH relativeFrom="column">
                  <wp:posOffset>2795270</wp:posOffset>
                </wp:positionH>
                <wp:positionV relativeFrom="paragraph">
                  <wp:posOffset>10795</wp:posOffset>
                </wp:positionV>
                <wp:extent cx="226695" cy="138430"/>
                <wp:effectExtent l="0" t="0" r="1905" b="0"/>
                <wp:wrapNone/>
                <wp:docPr id="739657959" name="Triângulo isósceles 7396579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959" o:spid="_x0000_s1026" o:spt="5" type="#_x0000_t5" style="position:absolute;left:0pt;flip:y;margin-left:220.1pt;margin-top:0.85pt;height:10.9pt;width:17.85pt;z-index:252032000;mso-width-relative:page;mso-height-relative:page;" fillcolor="#D9D9D9 [3212]" filled="t" stroked="f" coordsize="21600,21600" o:gfxdata="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VBOznXAAAACAEAAA8AAAAAAAAAAQAgAAAAIgAAAGRycy9kb3ducmV2LnhtbFBLAQIUABQAAAAI&#10;AIdO4kAiYXF1YAIAALMEAAAOAAAAAAAAAAEAIAAAACYBAABkcnMvZTJvRG9jLnhtbFBLBQYAAAAA&#10;BgAGAFkBAAD4BQAAAAA=&#10;" adj="10800">
                <v:fill on="t" focussize="0,0"/>
                <v:stroke on="f"/>
                <v:imagedata o:title=""/>
                <o:lock v:ext="edit" aspectratio="f"/>
              </v:shape>
            </w:pict>
          </mc:Fallback>
        </mc:AlternateContent>
      </w:r>
    </w:p>
    <w:p w14:paraId="6B18C3F0"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2030976" behindDoc="0" locked="0" layoutInCell="1" allowOverlap="1">
                <wp:simplePos x="0" y="0"/>
                <wp:positionH relativeFrom="column">
                  <wp:posOffset>1976755</wp:posOffset>
                </wp:positionH>
                <wp:positionV relativeFrom="paragraph">
                  <wp:posOffset>22860</wp:posOffset>
                </wp:positionV>
                <wp:extent cx="1913890" cy="781685"/>
                <wp:effectExtent l="0" t="0" r="10160" b="18415"/>
                <wp:wrapNone/>
                <wp:docPr id="739657960" name="Caixa de texto 7396579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0070C0"/>
                        </a:solidFill>
                        <a:ln w="9525">
                          <a:solidFill>
                            <a:srgbClr val="0070C0"/>
                          </a:solidFill>
                          <a:miter lim="800000"/>
                        </a:ln>
                      </wps:spPr>
                      <wps:txbx>
                        <w:txbxContent>
                          <w:p w14:paraId="59087588"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Tratamento </w:t>
                            </w:r>
                            <w:r>
                              <w:rPr>
                                <w:rFonts w:ascii="Swis721 Th BT" w:hAnsi="Swis721 Th BT"/>
                                <w:b/>
                                <w:color w:val="FFFFFF" w:themeColor="background1"/>
                                <w:sz w:val="23"/>
                                <w:szCs w:val="23"/>
                              </w:rPr>
                              <w:br/>
                            </w:r>
                            <w:r>
                              <w:rPr>
                                <w:rFonts w:ascii="Swis721 Th BT" w:hAnsi="Swis721 Th BT"/>
                                <w:color w:val="FFFFFF" w:themeColor="background1"/>
                                <w:sz w:val="23"/>
                                <w:szCs w:val="23"/>
                              </w:rPr>
                              <w:t>Cúrcuma 500 mg</w:t>
                            </w:r>
                          </w:p>
                          <w:p w14:paraId="3491B700"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 xml:space="preserve">Duas cápsulas duas vezes ao dia </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739657960" o:spid="_x0000_s1273" type="#_x0000_t202" style="position:absolute;left:0;text-align:left;margin-left:155.65pt;margin-top:1.8pt;width:150.7pt;height:61.55pt;z-index:252030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" fillcolor="#0070c0" strokecolor="#0070c0">
                <v:textbox>
                  <w:txbxContent>
                    <w:p w14:paraId="59087588"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Tratamento </w:t>
                      </w:r>
                      <w:r>
                        <w:rPr>
                          <w:rFonts w:ascii="Swis721 Th BT" w:hAnsi="Swis721 Th BT"/>
                          <w:b/>
                          <w:color w:val="FFFFFF" w:themeColor="background1"/>
                          <w:sz w:val="23"/>
                          <w:szCs w:val="23"/>
                        </w:rPr>
                        <w:br/>
                      </w:r>
                      <w:r>
                        <w:rPr>
                          <w:rFonts w:ascii="Swis721 Th BT" w:hAnsi="Swis721 Th BT"/>
                          <w:color w:val="FFFFFF" w:themeColor="background1"/>
                          <w:sz w:val="23"/>
                          <w:szCs w:val="23"/>
                        </w:rPr>
                        <w:t>Cúrcuma 500 mg</w:t>
                      </w:r>
                    </w:p>
                    <w:p w14:paraId="3491B700"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 xml:space="preserve">Duas cápsulas duas vezes ao dia </w:t>
                      </w:r>
                      <w:r>
                        <w:rPr>
                          <w:rFonts w:ascii="Swis721 Th BT" w:hAnsi="Swis721 Th BT"/>
                          <w:color w:val="FFFFFF" w:themeColor="background1"/>
                          <w:szCs w:val="23"/>
                        </w:rPr>
                        <w:t xml:space="preserve"> </w:t>
                      </w:r>
                    </w:p>
                  </w:txbxContent>
                </v:textbox>
              </v:shape>
            </w:pict>
          </mc:Fallback>
        </mc:AlternateContent>
      </w:r>
    </w:p>
    <w:p w14:paraId="5526579C" w14:textId="77777777" w:rsidR="00CD65C2" w:rsidRDefault="00CD65C2">
      <w:pPr>
        <w:pStyle w:val="Corpo"/>
        <w:rPr>
          <w:rFonts w:hint="eastAsia"/>
          <w:color w:val="404040" w:themeColor="text1" w:themeTint="BF"/>
        </w:rPr>
      </w:pPr>
    </w:p>
    <w:p w14:paraId="3AFBE8FE" w14:textId="77777777" w:rsidR="00CD65C2" w:rsidRDefault="00CD65C2">
      <w:pPr>
        <w:pStyle w:val="Corpo"/>
        <w:rPr>
          <w:rFonts w:hint="eastAsia"/>
          <w:color w:val="404040" w:themeColor="text1" w:themeTint="BF"/>
        </w:rPr>
      </w:pPr>
    </w:p>
    <w:p w14:paraId="6D2632A2" w14:textId="77777777" w:rsidR="00CD65C2" w:rsidRDefault="00CD65C2">
      <w:pPr>
        <w:pStyle w:val="Corpo"/>
        <w:spacing w:before="120"/>
        <w:rPr>
          <w:rFonts w:hint="eastAsia"/>
          <w:color w:val="404040" w:themeColor="text1" w:themeTint="BF"/>
          <w:sz w:val="20"/>
        </w:rPr>
      </w:pPr>
    </w:p>
    <w:p w14:paraId="6D71734D" w14:textId="77777777" w:rsidR="00CD65C2" w:rsidRDefault="00FA41FC">
      <w:pPr>
        <w:pStyle w:val="Corpo"/>
        <w:numPr>
          <w:ilvl w:val="0"/>
          <w:numId w:val="4"/>
        </w:numPr>
        <w:spacing w:before="120" w:after="0"/>
        <w:ind w:left="360"/>
        <w:rPr>
          <w:rFonts w:hint="eastAsia"/>
          <w:b/>
          <w:color w:val="339966"/>
          <w:sz w:val="25"/>
          <w:szCs w:val="25"/>
          <w14:textFill>
            <w14:solidFill>
              <w14:srgbClr w14:val="339966">
                <w14:lumMod w14:val="75000"/>
                <w14:lumOff w14:val="25000"/>
              </w14:srgbClr>
            </w14:solidFill>
          </w14:textFill>
        </w:rPr>
      </w:pPr>
      <w:r>
        <w:rPr>
          <w:color w:val="404040" w:themeColor="text1" w:themeTint="BF"/>
          <w:sz w:val="20"/>
          <w:szCs w:val="23"/>
        </w:rPr>
        <w:t>A qualidade de vida foi avaliada por meio de um questionário padrão e os parâmetros hematológicos foram registrados nos prontuários dos pacientes.</w:t>
      </w:r>
    </w:p>
    <w:p w14:paraId="346133F4" w14:textId="77777777" w:rsidR="00CD65C2" w:rsidRDefault="00CD65C2">
      <w:pPr>
        <w:pStyle w:val="Corpo"/>
        <w:ind w:left="360"/>
        <w:rPr>
          <w:rFonts w:hint="eastAsia"/>
          <w:color w:val="404040" w:themeColor="text1" w:themeTint="BF"/>
        </w:rPr>
      </w:pPr>
    </w:p>
    <w:p w14:paraId="1012EF89" w14:textId="77777777" w:rsidR="00CD65C2" w:rsidRDefault="00CD65C2">
      <w:pPr>
        <w:pStyle w:val="Corpo"/>
        <w:rPr>
          <w:rFonts w:hint="eastAsia"/>
          <w:color w:val="404040" w:themeColor="text1" w:themeTint="BF"/>
        </w:rPr>
      </w:pPr>
    </w:p>
    <w:p w14:paraId="417C10B8"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4F9A344A" w14:textId="77777777"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Houve uma melhora significativa no estado de saúde geral após o consumo de cúrcuma por 21 dias (p = 0,004);</w:t>
      </w:r>
    </w:p>
    <w:p w14:paraId="69D4E5BA" w14:textId="064C449B"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Houve uma diferença significativa nos escores de sintomas relacionados ao câncer, como fadiga (p = 0,000), náuseas e vômitos (p = 0,026), dor (p = 0,000), insônia (p = 0,000), perda de apetite (p = 0,000), constipação (p = 0,000) e diarreia (p = 0,033);</w:t>
      </w:r>
    </w:p>
    <w:p w14:paraId="277E1186" w14:textId="47E5F46B"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Foi observado uma diferença significativa na média de hemoglobina (p = 0,001), glóbulos brancos totais (WBC; p = 0,001) e neutrófilos (p = 0,03) em comparação ao antes e depois do tratamento com cúrcuma.</w:t>
      </w:r>
    </w:p>
    <w:p w14:paraId="2A730C4F"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1AAC093E"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54EB617E"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65081409" w14:textId="77777777" w:rsidR="00CD65C2" w:rsidRDefault="00FA41FC">
      <w:pPr>
        <w:jc w:val="center"/>
        <w:rPr>
          <w:rFonts w:ascii="Swis721 Th BT" w:hAnsi="Swis721 Th BT"/>
          <w:b/>
          <w:bCs/>
          <w:i/>
          <w:sz w:val="23"/>
          <w:szCs w:val="23"/>
        </w:rPr>
      </w:pPr>
      <w:r>
        <w:rPr>
          <w:rFonts w:ascii="Swis721 Th BT" w:eastAsia="MS Mincho" w:hAnsi="Swis721 Th BT"/>
          <w:b/>
          <w:i/>
          <w:color w:val="404040" w:themeColor="text1" w:themeTint="BF"/>
          <w:sz w:val="23"/>
          <w:szCs w:val="24"/>
        </w:rPr>
        <w:t>Os resultados do estudo mostram que a suplementação de cúrcuma melhorou a qualidade de vida, os sintomas associados e aumentou os parâmetros hematológicos em pacientes com câncer de mama</w:t>
      </w:r>
      <w:r>
        <w:rPr>
          <w:rFonts w:ascii="Swis721 Th BT" w:hAnsi="Swis721 Th BT"/>
          <w:b/>
          <w:bCs/>
          <w:i/>
          <w:sz w:val="23"/>
          <w:szCs w:val="23"/>
        </w:rPr>
        <w:t>.</w:t>
      </w:r>
      <w:r>
        <w:rPr>
          <w:rFonts w:ascii="Swis721 Th BT" w:hAnsi="Swis721 Th BT"/>
          <w:b/>
          <w:i/>
          <w:sz w:val="23"/>
          <w:szCs w:val="23"/>
        </w:rPr>
        <w:t xml:space="preserve">    </w:t>
      </w:r>
    </w:p>
    <w:p w14:paraId="01F58161" w14:textId="77777777" w:rsidR="00CD65C2" w:rsidRDefault="00FA41FC">
      <w:pPr>
        <w:pStyle w:val="Ttulo1"/>
        <w:jc w:val="center"/>
        <w:rPr>
          <w:rFonts w:hint="eastAsia"/>
        </w:rPr>
      </w:pPr>
      <w:bookmarkStart w:id="192" w:name="_Toc165537339"/>
      <w:r>
        <w:rPr>
          <w:rStyle w:val="Ttulo1Char"/>
          <w:b/>
        </w:rPr>
        <w:t>Formulário</w:t>
      </w:r>
      <w:bookmarkEnd w:id="192"/>
    </w:p>
    <w:p w14:paraId="42710D20" w14:textId="77777777" w:rsidR="00CD65C2" w:rsidRDefault="00CD65C2">
      <w:pPr>
        <w:pStyle w:val="Corpo"/>
        <w:rPr>
          <w:rFonts w:hint="eastAsia"/>
          <w:b/>
          <w:i/>
          <w:color w:val="404040" w:themeColor="text1" w:themeTint="BF"/>
        </w:rPr>
      </w:pPr>
    </w:p>
    <w:p w14:paraId="061168E3" w14:textId="77777777" w:rsidR="00CD65C2" w:rsidRDefault="00FA41FC">
      <w:pPr>
        <w:pStyle w:val="Corpo"/>
        <w:tabs>
          <w:tab w:val="left" w:pos="3555"/>
        </w:tabs>
        <w:rPr>
          <w:rFonts w:hint="eastAsia"/>
          <w:b/>
          <w:i/>
          <w:color w:val="404040" w:themeColor="text1" w:themeTint="BF"/>
        </w:rPr>
      </w:pPr>
      <w:r>
        <w:rPr>
          <w:b/>
          <w:i/>
          <w:color w:val="404040" w:themeColor="text1" w:themeTint="BF"/>
        </w:rPr>
        <w:tab/>
      </w:r>
    </w:p>
    <w:p w14:paraId="64F171ED" w14:textId="77777777" w:rsidR="00CD65C2" w:rsidRDefault="00FA41FC" w:rsidP="00D1428E">
      <w:pPr>
        <w:pStyle w:val="Subtitulocorpo"/>
        <w:jc w:val="left"/>
        <w:rPr>
          <w:rFonts w:hint="eastAsia"/>
          <w:i/>
          <w:color w:val="404040" w:themeColor="text1" w:themeTint="BF"/>
          <w:sz w:val="24"/>
          <w:szCs w:val="24"/>
        </w:rPr>
      </w:pPr>
      <w:r>
        <w:rPr>
          <w:i/>
          <w:color w:val="404040" w:themeColor="text1" w:themeTint="BF"/>
          <w:sz w:val="24"/>
          <w:szCs w:val="24"/>
        </w:rPr>
        <w:t>Cúrcuma Reduz Melhora a Qualidade de Vida e os Sintomas Associados à Quimioterapia em Pacientes com Câncer de Mama</w:t>
      </w:r>
    </w:p>
    <w:p w14:paraId="1DAC8A69"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51BD6D64"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7F46948A" w14:textId="77777777" w:rsidR="00CD65C2" w:rsidRDefault="00FA41FC">
            <w:pPr>
              <w:pStyle w:val="Corpo"/>
              <w:jc w:val="center"/>
              <w:rPr>
                <w:rFonts w:hint="eastAsia"/>
                <w:b/>
                <w:color w:val="FFFFFF" w:themeColor="background1"/>
              </w:rPr>
            </w:pPr>
            <w:r>
              <w:rPr>
                <w:b/>
                <w:color w:val="FFFFFF" w:themeColor="background1"/>
                <w:sz w:val="22"/>
              </w:rPr>
              <w:t>Cápsulas de Cúrcuma</w:t>
            </w:r>
          </w:p>
        </w:tc>
      </w:tr>
      <w:tr w:rsidR="00CD65C2" w14:paraId="6F02637B"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B1A6786" w14:textId="77777777" w:rsidR="00CD65C2" w:rsidRDefault="00FA41FC">
            <w:pPr>
              <w:pStyle w:val="Corpo"/>
              <w:rPr>
                <w:rFonts w:hint="eastAsia"/>
                <w:color w:val="404040" w:themeColor="text1" w:themeTint="BF"/>
              </w:rPr>
            </w:pPr>
            <w:r>
              <w:rPr>
                <w:color w:val="404040" w:themeColor="text1" w:themeTint="BF"/>
              </w:rPr>
              <w:t>Cúrcuma........................................500 mg</w:t>
            </w:r>
          </w:p>
        </w:tc>
      </w:tr>
      <w:tr w:rsidR="00CD65C2" w14:paraId="68940AD5"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9AF63CA" w14:textId="5BDE7660" w:rsidR="00CD65C2" w:rsidRDefault="00FA41FC">
            <w:pPr>
              <w:pStyle w:val="Corpo"/>
              <w:rPr>
                <w:rFonts w:hint="eastAsia"/>
                <w:color w:val="404040" w:themeColor="text1" w:themeTint="BF"/>
              </w:rPr>
            </w:pPr>
            <w:r>
              <w:rPr>
                <w:color w:val="404040" w:themeColor="text1" w:themeTint="BF"/>
              </w:rPr>
              <w:t>Excipiente q.s.p. ........................1 Cápsula</w:t>
            </w:r>
          </w:p>
        </w:tc>
      </w:tr>
    </w:tbl>
    <w:p w14:paraId="12706E0A" w14:textId="77777777" w:rsidR="00CD65C2" w:rsidRDefault="00FA41FC">
      <w:pPr>
        <w:pStyle w:val="Corpo"/>
        <w:ind w:right="4960"/>
        <w:jc w:val="center"/>
        <w:rPr>
          <w:rFonts w:hint="eastAsia"/>
          <w:color w:val="404040" w:themeColor="text1" w:themeTint="BF"/>
          <w:sz w:val="22"/>
          <w:szCs w:val="22"/>
        </w:rPr>
      </w:pPr>
      <w:r>
        <w:rPr>
          <w:color w:val="404040" w:themeColor="text1" w:themeTint="BF"/>
          <w:sz w:val="22"/>
          <w:szCs w:val="22"/>
        </w:rPr>
        <w:t>Administrar 2 cápsulas duas vezes ao dia ou conforme orientação médica.</w:t>
      </w:r>
    </w:p>
    <w:p w14:paraId="7E3A353E" w14:textId="77777777" w:rsidR="00CD65C2" w:rsidRDefault="00CD65C2">
      <w:pPr>
        <w:pStyle w:val="Corpo"/>
        <w:spacing w:line="276" w:lineRule="auto"/>
        <w:rPr>
          <w:rFonts w:hint="eastAsia"/>
          <w:b/>
          <w:color w:val="404040" w:themeColor="text1" w:themeTint="BF"/>
        </w:rPr>
      </w:pPr>
    </w:p>
    <w:p w14:paraId="1A1993E5" w14:textId="77777777" w:rsidR="00CD65C2" w:rsidRDefault="00CD65C2">
      <w:pPr>
        <w:pStyle w:val="Corpo"/>
        <w:spacing w:line="276" w:lineRule="auto"/>
        <w:rPr>
          <w:rFonts w:hint="eastAsia"/>
          <w:b/>
          <w:color w:val="404040" w:themeColor="text1" w:themeTint="BF"/>
        </w:rPr>
      </w:pPr>
    </w:p>
    <w:p w14:paraId="624B8225" w14:textId="77777777" w:rsidR="00CD65C2" w:rsidRDefault="00CD65C2">
      <w:pPr>
        <w:pStyle w:val="Corpo"/>
        <w:spacing w:line="276" w:lineRule="auto"/>
        <w:rPr>
          <w:rFonts w:hint="eastAsia"/>
          <w:b/>
          <w:color w:val="404040" w:themeColor="text1" w:themeTint="BF"/>
        </w:rPr>
      </w:pPr>
    </w:p>
    <w:p w14:paraId="05CCAA00" w14:textId="77777777" w:rsidR="00CD65C2" w:rsidRDefault="00CD65C2">
      <w:pPr>
        <w:pStyle w:val="Corpo"/>
        <w:spacing w:line="276" w:lineRule="auto"/>
        <w:rPr>
          <w:rFonts w:hint="eastAsia"/>
          <w:b/>
          <w:color w:val="404040" w:themeColor="text1" w:themeTint="BF"/>
        </w:rPr>
      </w:pPr>
    </w:p>
    <w:p w14:paraId="17A26C56" w14:textId="77777777" w:rsidR="00CD65C2" w:rsidRDefault="00CD65C2">
      <w:pPr>
        <w:pStyle w:val="Corpo"/>
        <w:spacing w:line="276" w:lineRule="auto"/>
        <w:rPr>
          <w:rFonts w:hint="eastAsia"/>
          <w:b/>
          <w:color w:val="404040" w:themeColor="text1" w:themeTint="BF"/>
        </w:rPr>
      </w:pPr>
    </w:p>
    <w:p w14:paraId="4D22EAC5" w14:textId="77777777" w:rsidR="00CD65C2" w:rsidRDefault="00CD65C2">
      <w:pPr>
        <w:pStyle w:val="Corpo"/>
        <w:spacing w:line="276" w:lineRule="auto"/>
        <w:rPr>
          <w:rFonts w:hint="eastAsia"/>
          <w:b/>
          <w:color w:val="404040" w:themeColor="text1" w:themeTint="BF"/>
        </w:rPr>
      </w:pPr>
    </w:p>
    <w:p w14:paraId="4F956500" w14:textId="77777777" w:rsidR="00CD65C2" w:rsidRDefault="00CD65C2">
      <w:pPr>
        <w:pStyle w:val="Corpo"/>
        <w:spacing w:line="276" w:lineRule="auto"/>
        <w:rPr>
          <w:rFonts w:hint="eastAsia"/>
          <w:b/>
          <w:color w:val="404040" w:themeColor="text1" w:themeTint="BF"/>
        </w:rPr>
      </w:pPr>
    </w:p>
    <w:p w14:paraId="31509E3F" w14:textId="77777777" w:rsidR="00CD65C2" w:rsidRDefault="00CD65C2">
      <w:pPr>
        <w:pStyle w:val="Corpo"/>
        <w:spacing w:line="276" w:lineRule="auto"/>
        <w:rPr>
          <w:rFonts w:hint="eastAsia"/>
          <w:b/>
          <w:color w:val="404040" w:themeColor="text1" w:themeTint="BF"/>
        </w:rPr>
      </w:pPr>
    </w:p>
    <w:p w14:paraId="7CD3AA47" w14:textId="77777777" w:rsidR="00CD65C2" w:rsidRDefault="00CD65C2">
      <w:pPr>
        <w:pStyle w:val="Corpo"/>
        <w:spacing w:line="276" w:lineRule="auto"/>
        <w:rPr>
          <w:rFonts w:hint="eastAsia"/>
          <w:b/>
          <w:color w:val="404040" w:themeColor="text1" w:themeTint="BF"/>
        </w:rPr>
      </w:pPr>
    </w:p>
    <w:p w14:paraId="5F386C5D" w14:textId="77777777" w:rsidR="00CD65C2" w:rsidRDefault="00CD65C2">
      <w:pPr>
        <w:pStyle w:val="Corpo"/>
        <w:spacing w:line="276" w:lineRule="auto"/>
        <w:rPr>
          <w:rFonts w:hint="eastAsia"/>
          <w:b/>
          <w:color w:val="404040" w:themeColor="text1" w:themeTint="BF"/>
        </w:rPr>
      </w:pPr>
    </w:p>
    <w:p w14:paraId="12A20E52" w14:textId="77777777" w:rsidR="00CD65C2" w:rsidRDefault="00CD65C2">
      <w:pPr>
        <w:pStyle w:val="Corpo"/>
        <w:spacing w:line="276" w:lineRule="auto"/>
        <w:rPr>
          <w:rFonts w:hint="eastAsia"/>
          <w:b/>
          <w:color w:val="404040" w:themeColor="text1" w:themeTint="BF"/>
        </w:rPr>
      </w:pPr>
    </w:p>
    <w:p w14:paraId="6E0C0DCB" w14:textId="77777777" w:rsidR="00CD65C2" w:rsidRDefault="00CD65C2">
      <w:pPr>
        <w:pStyle w:val="Corpo"/>
        <w:spacing w:line="276" w:lineRule="auto"/>
        <w:rPr>
          <w:rFonts w:hint="eastAsia"/>
          <w:b/>
          <w:color w:val="404040" w:themeColor="text1" w:themeTint="BF"/>
        </w:rPr>
      </w:pPr>
    </w:p>
    <w:p w14:paraId="5F7A12D0" w14:textId="77777777" w:rsidR="00CD65C2" w:rsidRDefault="00CD65C2">
      <w:pPr>
        <w:pStyle w:val="Corpo"/>
        <w:spacing w:line="276" w:lineRule="auto"/>
        <w:rPr>
          <w:rFonts w:hint="eastAsia"/>
          <w:b/>
          <w:color w:val="404040" w:themeColor="text1" w:themeTint="BF"/>
        </w:rPr>
      </w:pPr>
    </w:p>
    <w:p w14:paraId="6930AF52" w14:textId="77777777" w:rsidR="00CD65C2" w:rsidRDefault="00CD65C2">
      <w:pPr>
        <w:pStyle w:val="Corpo"/>
        <w:spacing w:line="276" w:lineRule="auto"/>
        <w:rPr>
          <w:rFonts w:hint="eastAsia"/>
          <w:b/>
          <w:color w:val="404040" w:themeColor="text1" w:themeTint="BF"/>
        </w:rPr>
      </w:pPr>
    </w:p>
    <w:p w14:paraId="0BC2BD00" w14:textId="77777777" w:rsidR="00CD65C2" w:rsidRDefault="00CD65C2">
      <w:pPr>
        <w:pStyle w:val="Corpo"/>
        <w:spacing w:line="276" w:lineRule="auto"/>
        <w:rPr>
          <w:rFonts w:hint="eastAsia"/>
          <w:b/>
          <w:color w:val="404040" w:themeColor="text1" w:themeTint="BF"/>
        </w:rPr>
      </w:pPr>
    </w:p>
    <w:p w14:paraId="48D9652B" w14:textId="77777777" w:rsidR="00CD65C2" w:rsidRDefault="00CD65C2">
      <w:pPr>
        <w:pStyle w:val="Corpo"/>
        <w:spacing w:line="276" w:lineRule="auto"/>
        <w:rPr>
          <w:rFonts w:hint="eastAsia"/>
          <w:b/>
          <w:color w:val="404040" w:themeColor="text1" w:themeTint="BF"/>
        </w:rPr>
      </w:pPr>
    </w:p>
    <w:p w14:paraId="570AF6FD" w14:textId="77777777" w:rsidR="00CD65C2" w:rsidRDefault="00CD65C2">
      <w:pPr>
        <w:pStyle w:val="Corpo"/>
        <w:spacing w:line="276" w:lineRule="auto"/>
        <w:rPr>
          <w:rFonts w:hint="eastAsia"/>
          <w:b/>
          <w:color w:val="404040" w:themeColor="text1" w:themeTint="BF"/>
        </w:rPr>
      </w:pPr>
    </w:p>
    <w:p w14:paraId="5AB235FA" w14:textId="77777777" w:rsidR="00CD65C2" w:rsidRDefault="00CD65C2">
      <w:pPr>
        <w:pStyle w:val="Corpo"/>
        <w:spacing w:line="276" w:lineRule="auto"/>
        <w:rPr>
          <w:rFonts w:hint="eastAsia"/>
          <w:b/>
          <w:color w:val="404040" w:themeColor="text1" w:themeTint="BF"/>
        </w:rPr>
      </w:pPr>
    </w:p>
    <w:p w14:paraId="01CDB182" w14:textId="77777777" w:rsidR="00CD65C2" w:rsidRDefault="00CD65C2">
      <w:pPr>
        <w:pStyle w:val="Corpo"/>
        <w:spacing w:line="276" w:lineRule="auto"/>
        <w:rPr>
          <w:rFonts w:hint="eastAsia"/>
          <w:b/>
          <w:color w:val="404040" w:themeColor="text1" w:themeTint="BF"/>
        </w:rPr>
      </w:pPr>
    </w:p>
    <w:p w14:paraId="4B1F7B1A" w14:textId="77777777" w:rsidR="00CD65C2" w:rsidRDefault="00CD65C2">
      <w:pPr>
        <w:pStyle w:val="Corpo"/>
        <w:spacing w:line="276" w:lineRule="auto"/>
        <w:rPr>
          <w:rFonts w:hint="eastAsia"/>
          <w:b/>
          <w:color w:val="404040" w:themeColor="text1" w:themeTint="BF"/>
        </w:rPr>
      </w:pPr>
    </w:p>
    <w:p w14:paraId="11C27B1A" w14:textId="77777777" w:rsidR="00CD65C2" w:rsidRDefault="00CD65C2">
      <w:pPr>
        <w:pStyle w:val="Corpo"/>
        <w:spacing w:line="276" w:lineRule="auto"/>
        <w:rPr>
          <w:rFonts w:hint="eastAsia"/>
          <w:b/>
          <w:color w:val="404040" w:themeColor="text1" w:themeTint="BF"/>
        </w:rPr>
      </w:pPr>
    </w:p>
    <w:p w14:paraId="6CF95914" w14:textId="77777777" w:rsidR="00CD65C2" w:rsidRDefault="00CD65C2">
      <w:pPr>
        <w:pStyle w:val="Corpo"/>
        <w:spacing w:line="276" w:lineRule="auto"/>
        <w:rPr>
          <w:rFonts w:hint="eastAsia"/>
          <w:b/>
          <w:color w:val="404040" w:themeColor="text1" w:themeTint="BF"/>
        </w:rPr>
      </w:pPr>
    </w:p>
    <w:p w14:paraId="34DB3CCB" w14:textId="77777777" w:rsidR="00CD65C2" w:rsidRDefault="00CD65C2">
      <w:pPr>
        <w:pStyle w:val="Corpo"/>
        <w:spacing w:line="276" w:lineRule="auto"/>
        <w:rPr>
          <w:rFonts w:hint="eastAsia"/>
          <w:b/>
          <w:color w:val="404040" w:themeColor="text1" w:themeTint="BF"/>
        </w:rPr>
      </w:pPr>
    </w:p>
    <w:p w14:paraId="59B7FA35" w14:textId="77777777" w:rsidR="00CD65C2" w:rsidRDefault="00CD65C2">
      <w:pPr>
        <w:pStyle w:val="Corpo"/>
        <w:spacing w:line="276" w:lineRule="auto"/>
        <w:rPr>
          <w:rFonts w:hint="eastAsia"/>
          <w:b/>
          <w:color w:val="404040" w:themeColor="text1" w:themeTint="BF"/>
        </w:rPr>
      </w:pPr>
    </w:p>
    <w:p w14:paraId="0206A185" w14:textId="77777777" w:rsidR="00CD65C2" w:rsidRDefault="00CD65C2">
      <w:pPr>
        <w:pStyle w:val="Corpo"/>
        <w:spacing w:line="276" w:lineRule="auto"/>
        <w:rPr>
          <w:rFonts w:hint="eastAsia"/>
          <w:b/>
          <w:color w:val="404040" w:themeColor="text1" w:themeTint="BF"/>
        </w:rPr>
      </w:pPr>
    </w:p>
    <w:p w14:paraId="536F0BC2" w14:textId="77777777" w:rsidR="00CD65C2" w:rsidRDefault="00FA41FC">
      <w:pPr>
        <w:pStyle w:val="Ttulo1"/>
        <w:jc w:val="center"/>
        <w:rPr>
          <w:rFonts w:hint="eastAsia"/>
        </w:rPr>
      </w:pPr>
      <w:bookmarkStart w:id="193" w:name="_Toc165537340"/>
      <w:r>
        <w:rPr>
          <w:bCs/>
          <w:iCs/>
        </w:rPr>
        <w:t>Simbióticos</w:t>
      </w:r>
      <w:bookmarkEnd w:id="193"/>
    </w:p>
    <w:p w14:paraId="66230444" w14:textId="77777777" w:rsidR="00CD65C2" w:rsidRPr="00D1428E" w:rsidRDefault="00FA41FC" w:rsidP="00D1428E">
      <w:pPr>
        <w:pStyle w:val="Corpo"/>
        <w:spacing w:after="120"/>
        <w:jc w:val="center"/>
        <w:rPr>
          <w:rFonts w:hint="eastAsia"/>
          <w:b/>
          <w:color w:val="0070C0"/>
          <w:sz w:val="40"/>
        </w:rPr>
      </w:pPr>
      <w:r w:rsidRPr="00D1428E">
        <w:rPr>
          <w:b/>
          <w:color w:val="0070C0"/>
          <w:sz w:val="40"/>
        </w:rPr>
        <w:t>Melhoram os Marcadores Inflamatórios e Reduzem o Volume de Edema</w:t>
      </w:r>
    </w:p>
    <w:p w14:paraId="6867A008" w14:textId="77777777" w:rsidR="00CD65C2" w:rsidRDefault="00CD65C2">
      <w:pPr>
        <w:pStyle w:val="Corpo"/>
        <w:rPr>
          <w:rFonts w:hint="eastAsia"/>
          <w:color w:val="404040" w:themeColor="text1" w:themeTint="BF"/>
          <w:sz w:val="24"/>
        </w:rPr>
      </w:pPr>
    </w:p>
    <w:p w14:paraId="6A73525B" w14:textId="77777777" w:rsidR="00CD65C2" w:rsidRDefault="00FA41FC">
      <w:pPr>
        <w:pStyle w:val="Corpo"/>
        <w:rPr>
          <w:rFonts w:hint="eastAsia"/>
          <w:color w:val="404040" w:themeColor="text1" w:themeTint="BF"/>
          <w:sz w:val="24"/>
        </w:rPr>
      </w:pPr>
      <w:r>
        <w:rPr>
          <w:color w:val="404040" w:themeColor="text1" w:themeTint="BF"/>
          <w:sz w:val="24"/>
        </w:rPr>
        <w:t xml:space="preserve">O objetivo deste estudo, publicado no periódico internacional </w:t>
      </w:r>
      <w:r>
        <w:rPr>
          <w:i/>
          <w:iCs/>
          <w:color w:val="404040" w:themeColor="text1" w:themeTint="BF"/>
          <w:sz w:val="24"/>
        </w:rPr>
        <w:t>Nutrition and Cancer</w:t>
      </w:r>
      <w:r>
        <w:rPr>
          <w:color w:val="404040" w:themeColor="text1" w:themeTint="BF"/>
          <w:sz w:val="24"/>
        </w:rPr>
        <w:t>,</w:t>
      </w:r>
      <w:r>
        <w:rPr>
          <w:i/>
          <w:iCs/>
          <w:color w:val="404040" w:themeColor="text1" w:themeTint="BF"/>
          <w:sz w:val="24"/>
        </w:rPr>
        <w:t xml:space="preserve"> </w:t>
      </w:r>
      <w:r>
        <w:rPr>
          <w:color w:val="404040" w:themeColor="text1" w:themeTint="BF"/>
          <w:sz w:val="24"/>
        </w:rPr>
        <w:t>foi avaliar os efeitos da suplementação simbiótica nas concentrações séricas de IL-10, TGF-</w:t>
      </w:r>
      <w:r>
        <w:rPr>
          <w:rFonts w:ascii="Calibri" w:hAnsi="Calibri" w:cs="Calibri"/>
          <w:color w:val="404040" w:themeColor="text1" w:themeTint="BF"/>
          <w:sz w:val="24"/>
        </w:rPr>
        <w:t>β</w:t>
      </w:r>
      <w:r>
        <w:rPr>
          <w:color w:val="404040" w:themeColor="text1" w:themeTint="BF"/>
          <w:sz w:val="24"/>
        </w:rPr>
        <w:t>, VEGF (</w:t>
      </w:r>
      <w:r>
        <w:rPr>
          <w:i/>
          <w:iCs/>
          <w:color w:val="404040" w:themeColor="text1" w:themeTint="BF"/>
          <w:sz w:val="24"/>
        </w:rPr>
        <w:t>vascular endothelial growth factor</w:t>
      </w:r>
      <w:r>
        <w:rPr>
          <w:color w:val="404040" w:themeColor="text1" w:themeTint="BF"/>
          <w:sz w:val="24"/>
        </w:rPr>
        <w:t xml:space="preserve">), adiponectina e de edema em mulheres obesas ou sobrepesadas sob tratamento para o câncer de mama com linfedema que seguiam uma dieta de restrição calórica. </w:t>
      </w:r>
    </w:p>
    <w:p w14:paraId="652B6C23" w14:textId="77777777" w:rsidR="00CD65C2" w:rsidRDefault="00CD65C2">
      <w:pPr>
        <w:pStyle w:val="Corpo"/>
        <w:rPr>
          <w:rFonts w:hint="eastAsia"/>
          <w:color w:val="404040" w:themeColor="text1" w:themeTint="BF"/>
          <w:sz w:val="24"/>
        </w:rPr>
      </w:pPr>
    </w:p>
    <w:p w14:paraId="4DE056F3" w14:textId="77777777" w:rsidR="00CD65C2" w:rsidRDefault="00FA41FC">
      <w:pPr>
        <w:pStyle w:val="Corpo"/>
        <w:rPr>
          <w:rFonts w:hint="eastAsia"/>
          <w:color w:val="404040" w:themeColor="text1" w:themeTint="BF"/>
          <w:sz w:val="24"/>
        </w:rPr>
      </w:pPr>
      <w:r>
        <w:rPr>
          <w:noProof/>
          <w:color w:val="404040" w:themeColor="text1" w:themeTint="BF"/>
          <w:lang w:eastAsia="pt-BR"/>
        </w:rPr>
        <mc:AlternateContent>
          <mc:Choice Requires="wps">
            <w:drawing>
              <wp:anchor distT="0" distB="0" distL="114300" distR="114300" simplePos="0" relativeHeight="252033024" behindDoc="0" locked="0" layoutInCell="1" allowOverlap="1">
                <wp:simplePos x="0" y="0"/>
                <wp:positionH relativeFrom="margin">
                  <wp:posOffset>8255</wp:posOffset>
                </wp:positionH>
                <wp:positionV relativeFrom="paragraph">
                  <wp:posOffset>93345</wp:posOffset>
                </wp:positionV>
                <wp:extent cx="5747385" cy="675005"/>
                <wp:effectExtent l="0" t="0" r="24765" b="11430"/>
                <wp:wrapNone/>
                <wp:docPr id="739657961" name="Caixa de texto 7396579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7658" cy="674915"/>
                        </a:xfrm>
                        <a:prstGeom prst="rect">
                          <a:avLst/>
                        </a:prstGeom>
                        <a:solidFill>
                          <a:schemeClr val="bg1">
                            <a:lumMod val="100000"/>
                            <a:lumOff val="0"/>
                          </a:schemeClr>
                        </a:solidFill>
                        <a:ln w="9525">
                          <a:solidFill>
                            <a:srgbClr val="0070C0"/>
                          </a:solidFill>
                          <a:miter lim="800000"/>
                        </a:ln>
                      </wps:spPr>
                      <wps:txbx>
                        <w:txbxContent>
                          <w:p w14:paraId="6031D8DC" w14:textId="77777777" w:rsidR="00FA41FC" w:rsidRDefault="00FA41FC">
                            <w:pPr>
                              <w:jc w:val="center"/>
                              <w:rPr>
                                <w:rFonts w:ascii="Swis721 Th BT" w:hAnsi="Swis721 Th BT"/>
                                <w:sz w:val="23"/>
                                <w:szCs w:val="23"/>
                              </w:rPr>
                            </w:pPr>
                            <w:r>
                              <w:rPr>
                                <w:rFonts w:ascii="Swis721 Th BT" w:hAnsi="Swis721 Th BT"/>
                                <w:sz w:val="23"/>
                                <w:szCs w:val="23"/>
                              </w:rPr>
                              <w:t>Para isso, 88 mulheres nas condições acima citadas foram selecionadas para participarem desse estudo clínico, randomizado, duplo-cego e controlado por placebo. Elas foram divididas em dois grupos para receberem, por 10 semanas, a seguinte posologia:</w:t>
                            </w:r>
                          </w:p>
                          <w:p w14:paraId="7359646F" w14:textId="77777777" w:rsidR="00FA41FC" w:rsidRDefault="00FA41F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39657961" o:spid="_x0000_s1274" type="#_x0000_t202" style="position:absolute;left:0;text-align:left;margin-left:.65pt;margin-top:7.35pt;width:452.55pt;height:53.15pt;z-index:2520330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" fillcolor="white [3212]" strokecolor="#0070c0">
                <v:textbox>
                  <w:txbxContent>
                    <w:p w14:paraId="6031D8DC" w14:textId="77777777" w:rsidR="00FA41FC" w:rsidRDefault="00FA41FC">
                      <w:pPr>
                        <w:jc w:val="center"/>
                        <w:rPr>
                          <w:rFonts w:ascii="Swis721 Th BT" w:hAnsi="Swis721 Th BT"/>
                          <w:sz w:val="23"/>
                          <w:szCs w:val="23"/>
                        </w:rPr>
                      </w:pPr>
                      <w:r>
                        <w:rPr>
                          <w:rFonts w:ascii="Swis721 Th BT" w:hAnsi="Swis721 Th BT"/>
                          <w:sz w:val="23"/>
                          <w:szCs w:val="23"/>
                        </w:rPr>
                        <w:t>Para isso, 88 mulheres nas condições acima citadas foram selecionadas para participarem desse estudo clínico, randomizado, duplo-cego e controlado por placebo. Elas foram divididas em dois grupos para receberem, por 10 semanas, a seguinte posologia:</w:t>
                      </w:r>
                    </w:p>
                    <w:p w14:paraId="7359646F" w14:textId="77777777" w:rsidR="00FA41FC" w:rsidRDefault="00FA41FC">
                      <w:pPr>
                        <w:jc w:val="center"/>
                        <w:rPr>
                          <w:rFonts w:ascii="Swis721 Th BT" w:hAnsi="Swis721 Th BT"/>
                          <w:sz w:val="23"/>
                          <w:szCs w:val="23"/>
                        </w:rPr>
                      </w:pPr>
                    </w:p>
                  </w:txbxContent>
                </v:textbox>
                <w10:wrap anchorx="margin"/>
              </v:shape>
            </w:pict>
          </mc:Fallback>
        </mc:AlternateContent>
      </w:r>
      <w:r>
        <w:rPr>
          <w:color w:val="404040" w:themeColor="text1" w:themeTint="BF"/>
          <w:sz w:val="24"/>
        </w:rPr>
        <w:br/>
      </w:r>
    </w:p>
    <w:p w14:paraId="476EE179" w14:textId="77777777" w:rsidR="00CD65C2" w:rsidRDefault="00CD65C2">
      <w:pPr>
        <w:pStyle w:val="Corpo"/>
        <w:rPr>
          <w:rFonts w:hint="eastAsia"/>
          <w:color w:val="404040" w:themeColor="text1" w:themeTint="BF"/>
          <w:sz w:val="24"/>
        </w:rPr>
      </w:pPr>
    </w:p>
    <w:p w14:paraId="03CCAF36" w14:textId="77777777" w:rsidR="00CD65C2" w:rsidRDefault="00CD65C2">
      <w:pPr>
        <w:pStyle w:val="Corpo"/>
        <w:rPr>
          <w:rFonts w:hint="eastAsia"/>
          <w:color w:val="404040" w:themeColor="text1" w:themeTint="BF"/>
        </w:rPr>
      </w:pPr>
    </w:p>
    <w:p w14:paraId="5E6A4C55"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2037120" behindDoc="0" locked="0" layoutInCell="1" allowOverlap="1">
                <wp:simplePos x="0" y="0"/>
                <wp:positionH relativeFrom="column">
                  <wp:posOffset>4662805</wp:posOffset>
                </wp:positionH>
                <wp:positionV relativeFrom="paragraph">
                  <wp:posOffset>31750</wp:posOffset>
                </wp:positionV>
                <wp:extent cx="226695" cy="138430"/>
                <wp:effectExtent l="0" t="0" r="1905" b="0"/>
                <wp:wrapNone/>
                <wp:docPr id="739657965" name="Triângulo isósceles 7396579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965" o:spid="_x0000_s1026" o:spt="5" type="#_x0000_t5" style="position:absolute;left:0pt;flip:y;margin-left:367.15pt;margin-top:2.5pt;height:10.9pt;width:17.85pt;z-index:252037120;mso-width-relative:page;mso-height-relative:page;" fillcolor="#D9D9D9 [3212]" filled="t" stroked="f" coordsize="21600,21600" o:gfxdata="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En7XUvXAAAACAEAAA8AAAAAAAAAAQAgAAAAIgAAAGRycy9kb3ducmV2LnhtbFBLAQIUABQAAAAI&#10;AIdO4kCc1B1cYAIAALMEAAAOAAAAAAAAAAEAIAAAACYBAABkcnMvZTJvRG9jLnhtbFBLBQYAAAAA&#10;BgAGAFkBAAD4BQAAAAA=&#10;" adj="10800">
                <v:fill on="t" focussize="0,0"/>
                <v:stroke on="f"/>
                <v:imagedata o:title=""/>
                <o:lock v:ext="edit" aspectratio="f"/>
              </v:shape>
            </w:pict>
          </mc:Fallback>
        </mc:AlternateContent>
      </w:r>
      <w:r>
        <w:rPr>
          <w:noProof/>
          <w:color w:val="404040" w:themeColor="text1" w:themeTint="BF"/>
          <w:lang w:eastAsia="pt-BR"/>
        </w:rPr>
        <mc:AlternateContent>
          <mc:Choice Requires="wps">
            <w:drawing>
              <wp:anchor distT="0" distB="0" distL="114300" distR="114300" simplePos="0" relativeHeight="252035072" behindDoc="0" locked="0" layoutInCell="1" allowOverlap="1">
                <wp:simplePos x="0" y="0"/>
                <wp:positionH relativeFrom="column">
                  <wp:posOffset>824865</wp:posOffset>
                </wp:positionH>
                <wp:positionV relativeFrom="paragraph">
                  <wp:posOffset>31750</wp:posOffset>
                </wp:positionV>
                <wp:extent cx="226695" cy="138430"/>
                <wp:effectExtent l="0" t="0" r="1905" b="0"/>
                <wp:wrapNone/>
                <wp:docPr id="739657962" name="Triângulo isósceles 7396579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962" o:spid="_x0000_s1026" o:spt="5" type="#_x0000_t5" style="position:absolute;left:0pt;flip:y;margin-left:64.95pt;margin-top:2.5pt;height:10.9pt;width:17.85pt;z-index:252035072;mso-width-relative:page;mso-height-relative:page;" fillcolor="#D9D9D9 [3212]" filled="t" stroked="f" coordsize="21600,21600" o:gfxdata="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wgfisdYAAAAIAQAADwAAAAAAAAABACAAAAAiAAAAZHJzL2Rvd25yZXYueG1sUEsBAhQAFAAAAAgA&#10;h07iQIVmhVdgAgAAswQAAA4AAAAAAAAAAQAgAAAAJQEAAGRycy9lMm9Eb2MueG1sUEsFBgAAAAAG&#10;AAYAWQEAAPcFAAAAAA==&#10;" adj="10800">
                <v:fill on="t" focussize="0,0"/>
                <v:stroke on="f"/>
                <v:imagedata o:title=""/>
                <o:lock v:ext="edit" aspectratio="f"/>
              </v:shape>
            </w:pict>
          </mc:Fallback>
        </mc:AlternateContent>
      </w:r>
    </w:p>
    <w:p w14:paraId="2EFF4F0B" w14:textId="77777777" w:rsidR="00CD65C2" w:rsidRDefault="00FA41FC">
      <w:pPr>
        <w:pStyle w:val="Corpo"/>
        <w:rPr>
          <w:rFonts w:hint="eastAsia"/>
          <w:color w:val="404040" w:themeColor="text1" w:themeTint="BF"/>
        </w:rPr>
      </w:pPr>
      <w:r>
        <w:rPr>
          <w:noProof/>
          <w:color w:val="404040" w:themeColor="text1" w:themeTint="BF"/>
          <w:lang w:eastAsia="pt-BR"/>
        </w:rPr>
        <mc:AlternateContent>
          <mc:Choice Requires="wps">
            <w:drawing>
              <wp:anchor distT="0" distB="0" distL="114300" distR="114300" simplePos="0" relativeHeight="252036096" behindDoc="0" locked="0" layoutInCell="1" allowOverlap="1">
                <wp:simplePos x="0" y="0"/>
                <wp:positionH relativeFrom="column">
                  <wp:posOffset>3012440</wp:posOffset>
                </wp:positionH>
                <wp:positionV relativeFrom="paragraph">
                  <wp:posOffset>48260</wp:posOffset>
                </wp:positionV>
                <wp:extent cx="2740660" cy="1882775"/>
                <wp:effectExtent l="0" t="0" r="21590" b="22225"/>
                <wp:wrapNone/>
                <wp:docPr id="739657964" name="Caixa de texto 7396579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0660" cy="1882775"/>
                        </a:xfrm>
                        <a:prstGeom prst="rect">
                          <a:avLst/>
                        </a:prstGeom>
                        <a:solidFill>
                          <a:srgbClr val="0070C0"/>
                        </a:solidFill>
                        <a:ln w="9525">
                          <a:solidFill>
                            <a:srgbClr val="0070C0"/>
                          </a:solidFill>
                          <a:miter lim="800000"/>
                        </a:ln>
                      </wps:spPr>
                      <wps:txbx>
                        <w:txbxContent>
                          <w:p w14:paraId="6D1F65D6"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 xml:space="preserve">Grupo 2  </w:t>
                            </w:r>
                            <w:r>
                              <w:rPr>
                                <w:rFonts w:ascii="Swis721 Th BT" w:hAnsi="Swis721 Th BT"/>
                                <w:b/>
                                <w:color w:val="FFFFFF" w:themeColor="background1"/>
                                <w:sz w:val="23"/>
                                <w:szCs w:val="23"/>
                              </w:rPr>
                              <w:br/>
                            </w:r>
                          </w:p>
                          <w:p w14:paraId="6892C065" w14:textId="77777777" w:rsidR="00FA41FC" w:rsidRDefault="00FA41FC">
                            <w:pPr>
                              <w:spacing w:after="0" w:line="240" w:lineRule="auto"/>
                              <w:jc w:val="center"/>
                              <w:rPr>
                                <w:rFonts w:ascii="Swis721 Th BT" w:hAnsi="Swis721 Th BT"/>
                                <w:bCs/>
                                <w:color w:val="FFFFFF" w:themeColor="background1"/>
                                <w:sz w:val="23"/>
                                <w:szCs w:val="23"/>
                              </w:rPr>
                            </w:pPr>
                          </w:p>
                          <w:p w14:paraId="60EBD40E" w14:textId="77777777" w:rsidR="00FA41FC" w:rsidRDefault="00FA41FC">
                            <w:pPr>
                              <w:spacing w:after="0" w:line="240" w:lineRule="auto"/>
                              <w:jc w:val="center"/>
                              <w:rPr>
                                <w:rFonts w:ascii="Swis721 Th BT" w:hAnsi="Swis721 Th BT"/>
                                <w:bCs/>
                                <w:color w:val="FFFFFF" w:themeColor="background1"/>
                                <w:sz w:val="23"/>
                                <w:szCs w:val="23"/>
                              </w:rPr>
                            </w:pPr>
                          </w:p>
                          <w:p w14:paraId="52331678" w14:textId="77777777" w:rsidR="00FA41FC" w:rsidRDefault="00FA41FC">
                            <w:pPr>
                              <w:spacing w:after="0" w:line="240" w:lineRule="auto"/>
                              <w:jc w:val="center"/>
                              <w:rPr>
                                <w:rFonts w:ascii="Swis721 Th BT" w:hAnsi="Swis721 Th BT"/>
                                <w:bCs/>
                                <w:color w:val="FFFFFF" w:themeColor="background1"/>
                                <w:sz w:val="23"/>
                                <w:szCs w:val="23"/>
                              </w:rPr>
                            </w:pPr>
                          </w:p>
                          <w:p w14:paraId="0CF1DD54"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Cs/>
                                <w:color w:val="FFFFFF" w:themeColor="background1"/>
                                <w:sz w:val="23"/>
                                <w:szCs w:val="23"/>
                              </w:rPr>
                              <w:t>Placebo</w:t>
                            </w:r>
                          </w:p>
                          <w:p w14:paraId="35C489ED"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739657964" o:spid="_x0000_s1275" type="#_x0000_t202" style="position:absolute;left:0;text-align:left;margin-left:237.2pt;margin-top:3.8pt;width:215.8pt;height:148.25pt;z-index:252036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" fillcolor="#0070c0" strokecolor="#0070c0">
                <v:textbox>
                  <w:txbxContent>
                    <w:p w14:paraId="6D1F65D6"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 xml:space="preserve">Grupo 2  </w:t>
                      </w:r>
                      <w:r>
                        <w:rPr>
                          <w:rFonts w:ascii="Swis721 Th BT" w:hAnsi="Swis721 Th BT"/>
                          <w:b/>
                          <w:color w:val="FFFFFF" w:themeColor="background1"/>
                          <w:sz w:val="23"/>
                          <w:szCs w:val="23"/>
                        </w:rPr>
                        <w:br/>
                      </w:r>
                    </w:p>
                    <w:p w14:paraId="6892C065" w14:textId="77777777" w:rsidR="00FA41FC" w:rsidRDefault="00FA41FC">
                      <w:pPr>
                        <w:spacing w:after="0" w:line="240" w:lineRule="auto"/>
                        <w:jc w:val="center"/>
                        <w:rPr>
                          <w:rFonts w:ascii="Swis721 Th BT" w:hAnsi="Swis721 Th BT"/>
                          <w:bCs/>
                          <w:color w:val="FFFFFF" w:themeColor="background1"/>
                          <w:sz w:val="23"/>
                          <w:szCs w:val="23"/>
                        </w:rPr>
                      </w:pPr>
                    </w:p>
                    <w:p w14:paraId="60EBD40E" w14:textId="77777777" w:rsidR="00FA41FC" w:rsidRDefault="00FA41FC">
                      <w:pPr>
                        <w:spacing w:after="0" w:line="240" w:lineRule="auto"/>
                        <w:jc w:val="center"/>
                        <w:rPr>
                          <w:rFonts w:ascii="Swis721 Th BT" w:hAnsi="Swis721 Th BT"/>
                          <w:bCs/>
                          <w:color w:val="FFFFFF" w:themeColor="background1"/>
                          <w:sz w:val="23"/>
                          <w:szCs w:val="23"/>
                        </w:rPr>
                      </w:pPr>
                    </w:p>
                    <w:p w14:paraId="52331678" w14:textId="77777777" w:rsidR="00FA41FC" w:rsidRDefault="00FA41FC">
                      <w:pPr>
                        <w:spacing w:after="0" w:line="240" w:lineRule="auto"/>
                        <w:jc w:val="center"/>
                        <w:rPr>
                          <w:rFonts w:ascii="Swis721 Th BT" w:hAnsi="Swis721 Th BT"/>
                          <w:bCs/>
                          <w:color w:val="FFFFFF" w:themeColor="background1"/>
                          <w:sz w:val="23"/>
                          <w:szCs w:val="23"/>
                        </w:rPr>
                      </w:pPr>
                    </w:p>
                    <w:p w14:paraId="0CF1DD54"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Cs/>
                          <w:color w:val="FFFFFF" w:themeColor="background1"/>
                          <w:sz w:val="23"/>
                          <w:szCs w:val="23"/>
                        </w:rPr>
                        <w:t>Placebo</w:t>
                      </w:r>
                    </w:p>
                    <w:p w14:paraId="35C489ED"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r>
        <w:rPr>
          <w:noProof/>
          <w:color w:val="404040" w:themeColor="text1" w:themeTint="BF"/>
          <w:lang w:eastAsia="pt-BR"/>
        </w:rPr>
        <mc:AlternateContent>
          <mc:Choice Requires="wps">
            <w:drawing>
              <wp:anchor distT="0" distB="0" distL="114300" distR="114300" simplePos="0" relativeHeight="252034048" behindDoc="0" locked="0" layoutInCell="1" allowOverlap="1">
                <wp:simplePos x="0" y="0"/>
                <wp:positionH relativeFrom="column">
                  <wp:posOffset>8255</wp:posOffset>
                </wp:positionH>
                <wp:positionV relativeFrom="paragraph">
                  <wp:posOffset>48260</wp:posOffset>
                </wp:positionV>
                <wp:extent cx="2906395" cy="1883410"/>
                <wp:effectExtent l="0" t="0" r="27305" b="22225"/>
                <wp:wrapNone/>
                <wp:docPr id="739657963" name="Caixa de texto 7396579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6395" cy="1883228"/>
                        </a:xfrm>
                        <a:prstGeom prst="rect">
                          <a:avLst/>
                        </a:prstGeom>
                        <a:solidFill>
                          <a:srgbClr val="0070C0"/>
                        </a:solidFill>
                        <a:ln w="9525">
                          <a:solidFill>
                            <a:srgbClr val="0070C0"/>
                          </a:solidFill>
                          <a:miter lim="800000"/>
                        </a:ln>
                      </wps:spPr>
                      <wps:txbx>
                        <w:txbxContent>
                          <w:p w14:paraId="7622A206" w14:textId="77777777" w:rsidR="00FA41FC" w:rsidRDefault="00FA41FC">
                            <w:pPr>
                              <w:spacing w:after="0" w:line="240" w:lineRule="auto"/>
                              <w:jc w:val="center"/>
                              <w:rPr>
                                <w:rFonts w:ascii="Swis721 Th BT" w:hAnsi="Swis721 Th BT"/>
                                <w:bCs/>
                                <w:color w:val="FFFFFF" w:themeColor="background1"/>
                                <w:sz w:val="23"/>
                                <w:szCs w:val="23"/>
                                <w:lang w:val="en-US"/>
                              </w:rPr>
                            </w:pPr>
                            <w:r>
                              <w:rPr>
                                <w:rFonts w:ascii="Swis721 Th BT" w:hAnsi="Swis721 Th BT"/>
                                <w:b/>
                                <w:color w:val="FFFFFF" w:themeColor="background1"/>
                                <w:sz w:val="23"/>
                                <w:szCs w:val="23"/>
                                <w:lang w:val="en-US"/>
                              </w:rPr>
                              <w:t xml:space="preserve">Grupo 1 </w:t>
                            </w:r>
                            <w:r>
                              <w:rPr>
                                <w:rFonts w:ascii="Swis721 Th BT" w:hAnsi="Swis721 Th BT"/>
                                <w:b/>
                                <w:color w:val="FFFFFF" w:themeColor="background1"/>
                                <w:sz w:val="23"/>
                                <w:szCs w:val="23"/>
                                <w:lang w:val="en-US"/>
                              </w:rPr>
                              <w:br/>
                            </w:r>
                            <w:r>
                              <w:rPr>
                                <w:rFonts w:ascii="Swis721 Th BT" w:hAnsi="Swis721 Th BT"/>
                                <w:bCs/>
                                <w:color w:val="FFFFFF" w:themeColor="background1"/>
                                <w:sz w:val="23"/>
                                <w:szCs w:val="23"/>
                                <w:lang w:val="en-US"/>
                              </w:rPr>
                              <w:t>10</w:t>
                            </w:r>
                            <w:r>
                              <w:rPr>
                                <w:rFonts w:ascii="Swis721 Th BT" w:hAnsi="Swis721 Th BT"/>
                                <w:bCs/>
                                <w:color w:val="FFFFFF" w:themeColor="background1"/>
                                <w:sz w:val="23"/>
                                <w:szCs w:val="23"/>
                                <w:vertAlign w:val="superscript"/>
                                <w:lang w:val="en-US"/>
                              </w:rPr>
                              <w:t>9</w:t>
                            </w:r>
                            <w:r>
                              <w:rPr>
                                <w:rFonts w:ascii="Swis721 Th BT" w:hAnsi="Swis721 Th BT"/>
                                <w:bCs/>
                                <w:color w:val="FFFFFF" w:themeColor="background1"/>
                                <w:sz w:val="23"/>
                                <w:szCs w:val="23"/>
                                <w:lang w:val="en-US"/>
                              </w:rPr>
                              <w:t xml:space="preserve"> de UFC:</w:t>
                            </w:r>
                          </w:p>
                          <w:p w14:paraId="29AEB66B" w14:textId="77777777" w:rsidR="00FA41FC" w:rsidRDefault="00FA41FC">
                            <w:pPr>
                              <w:spacing w:after="0" w:line="240" w:lineRule="auto"/>
                              <w:jc w:val="center"/>
                              <w:rPr>
                                <w:rFonts w:ascii="Swis721 Th BT" w:hAnsi="Swis721 Th BT"/>
                                <w:bCs/>
                                <w:i/>
                                <w:iCs/>
                                <w:color w:val="FFFFFF" w:themeColor="background1"/>
                                <w:sz w:val="23"/>
                                <w:szCs w:val="23"/>
                                <w:lang w:val="en-US"/>
                              </w:rPr>
                            </w:pPr>
                            <w:r>
                              <w:rPr>
                                <w:rFonts w:ascii="Swis721 Th BT" w:hAnsi="Swis721 Th BT"/>
                                <w:bCs/>
                                <w:i/>
                                <w:iCs/>
                                <w:color w:val="FFFFFF" w:themeColor="background1"/>
                                <w:sz w:val="23"/>
                                <w:szCs w:val="23"/>
                                <w:lang w:val="en-US"/>
                              </w:rPr>
                              <w:t>Lactobacillus casei, Lactobacillus</w:t>
                            </w:r>
                          </w:p>
                          <w:p w14:paraId="2E98F2A0" w14:textId="77777777" w:rsidR="00FA41FC" w:rsidRDefault="00FA41FC">
                            <w:pPr>
                              <w:spacing w:after="0" w:line="240" w:lineRule="auto"/>
                              <w:jc w:val="center"/>
                              <w:rPr>
                                <w:rFonts w:ascii="Swis721 Th BT" w:hAnsi="Swis721 Th BT"/>
                                <w:bCs/>
                                <w:i/>
                                <w:iCs/>
                                <w:color w:val="FFFFFF" w:themeColor="background1"/>
                                <w:sz w:val="23"/>
                                <w:szCs w:val="23"/>
                                <w:lang w:val="en-US"/>
                              </w:rPr>
                            </w:pPr>
                            <w:r>
                              <w:rPr>
                                <w:rFonts w:ascii="Swis721 Th BT" w:hAnsi="Swis721 Th BT"/>
                                <w:bCs/>
                                <w:i/>
                                <w:iCs/>
                                <w:color w:val="FFFFFF" w:themeColor="background1"/>
                                <w:sz w:val="23"/>
                                <w:szCs w:val="23"/>
                                <w:lang w:val="en-US"/>
                              </w:rPr>
                              <w:t>acidophilus, Lactobacillus rhamnosus, Lactobacillus</w:t>
                            </w:r>
                          </w:p>
                          <w:p w14:paraId="3CA0B01A" w14:textId="77777777" w:rsidR="00FA41FC" w:rsidRDefault="00FA41FC">
                            <w:pPr>
                              <w:spacing w:after="0" w:line="240" w:lineRule="auto"/>
                              <w:jc w:val="center"/>
                              <w:rPr>
                                <w:rFonts w:ascii="Swis721 Th BT" w:hAnsi="Swis721 Th BT"/>
                                <w:bCs/>
                                <w:i/>
                                <w:iCs/>
                                <w:color w:val="FFFFFF" w:themeColor="background1"/>
                                <w:sz w:val="23"/>
                                <w:szCs w:val="23"/>
                              </w:rPr>
                            </w:pPr>
                            <w:r>
                              <w:rPr>
                                <w:rFonts w:ascii="Swis721 Th BT" w:hAnsi="Swis721 Th BT"/>
                                <w:bCs/>
                                <w:i/>
                                <w:iCs/>
                                <w:color w:val="FFFFFF" w:themeColor="background1"/>
                                <w:sz w:val="23"/>
                                <w:szCs w:val="23"/>
                              </w:rPr>
                              <w:t>bulgaricus, Bifidobacterium breve, Bifidobacterium</w:t>
                            </w:r>
                          </w:p>
                          <w:p w14:paraId="7B90B653"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i/>
                                <w:iCs/>
                                <w:color w:val="FFFFFF" w:themeColor="background1"/>
                                <w:sz w:val="23"/>
                                <w:szCs w:val="23"/>
                              </w:rPr>
                              <w:t>longum, Streptococcus thermophilus;</w:t>
                            </w:r>
                            <w:r>
                              <w:rPr>
                                <w:rFonts w:ascii="Swis721 Th BT" w:hAnsi="Swis721 Th BT"/>
                                <w:bCs/>
                                <w:color w:val="FFFFFF" w:themeColor="background1"/>
                                <w:sz w:val="23"/>
                                <w:szCs w:val="23"/>
                              </w:rPr>
                              <w:t xml:space="preserve"> </w:t>
                            </w:r>
                          </w:p>
                          <w:p w14:paraId="79AF8908"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38,5 mg:</w:t>
                            </w:r>
                          </w:p>
                          <w:p w14:paraId="5E28F3E9"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Cs/>
                                <w:color w:val="FFFFFF" w:themeColor="background1"/>
                                <w:sz w:val="23"/>
                                <w:szCs w:val="23"/>
                              </w:rPr>
                              <w:t>fruto-oligossacarídeos (FOS)</w:t>
                            </w:r>
                          </w:p>
                          <w:p w14:paraId="64222329" w14:textId="77777777" w:rsidR="00FA41FC" w:rsidRDefault="00FA41F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739657963" o:spid="_x0000_s1276" type="#_x0000_t202" style="position:absolute;left:0;text-align:left;margin-left:.65pt;margin-top:3.8pt;width:228.85pt;height:148.3pt;z-index:252034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" fillcolor="#0070c0" strokecolor="#0070c0">
                <v:textbox>
                  <w:txbxContent>
                    <w:p w14:paraId="7622A206" w14:textId="77777777" w:rsidR="00FA41FC" w:rsidRDefault="00FA41FC">
                      <w:pPr>
                        <w:spacing w:after="0" w:line="240" w:lineRule="auto"/>
                        <w:jc w:val="center"/>
                        <w:rPr>
                          <w:rFonts w:ascii="Swis721 Th BT" w:hAnsi="Swis721 Th BT"/>
                          <w:bCs/>
                          <w:color w:val="FFFFFF" w:themeColor="background1"/>
                          <w:sz w:val="23"/>
                          <w:szCs w:val="23"/>
                          <w:lang w:val="en-US"/>
                        </w:rPr>
                      </w:pPr>
                      <w:r>
                        <w:rPr>
                          <w:rFonts w:ascii="Swis721 Th BT" w:hAnsi="Swis721 Th BT"/>
                          <w:b/>
                          <w:color w:val="FFFFFF" w:themeColor="background1"/>
                          <w:sz w:val="23"/>
                          <w:szCs w:val="23"/>
                          <w:lang w:val="en-US"/>
                        </w:rPr>
                        <w:t xml:space="preserve">Grupo 1 </w:t>
                      </w:r>
                      <w:r>
                        <w:rPr>
                          <w:rFonts w:ascii="Swis721 Th BT" w:hAnsi="Swis721 Th BT"/>
                          <w:b/>
                          <w:color w:val="FFFFFF" w:themeColor="background1"/>
                          <w:sz w:val="23"/>
                          <w:szCs w:val="23"/>
                          <w:lang w:val="en-US"/>
                        </w:rPr>
                        <w:br/>
                      </w:r>
                      <w:r>
                        <w:rPr>
                          <w:rFonts w:ascii="Swis721 Th BT" w:hAnsi="Swis721 Th BT"/>
                          <w:bCs/>
                          <w:color w:val="FFFFFF" w:themeColor="background1"/>
                          <w:sz w:val="23"/>
                          <w:szCs w:val="23"/>
                          <w:lang w:val="en-US"/>
                        </w:rPr>
                        <w:t>10</w:t>
                      </w:r>
                      <w:r>
                        <w:rPr>
                          <w:rFonts w:ascii="Swis721 Th BT" w:hAnsi="Swis721 Th BT"/>
                          <w:bCs/>
                          <w:color w:val="FFFFFF" w:themeColor="background1"/>
                          <w:sz w:val="23"/>
                          <w:szCs w:val="23"/>
                          <w:vertAlign w:val="superscript"/>
                          <w:lang w:val="en-US"/>
                        </w:rPr>
                        <w:t>9</w:t>
                      </w:r>
                      <w:r>
                        <w:rPr>
                          <w:rFonts w:ascii="Swis721 Th BT" w:hAnsi="Swis721 Th BT"/>
                          <w:bCs/>
                          <w:color w:val="FFFFFF" w:themeColor="background1"/>
                          <w:sz w:val="23"/>
                          <w:szCs w:val="23"/>
                          <w:lang w:val="en-US"/>
                        </w:rPr>
                        <w:t xml:space="preserve"> de UFC:</w:t>
                      </w:r>
                    </w:p>
                    <w:p w14:paraId="29AEB66B" w14:textId="77777777" w:rsidR="00FA41FC" w:rsidRDefault="00FA41FC">
                      <w:pPr>
                        <w:spacing w:after="0" w:line="240" w:lineRule="auto"/>
                        <w:jc w:val="center"/>
                        <w:rPr>
                          <w:rFonts w:ascii="Swis721 Th BT" w:hAnsi="Swis721 Th BT"/>
                          <w:bCs/>
                          <w:i/>
                          <w:iCs/>
                          <w:color w:val="FFFFFF" w:themeColor="background1"/>
                          <w:sz w:val="23"/>
                          <w:szCs w:val="23"/>
                          <w:lang w:val="en-US"/>
                        </w:rPr>
                      </w:pPr>
                      <w:r>
                        <w:rPr>
                          <w:rFonts w:ascii="Swis721 Th BT" w:hAnsi="Swis721 Th BT"/>
                          <w:bCs/>
                          <w:i/>
                          <w:iCs/>
                          <w:color w:val="FFFFFF" w:themeColor="background1"/>
                          <w:sz w:val="23"/>
                          <w:szCs w:val="23"/>
                          <w:lang w:val="en-US"/>
                        </w:rPr>
                        <w:t>Lactobacillus casei, Lactobacillus</w:t>
                      </w:r>
                    </w:p>
                    <w:p w14:paraId="2E98F2A0" w14:textId="77777777" w:rsidR="00FA41FC" w:rsidRDefault="00FA41FC">
                      <w:pPr>
                        <w:spacing w:after="0" w:line="240" w:lineRule="auto"/>
                        <w:jc w:val="center"/>
                        <w:rPr>
                          <w:rFonts w:ascii="Swis721 Th BT" w:hAnsi="Swis721 Th BT"/>
                          <w:bCs/>
                          <w:i/>
                          <w:iCs/>
                          <w:color w:val="FFFFFF" w:themeColor="background1"/>
                          <w:sz w:val="23"/>
                          <w:szCs w:val="23"/>
                          <w:lang w:val="en-US"/>
                        </w:rPr>
                      </w:pPr>
                      <w:r>
                        <w:rPr>
                          <w:rFonts w:ascii="Swis721 Th BT" w:hAnsi="Swis721 Th BT"/>
                          <w:bCs/>
                          <w:i/>
                          <w:iCs/>
                          <w:color w:val="FFFFFF" w:themeColor="background1"/>
                          <w:sz w:val="23"/>
                          <w:szCs w:val="23"/>
                          <w:lang w:val="en-US"/>
                        </w:rPr>
                        <w:t>acidophilus, Lactobacillus rhamnosus, Lactobacillus</w:t>
                      </w:r>
                    </w:p>
                    <w:p w14:paraId="3CA0B01A" w14:textId="77777777" w:rsidR="00FA41FC" w:rsidRDefault="00FA41FC">
                      <w:pPr>
                        <w:spacing w:after="0" w:line="240" w:lineRule="auto"/>
                        <w:jc w:val="center"/>
                        <w:rPr>
                          <w:rFonts w:ascii="Swis721 Th BT" w:hAnsi="Swis721 Th BT"/>
                          <w:bCs/>
                          <w:i/>
                          <w:iCs/>
                          <w:color w:val="FFFFFF" w:themeColor="background1"/>
                          <w:sz w:val="23"/>
                          <w:szCs w:val="23"/>
                        </w:rPr>
                      </w:pPr>
                      <w:r>
                        <w:rPr>
                          <w:rFonts w:ascii="Swis721 Th BT" w:hAnsi="Swis721 Th BT"/>
                          <w:bCs/>
                          <w:i/>
                          <w:iCs/>
                          <w:color w:val="FFFFFF" w:themeColor="background1"/>
                          <w:sz w:val="23"/>
                          <w:szCs w:val="23"/>
                        </w:rPr>
                        <w:t>bulgaricus, Bifidobacterium breve, Bifidobacterium</w:t>
                      </w:r>
                    </w:p>
                    <w:p w14:paraId="7B90B653"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i/>
                          <w:iCs/>
                          <w:color w:val="FFFFFF" w:themeColor="background1"/>
                          <w:sz w:val="23"/>
                          <w:szCs w:val="23"/>
                        </w:rPr>
                        <w:t>longum, Streptococcus thermophilus;</w:t>
                      </w:r>
                      <w:r>
                        <w:rPr>
                          <w:rFonts w:ascii="Swis721 Th BT" w:hAnsi="Swis721 Th BT"/>
                          <w:bCs/>
                          <w:color w:val="FFFFFF" w:themeColor="background1"/>
                          <w:sz w:val="23"/>
                          <w:szCs w:val="23"/>
                        </w:rPr>
                        <w:t xml:space="preserve"> </w:t>
                      </w:r>
                    </w:p>
                    <w:p w14:paraId="79AF8908" w14:textId="77777777" w:rsidR="00FA41FC" w:rsidRDefault="00FA41FC">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38,5 mg:</w:t>
                      </w:r>
                    </w:p>
                    <w:p w14:paraId="5E28F3E9"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Cs/>
                          <w:color w:val="FFFFFF" w:themeColor="background1"/>
                          <w:sz w:val="23"/>
                          <w:szCs w:val="23"/>
                        </w:rPr>
                        <w:t>fruto-oligossacarídeos (FOS)</w:t>
                      </w:r>
                    </w:p>
                    <w:p w14:paraId="64222329" w14:textId="77777777" w:rsidR="00FA41FC" w:rsidRDefault="00FA41FC">
                      <w:pPr>
                        <w:spacing w:after="0" w:line="240" w:lineRule="auto"/>
                        <w:jc w:val="center"/>
                        <w:rPr>
                          <w:rFonts w:ascii="Swis721 Th BT" w:hAnsi="Swis721 Th BT"/>
                          <w:color w:val="FFFFFF" w:themeColor="background1"/>
                          <w:szCs w:val="23"/>
                        </w:rPr>
                      </w:pPr>
                    </w:p>
                  </w:txbxContent>
                </v:textbox>
              </v:shape>
            </w:pict>
          </mc:Fallback>
        </mc:AlternateContent>
      </w:r>
    </w:p>
    <w:p w14:paraId="0CABBCDB" w14:textId="77777777" w:rsidR="00CD65C2" w:rsidRDefault="00CD65C2">
      <w:pPr>
        <w:pStyle w:val="Corpo"/>
        <w:rPr>
          <w:rFonts w:hint="eastAsia"/>
          <w:color w:val="404040" w:themeColor="text1" w:themeTint="BF"/>
        </w:rPr>
      </w:pPr>
    </w:p>
    <w:p w14:paraId="3378D2AF" w14:textId="77777777" w:rsidR="00CD65C2" w:rsidRDefault="00CD65C2">
      <w:pPr>
        <w:pStyle w:val="Corpo"/>
        <w:rPr>
          <w:rFonts w:hint="eastAsia"/>
          <w:color w:val="404040" w:themeColor="text1" w:themeTint="BF"/>
        </w:rPr>
      </w:pPr>
    </w:p>
    <w:p w14:paraId="3D375519" w14:textId="77777777" w:rsidR="00CD65C2" w:rsidRDefault="00CD65C2">
      <w:pPr>
        <w:pStyle w:val="Corpo"/>
        <w:rPr>
          <w:rFonts w:hint="eastAsia"/>
          <w:color w:val="404040" w:themeColor="text1" w:themeTint="BF"/>
        </w:rPr>
      </w:pPr>
    </w:p>
    <w:p w14:paraId="0EC86B8A" w14:textId="77777777" w:rsidR="00CD65C2" w:rsidRDefault="00CD65C2">
      <w:pPr>
        <w:pStyle w:val="Corpo"/>
        <w:rPr>
          <w:rFonts w:hint="eastAsia"/>
          <w:color w:val="404040" w:themeColor="text1" w:themeTint="BF"/>
        </w:rPr>
      </w:pPr>
    </w:p>
    <w:p w14:paraId="39D23D3D" w14:textId="77777777" w:rsidR="00CD65C2" w:rsidRDefault="00CD65C2">
      <w:pPr>
        <w:pStyle w:val="Corpo"/>
        <w:rPr>
          <w:rFonts w:hint="eastAsia"/>
          <w:color w:val="404040" w:themeColor="text1" w:themeTint="BF"/>
        </w:rPr>
      </w:pPr>
    </w:p>
    <w:p w14:paraId="5184182A" w14:textId="77777777" w:rsidR="00CD65C2" w:rsidRDefault="00CD65C2">
      <w:pPr>
        <w:pStyle w:val="Corpo"/>
        <w:rPr>
          <w:rFonts w:hint="eastAsia"/>
          <w:color w:val="404040" w:themeColor="text1" w:themeTint="BF"/>
        </w:rPr>
      </w:pPr>
    </w:p>
    <w:p w14:paraId="539FD647" w14:textId="77777777" w:rsidR="00CD65C2" w:rsidRDefault="00CD65C2">
      <w:pPr>
        <w:pStyle w:val="Corpo"/>
        <w:rPr>
          <w:rFonts w:hint="eastAsia"/>
          <w:color w:val="404040" w:themeColor="text1" w:themeTint="BF"/>
        </w:rPr>
      </w:pPr>
    </w:p>
    <w:p w14:paraId="35EC4586" w14:textId="77777777" w:rsidR="00CD65C2" w:rsidRDefault="00CD65C2">
      <w:pPr>
        <w:pStyle w:val="Corpo"/>
        <w:rPr>
          <w:rFonts w:hint="eastAsia"/>
          <w:color w:val="404040" w:themeColor="text1" w:themeTint="BF"/>
        </w:rPr>
      </w:pPr>
    </w:p>
    <w:p w14:paraId="4433F674" w14:textId="77777777" w:rsidR="00CD65C2" w:rsidRDefault="00CD65C2">
      <w:pPr>
        <w:pStyle w:val="Corpo"/>
        <w:spacing w:before="120"/>
        <w:rPr>
          <w:rFonts w:hint="eastAsia"/>
          <w:color w:val="404040" w:themeColor="text1" w:themeTint="BF"/>
          <w:sz w:val="20"/>
        </w:rPr>
      </w:pPr>
    </w:p>
    <w:p w14:paraId="188292A4" w14:textId="77777777" w:rsidR="00CD65C2" w:rsidRDefault="00CD65C2">
      <w:pPr>
        <w:pStyle w:val="Corpo"/>
        <w:rPr>
          <w:rFonts w:hint="eastAsia"/>
          <w:color w:val="404040" w:themeColor="text1" w:themeTint="BF"/>
        </w:rPr>
      </w:pPr>
    </w:p>
    <w:p w14:paraId="64405087"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125E38AB" w14:textId="77777777" w:rsidR="00CD65C2" w:rsidRDefault="00FA41FC">
      <w:pPr>
        <w:pStyle w:val="Corpo"/>
        <w:numPr>
          <w:ilvl w:val="0"/>
          <w:numId w:val="5"/>
        </w:numPr>
        <w:spacing w:after="120"/>
        <w:rPr>
          <w:rFonts w:hint="eastAsia"/>
          <w:color w:val="404040" w:themeColor="text1" w:themeTint="BF"/>
          <w:sz w:val="24"/>
        </w:rPr>
      </w:pPr>
      <w:r>
        <w:rPr>
          <w:color w:val="404040" w:themeColor="text1" w:themeTint="BF"/>
          <w:sz w:val="24"/>
        </w:rPr>
        <w:t>Não houve diferenças significativas entre os participantes na linha de base, exceto no nível de IL-10 e adiponectina;</w:t>
      </w:r>
    </w:p>
    <w:p w14:paraId="43B0A1A2" w14:textId="77777777" w:rsidR="00CD65C2" w:rsidRDefault="00FA41FC">
      <w:pPr>
        <w:pStyle w:val="Corpo"/>
        <w:numPr>
          <w:ilvl w:val="0"/>
          <w:numId w:val="5"/>
        </w:numPr>
        <w:spacing w:after="120"/>
        <w:rPr>
          <w:rFonts w:hint="eastAsia"/>
          <w:b/>
          <w:color w:val="339966"/>
          <w14:textFill>
            <w14:solidFill>
              <w14:srgbClr w14:val="339966">
                <w14:lumMod w14:val="75000"/>
                <w14:lumOff w14:val="25000"/>
              </w14:srgbClr>
            </w14:solidFill>
          </w14:textFill>
        </w:rPr>
      </w:pPr>
      <w:r>
        <w:rPr>
          <w:color w:val="404040" w:themeColor="text1" w:themeTint="BF"/>
          <w:sz w:val="24"/>
        </w:rPr>
        <w:t>Após 10 semanas de intervenção, o volume do edema diminuiu significativamente no grupo simbiótico; além disso, as medidas antropométricas (peso corporal, IMC, percentual de gordura corporal e circunferência da cintura) diminuíram significativamente</w:t>
      </w:r>
    </w:p>
    <w:p w14:paraId="6A358F74"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Conclusão:</w:t>
      </w:r>
    </w:p>
    <w:p w14:paraId="23CD398C"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132572A0" w14:textId="77777777" w:rsidR="00CD65C2" w:rsidRDefault="00FA41FC">
      <w:pPr>
        <w:jc w:val="center"/>
        <w:rPr>
          <w:rFonts w:ascii="Swis721 Th BT" w:eastAsia="MS Mincho" w:hAnsi="Swis721 Th BT" w:hint="eastAsia"/>
          <w:b/>
          <w:i/>
          <w:color w:val="404040" w:themeColor="text1" w:themeTint="BF"/>
          <w:sz w:val="23"/>
          <w:szCs w:val="24"/>
        </w:rPr>
      </w:pPr>
      <w:r>
        <w:rPr>
          <w:rFonts w:ascii="Swis721 Th BT" w:eastAsia="MS Mincho" w:hAnsi="Swis721 Th BT"/>
          <w:b/>
          <w:i/>
          <w:color w:val="404040" w:themeColor="text1" w:themeTint="BF"/>
          <w:sz w:val="23"/>
          <w:szCs w:val="24"/>
        </w:rPr>
        <w:t>A suplementação simbiótica, juntamente com uma dieta de restrição calórica, em uma intervenção de 10 semanas, teve efeitos benéficos na melhora dos níveis séricos de TGF-</w:t>
      </w:r>
      <w:r>
        <w:rPr>
          <w:rFonts w:ascii="Calibri" w:eastAsia="MS Mincho" w:hAnsi="Calibri" w:cs="Calibri"/>
          <w:b/>
          <w:i/>
          <w:color w:val="404040" w:themeColor="text1" w:themeTint="BF"/>
          <w:sz w:val="23"/>
          <w:szCs w:val="24"/>
        </w:rPr>
        <w:t>β</w:t>
      </w:r>
      <w:r>
        <w:rPr>
          <w:rFonts w:ascii="Swis721 Th BT" w:eastAsia="MS Mincho" w:hAnsi="Swis721 Th BT"/>
          <w:b/>
          <w:i/>
          <w:color w:val="404040" w:themeColor="text1" w:themeTint="BF"/>
          <w:sz w:val="23"/>
          <w:szCs w:val="24"/>
        </w:rPr>
        <w:t>, IL-10 e adiponectina em mulheres com linfedema. Tamb</w:t>
      </w:r>
      <w:r>
        <w:rPr>
          <w:rFonts w:ascii="Swis721 Th BT" w:eastAsia="MS Mincho" w:hAnsi="Swis721 Th BT" w:cs="Swis721 Th BT"/>
          <w:b/>
          <w:i/>
          <w:color w:val="404040" w:themeColor="text1" w:themeTint="BF"/>
          <w:sz w:val="23"/>
          <w:szCs w:val="24"/>
        </w:rPr>
        <w:t>é</w:t>
      </w:r>
      <w:r>
        <w:rPr>
          <w:rFonts w:ascii="Swis721 Th BT" w:eastAsia="MS Mincho" w:hAnsi="Swis721 Th BT"/>
          <w:b/>
          <w:i/>
          <w:color w:val="404040" w:themeColor="text1" w:themeTint="BF"/>
          <w:sz w:val="23"/>
          <w:szCs w:val="24"/>
        </w:rPr>
        <w:t xml:space="preserve">m reduziu o volume do linfedema do braço. Portanto, a suplementação de simbiótico pode ser eficaz na melhoria do estado de saúde dessas pacientes. </w:t>
      </w:r>
    </w:p>
    <w:p w14:paraId="1EAB1189" w14:textId="77777777" w:rsidR="00CD65C2" w:rsidRDefault="00FA41FC">
      <w:pPr>
        <w:pStyle w:val="Ttulo1"/>
        <w:jc w:val="center"/>
        <w:rPr>
          <w:rFonts w:hint="eastAsia"/>
        </w:rPr>
      </w:pPr>
      <w:bookmarkStart w:id="194" w:name="_Toc165537341"/>
      <w:r>
        <w:rPr>
          <w:rStyle w:val="Ttulo1Char"/>
          <w:b/>
        </w:rPr>
        <w:t>Formulário</w:t>
      </w:r>
      <w:bookmarkEnd w:id="194"/>
    </w:p>
    <w:p w14:paraId="23CC6B18" w14:textId="77777777" w:rsidR="00CD65C2" w:rsidRDefault="00CD65C2">
      <w:pPr>
        <w:pStyle w:val="Corpo"/>
        <w:rPr>
          <w:rFonts w:hint="eastAsia"/>
          <w:b/>
          <w:i/>
          <w:color w:val="404040" w:themeColor="text1" w:themeTint="BF"/>
        </w:rPr>
      </w:pPr>
    </w:p>
    <w:p w14:paraId="743545A4" w14:textId="77777777" w:rsidR="00CD65C2" w:rsidRDefault="00FA41FC">
      <w:pPr>
        <w:pStyle w:val="Corpo"/>
        <w:tabs>
          <w:tab w:val="left" w:pos="3555"/>
        </w:tabs>
        <w:rPr>
          <w:rFonts w:hint="eastAsia"/>
          <w:b/>
          <w:i/>
          <w:color w:val="404040" w:themeColor="text1" w:themeTint="BF"/>
        </w:rPr>
      </w:pPr>
      <w:r>
        <w:rPr>
          <w:b/>
          <w:i/>
          <w:color w:val="404040" w:themeColor="text1" w:themeTint="BF"/>
        </w:rPr>
        <w:tab/>
      </w:r>
    </w:p>
    <w:p w14:paraId="3ABDA12F" w14:textId="77777777" w:rsidR="00CD65C2" w:rsidRDefault="00FA41FC">
      <w:pPr>
        <w:pStyle w:val="Corpo"/>
        <w:rPr>
          <w:rFonts w:hint="eastAsia"/>
          <w:b/>
          <w:i/>
          <w:color w:val="404040" w:themeColor="text1" w:themeTint="BF"/>
          <w:sz w:val="24"/>
        </w:rPr>
      </w:pPr>
      <w:r>
        <w:rPr>
          <w:b/>
          <w:i/>
          <w:color w:val="404040" w:themeColor="text1" w:themeTint="BF"/>
          <w:sz w:val="24"/>
        </w:rPr>
        <w:t xml:space="preserve">Diminuição de Marcadores Inflamatórios e Volume do Edema </w:t>
      </w:r>
    </w:p>
    <w:p w14:paraId="17DD649D" w14:textId="77777777" w:rsidR="00CD65C2" w:rsidRDefault="00CD65C2">
      <w:pPr>
        <w:pStyle w:val="Corpo"/>
        <w:rPr>
          <w:rFonts w:hint="eastAsia"/>
          <w:color w:val="404040" w:themeColor="text1" w:themeTint="BF"/>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256D13AB"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23699B07" w14:textId="77777777" w:rsidR="00CD65C2" w:rsidRDefault="00FA41FC">
            <w:pPr>
              <w:pStyle w:val="Corpo"/>
              <w:jc w:val="center"/>
              <w:rPr>
                <w:rFonts w:hint="eastAsia"/>
                <w:b/>
                <w:color w:val="FFFFFF" w:themeColor="background1"/>
              </w:rPr>
            </w:pPr>
            <w:r>
              <w:rPr>
                <w:b/>
                <w:color w:val="FFFFFF" w:themeColor="background1"/>
                <w:sz w:val="22"/>
              </w:rPr>
              <w:t>Sachês Simbióticos</w:t>
            </w:r>
          </w:p>
        </w:tc>
      </w:tr>
      <w:tr w:rsidR="00CD65C2" w14:paraId="3F54AE05"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4983C78" w14:textId="77777777" w:rsidR="00CD65C2" w:rsidRDefault="00FA41FC">
            <w:pPr>
              <w:pStyle w:val="Corpo"/>
              <w:jc w:val="center"/>
              <w:rPr>
                <w:rFonts w:hint="eastAsia"/>
                <w:color w:val="404040" w:themeColor="text1" w:themeTint="BF"/>
              </w:rPr>
            </w:pPr>
            <w:r>
              <w:rPr>
                <w:i/>
                <w:iCs/>
                <w:color w:val="404040" w:themeColor="text1" w:themeTint="BF"/>
              </w:rPr>
              <w:t>L. casei.......</w:t>
            </w:r>
            <w:r>
              <w:rPr>
                <w:color w:val="404040" w:themeColor="text1" w:themeTint="BF"/>
              </w:rPr>
              <w:t>...............................1x10</w:t>
            </w:r>
            <w:r>
              <w:rPr>
                <w:color w:val="404040" w:themeColor="text1" w:themeTint="BF"/>
                <w:vertAlign w:val="superscript"/>
              </w:rPr>
              <w:t>9</w:t>
            </w:r>
            <w:r>
              <w:rPr>
                <w:color w:val="404040" w:themeColor="text1" w:themeTint="BF"/>
              </w:rPr>
              <w:t xml:space="preserve"> UFC</w:t>
            </w:r>
          </w:p>
        </w:tc>
      </w:tr>
      <w:tr w:rsidR="00CD65C2" w14:paraId="057CBDA9"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EA4DB45" w14:textId="77777777" w:rsidR="00CD65C2" w:rsidRDefault="00FA41FC">
            <w:pPr>
              <w:pStyle w:val="Corpo"/>
              <w:jc w:val="center"/>
              <w:rPr>
                <w:rFonts w:hint="eastAsia"/>
                <w:color w:val="404040" w:themeColor="text1" w:themeTint="BF"/>
              </w:rPr>
            </w:pPr>
            <w:r>
              <w:rPr>
                <w:i/>
                <w:iCs/>
                <w:color w:val="404040" w:themeColor="text1" w:themeTint="BF"/>
              </w:rPr>
              <w:t>L. acidophilus............................</w:t>
            </w:r>
            <w:r>
              <w:rPr>
                <w:color w:val="404040" w:themeColor="text1" w:themeTint="BF"/>
              </w:rPr>
              <w:t xml:space="preserve"> 1x10</w:t>
            </w:r>
            <w:r>
              <w:rPr>
                <w:color w:val="404040" w:themeColor="text1" w:themeTint="BF"/>
                <w:vertAlign w:val="superscript"/>
              </w:rPr>
              <w:t>9</w:t>
            </w:r>
            <w:r>
              <w:rPr>
                <w:color w:val="404040" w:themeColor="text1" w:themeTint="BF"/>
              </w:rPr>
              <w:t xml:space="preserve"> UFC</w:t>
            </w:r>
          </w:p>
        </w:tc>
      </w:tr>
      <w:tr w:rsidR="00CD65C2" w14:paraId="084D1950"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D84BCD6" w14:textId="77777777" w:rsidR="00CD65C2" w:rsidRDefault="00FA41FC">
            <w:pPr>
              <w:pStyle w:val="Corpo"/>
              <w:jc w:val="center"/>
              <w:rPr>
                <w:rFonts w:hint="eastAsia"/>
                <w:i/>
                <w:iCs/>
                <w:color w:val="404040" w:themeColor="text1" w:themeTint="BF"/>
              </w:rPr>
            </w:pPr>
            <w:r>
              <w:rPr>
                <w:i/>
                <w:iCs/>
                <w:color w:val="404040" w:themeColor="text1" w:themeTint="BF"/>
              </w:rPr>
              <w:t>L. rhamnosus............................</w:t>
            </w:r>
            <w:r>
              <w:rPr>
                <w:color w:val="404040" w:themeColor="text1" w:themeTint="BF"/>
              </w:rPr>
              <w:t xml:space="preserve"> 1x10</w:t>
            </w:r>
            <w:r>
              <w:rPr>
                <w:color w:val="404040" w:themeColor="text1" w:themeTint="BF"/>
                <w:vertAlign w:val="superscript"/>
              </w:rPr>
              <w:t>9</w:t>
            </w:r>
            <w:r>
              <w:rPr>
                <w:color w:val="404040" w:themeColor="text1" w:themeTint="BF"/>
              </w:rPr>
              <w:t xml:space="preserve"> UFC</w:t>
            </w:r>
          </w:p>
        </w:tc>
      </w:tr>
      <w:tr w:rsidR="00CD65C2" w14:paraId="368A1609"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0D0D50D" w14:textId="77777777" w:rsidR="00CD65C2" w:rsidRDefault="00FA41FC">
            <w:pPr>
              <w:pStyle w:val="Corpo"/>
              <w:jc w:val="center"/>
              <w:rPr>
                <w:rFonts w:hint="eastAsia"/>
                <w:i/>
                <w:iCs/>
                <w:color w:val="404040" w:themeColor="text1" w:themeTint="BF"/>
              </w:rPr>
            </w:pPr>
            <w:r>
              <w:rPr>
                <w:i/>
                <w:iCs/>
                <w:color w:val="404040" w:themeColor="text1" w:themeTint="BF"/>
              </w:rPr>
              <w:t>L. bulgaricus..............................</w:t>
            </w:r>
            <w:r>
              <w:rPr>
                <w:color w:val="404040" w:themeColor="text1" w:themeTint="BF"/>
              </w:rPr>
              <w:t>1x10</w:t>
            </w:r>
            <w:r>
              <w:rPr>
                <w:color w:val="404040" w:themeColor="text1" w:themeTint="BF"/>
                <w:vertAlign w:val="superscript"/>
              </w:rPr>
              <w:t>9</w:t>
            </w:r>
            <w:r>
              <w:rPr>
                <w:color w:val="404040" w:themeColor="text1" w:themeTint="BF"/>
              </w:rPr>
              <w:t xml:space="preserve"> UFC</w:t>
            </w:r>
          </w:p>
        </w:tc>
      </w:tr>
      <w:tr w:rsidR="00CD65C2" w14:paraId="3807C145"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A7C2797" w14:textId="77777777" w:rsidR="00CD65C2" w:rsidRDefault="00FA41FC">
            <w:pPr>
              <w:pStyle w:val="Corpo"/>
              <w:jc w:val="center"/>
              <w:rPr>
                <w:rFonts w:hint="eastAsia"/>
                <w:i/>
                <w:iCs/>
                <w:color w:val="404040" w:themeColor="text1" w:themeTint="BF"/>
              </w:rPr>
            </w:pPr>
            <w:r>
              <w:rPr>
                <w:i/>
                <w:iCs/>
                <w:color w:val="404040" w:themeColor="text1" w:themeTint="BF"/>
              </w:rPr>
              <w:t>B. breve...................................</w:t>
            </w:r>
            <w:r>
              <w:rPr>
                <w:color w:val="404040" w:themeColor="text1" w:themeTint="BF"/>
              </w:rPr>
              <w:t xml:space="preserve"> 1 x10</w:t>
            </w:r>
            <w:r>
              <w:rPr>
                <w:color w:val="404040" w:themeColor="text1" w:themeTint="BF"/>
                <w:vertAlign w:val="superscript"/>
              </w:rPr>
              <w:t>9</w:t>
            </w:r>
            <w:r>
              <w:rPr>
                <w:color w:val="404040" w:themeColor="text1" w:themeTint="BF"/>
              </w:rPr>
              <w:t xml:space="preserve"> UFC</w:t>
            </w:r>
          </w:p>
        </w:tc>
      </w:tr>
      <w:tr w:rsidR="00CD65C2" w14:paraId="18304766"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C8E3FBF" w14:textId="77777777" w:rsidR="00CD65C2" w:rsidRDefault="00FA41FC">
            <w:pPr>
              <w:pStyle w:val="Corpo"/>
              <w:jc w:val="center"/>
              <w:rPr>
                <w:rFonts w:hint="eastAsia"/>
                <w:i/>
                <w:iCs/>
                <w:color w:val="404040" w:themeColor="text1" w:themeTint="BF"/>
              </w:rPr>
            </w:pPr>
            <w:r>
              <w:rPr>
                <w:i/>
                <w:iCs/>
                <w:color w:val="404040" w:themeColor="text1" w:themeTint="BF"/>
              </w:rPr>
              <w:t>B. longum.................................</w:t>
            </w:r>
            <w:r>
              <w:rPr>
                <w:color w:val="404040" w:themeColor="text1" w:themeTint="BF"/>
              </w:rPr>
              <w:t xml:space="preserve"> 1x10</w:t>
            </w:r>
            <w:r>
              <w:rPr>
                <w:color w:val="404040" w:themeColor="text1" w:themeTint="BF"/>
                <w:vertAlign w:val="superscript"/>
              </w:rPr>
              <w:t>9</w:t>
            </w:r>
            <w:r>
              <w:rPr>
                <w:color w:val="404040" w:themeColor="text1" w:themeTint="BF"/>
              </w:rPr>
              <w:t xml:space="preserve"> UFC</w:t>
            </w:r>
          </w:p>
        </w:tc>
      </w:tr>
      <w:tr w:rsidR="00CD65C2" w14:paraId="38B2CACF"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F2FD2B3" w14:textId="77777777" w:rsidR="00CD65C2" w:rsidRDefault="00FA41FC">
            <w:pPr>
              <w:pStyle w:val="Corpo"/>
              <w:jc w:val="center"/>
              <w:rPr>
                <w:rFonts w:hint="eastAsia"/>
                <w:i/>
                <w:iCs/>
                <w:color w:val="404040" w:themeColor="text1" w:themeTint="BF"/>
              </w:rPr>
            </w:pPr>
            <w:r>
              <w:rPr>
                <w:i/>
                <w:iCs/>
                <w:color w:val="404040" w:themeColor="text1" w:themeTint="BF"/>
              </w:rPr>
              <w:t>Streptococcus thermophilus......</w:t>
            </w:r>
            <w:r>
              <w:rPr>
                <w:color w:val="404040" w:themeColor="text1" w:themeTint="BF"/>
              </w:rPr>
              <w:t>1x10</w:t>
            </w:r>
            <w:r>
              <w:rPr>
                <w:color w:val="404040" w:themeColor="text1" w:themeTint="BF"/>
                <w:vertAlign w:val="superscript"/>
              </w:rPr>
              <w:t>9</w:t>
            </w:r>
            <w:r>
              <w:rPr>
                <w:color w:val="404040" w:themeColor="text1" w:themeTint="BF"/>
              </w:rPr>
              <w:t xml:space="preserve"> UFC</w:t>
            </w:r>
          </w:p>
        </w:tc>
      </w:tr>
      <w:tr w:rsidR="00CD65C2" w14:paraId="36810F78"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E1B405D" w14:textId="77777777" w:rsidR="00CD65C2" w:rsidRDefault="00FA41FC">
            <w:pPr>
              <w:pStyle w:val="Corpo"/>
              <w:jc w:val="center"/>
              <w:rPr>
                <w:rFonts w:hint="eastAsia"/>
                <w:color w:val="404040" w:themeColor="text1" w:themeTint="BF"/>
              </w:rPr>
            </w:pPr>
            <w:r>
              <w:rPr>
                <w:color w:val="404040" w:themeColor="text1" w:themeTint="BF"/>
              </w:rPr>
              <w:t>FOS...............................................38,5 mg</w:t>
            </w:r>
          </w:p>
        </w:tc>
      </w:tr>
      <w:tr w:rsidR="00CD65C2" w14:paraId="4D147EF8"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03B46B6" w14:textId="007021FC" w:rsidR="00CD65C2" w:rsidRDefault="00FA41FC">
            <w:pPr>
              <w:pStyle w:val="Corpo"/>
              <w:jc w:val="center"/>
              <w:rPr>
                <w:rFonts w:hint="eastAsia"/>
                <w:color w:val="404040" w:themeColor="text1" w:themeTint="BF"/>
              </w:rPr>
            </w:pPr>
            <w:r>
              <w:rPr>
                <w:color w:val="404040" w:themeColor="text1" w:themeTint="BF"/>
              </w:rPr>
              <w:t>Excipiente q.s.p. ...........................1 Sachê</w:t>
            </w:r>
          </w:p>
        </w:tc>
      </w:tr>
    </w:tbl>
    <w:p w14:paraId="2657DB8B" w14:textId="77777777" w:rsidR="00CD65C2" w:rsidRDefault="00FA41FC">
      <w:pPr>
        <w:pStyle w:val="Corpo"/>
        <w:ind w:right="4762"/>
        <w:jc w:val="center"/>
        <w:rPr>
          <w:rFonts w:hint="eastAsia"/>
          <w:color w:val="404040" w:themeColor="text1" w:themeTint="BF"/>
          <w:sz w:val="22"/>
          <w:szCs w:val="22"/>
        </w:rPr>
      </w:pPr>
      <w:r>
        <w:rPr>
          <w:color w:val="404040" w:themeColor="text1" w:themeTint="BF"/>
          <w:sz w:val="22"/>
          <w:szCs w:val="22"/>
        </w:rPr>
        <w:t>Administrar 1 sachê ao dia ou conforme orientação médica.</w:t>
      </w:r>
    </w:p>
    <w:p w14:paraId="138E291C" w14:textId="77777777" w:rsidR="00CD65C2" w:rsidRDefault="00CD65C2">
      <w:pPr>
        <w:pStyle w:val="Corpo"/>
        <w:spacing w:line="276" w:lineRule="auto"/>
        <w:rPr>
          <w:rFonts w:hint="eastAsia"/>
          <w:b/>
          <w:color w:val="404040" w:themeColor="text1" w:themeTint="BF"/>
        </w:rPr>
      </w:pPr>
    </w:p>
    <w:p w14:paraId="4FCBC0D5" w14:textId="77777777" w:rsidR="00CD65C2" w:rsidRDefault="00CD65C2">
      <w:pPr>
        <w:pStyle w:val="Corpo"/>
        <w:spacing w:line="276" w:lineRule="auto"/>
        <w:rPr>
          <w:rFonts w:hint="eastAsia"/>
          <w:b/>
          <w:color w:val="404040" w:themeColor="text1" w:themeTint="BF"/>
        </w:rPr>
      </w:pPr>
    </w:p>
    <w:p w14:paraId="56B184EB" w14:textId="77777777" w:rsidR="00CD65C2" w:rsidRDefault="00CD65C2">
      <w:pPr>
        <w:pStyle w:val="Corpo"/>
        <w:spacing w:line="276" w:lineRule="auto"/>
        <w:rPr>
          <w:rFonts w:hint="eastAsia"/>
          <w:b/>
          <w:color w:val="404040" w:themeColor="text1" w:themeTint="BF"/>
        </w:rPr>
      </w:pPr>
    </w:p>
    <w:p w14:paraId="73450788" w14:textId="77777777" w:rsidR="00CD65C2" w:rsidRDefault="00CD65C2">
      <w:pPr>
        <w:pStyle w:val="Corpo"/>
        <w:spacing w:line="276" w:lineRule="auto"/>
        <w:rPr>
          <w:rFonts w:hint="eastAsia"/>
          <w:b/>
          <w:color w:val="404040" w:themeColor="text1" w:themeTint="BF"/>
        </w:rPr>
      </w:pPr>
    </w:p>
    <w:p w14:paraId="3A3ED648" w14:textId="77777777" w:rsidR="00CD65C2" w:rsidRDefault="00CD65C2">
      <w:pPr>
        <w:pStyle w:val="Corpo"/>
        <w:spacing w:line="276" w:lineRule="auto"/>
        <w:rPr>
          <w:rFonts w:hint="eastAsia"/>
          <w:b/>
          <w:color w:val="404040" w:themeColor="text1" w:themeTint="BF"/>
        </w:rPr>
      </w:pPr>
    </w:p>
    <w:p w14:paraId="17AF54F6" w14:textId="77777777" w:rsidR="00CD65C2" w:rsidRDefault="00CD65C2">
      <w:pPr>
        <w:pStyle w:val="Corpo"/>
        <w:spacing w:line="276" w:lineRule="auto"/>
        <w:rPr>
          <w:rFonts w:hint="eastAsia"/>
          <w:b/>
          <w:color w:val="404040" w:themeColor="text1" w:themeTint="BF"/>
        </w:rPr>
      </w:pPr>
    </w:p>
    <w:p w14:paraId="3C5B1BD0" w14:textId="77777777" w:rsidR="00CD65C2" w:rsidRDefault="00CD65C2">
      <w:pPr>
        <w:pStyle w:val="Corpo"/>
        <w:spacing w:line="276" w:lineRule="auto"/>
        <w:rPr>
          <w:rFonts w:hint="eastAsia"/>
          <w:b/>
          <w:color w:val="404040" w:themeColor="text1" w:themeTint="BF"/>
        </w:rPr>
      </w:pPr>
    </w:p>
    <w:p w14:paraId="0E46C81E" w14:textId="77777777" w:rsidR="00CD65C2" w:rsidRDefault="00CD65C2">
      <w:pPr>
        <w:pStyle w:val="Corpo"/>
        <w:spacing w:line="276" w:lineRule="auto"/>
        <w:rPr>
          <w:rFonts w:hint="eastAsia"/>
          <w:b/>
          <w:color w:val="404040" w:themeColor="text1" w:themeTint="BF"/>
        </w:rPr>
      </w:pPr>
    </w:p>
    <w:p w14:paraId="4C77DA4C" w14:textId="77777777" w:rsidR="00CD65C2" w:rsidRDefault="00CD65C2">
      <w:pPr>
        <w:pStyle w:val="Corpo"/>
        <w:spacing w:line="276" w:lineRule="auto"/>
        <w:rPr>
          <w:rFonts w:hint="eastAsia"/>
          <w:b/>
          <w:color w:val="404040" w:themeColor="text1" w:themeTint="BF"/>
        </w:rPr>
      </w:pPr>
    </w:p>
    <w:p w14:paraId="2CFE86AD" w14:textId="77777777" w:rsidR="00CD65C2" w:rsidRDefault="00CD65C2">
      <w:pPr>
        <w:pStyle w:val="Corpo"/>
        <w:spacing w:line="276" w:lineRule="auto"/>
        <w:rPr>
          <w:rFonts w:hint="eastAsia"/>
          <w:b/>
          <w:color w:val="404040" w:themeColor="text1" w:themeTint="BF"/>
        </w:rPr>
      </w:pPr>
    </w:p>
    <w:p w14:paraId="3B81785C" w14:textId="77777777" w:rsidR="00CD65C2" w:rsidRDefault="00CD65C2">
      <w:pPr>
        <w:pStyle w:val="Corpo"/>
        <w:spacing w:line="276" w:lineRule="auto"/>
        <w:rPr>
          <w:rFonts w:hint="eastAsia"/>
          <w:b/>
          <w:color w:val="404040" w:themeColor="text1" w:themeTint="BF"/>
        </w:rPr>
      </w:pPr>
    </w:p>
    <w:p w14:paraId="70F32F45" w14:textId="77777777" w:rsidR="00CD65C2" w:rsidRDefault="00CD65C2">
      <w:pPr>
        <w:pStyle w:val="Corpo"/>
        <w:spacing w:line="276" w:lineRule="auto"/>
        <w:rPr>
          <w:rFonts w:hint="eastAsia"/>
          <w:b/>
          <w:color w:val="404040" w:themeColor="text1" w:themeTint="BF"/>
        </w:rPr>
      </w:pPr>
    </w:p>
    <w:p w14:paraId="3C695FB4" w14:textId="77777777" w:rsidR="00CD65C2" w:rsidRDefault="00CD65C2">
      <w:pPr>
        <w:pStyle w:val="Corpo"/>
        <w:spacing w:line="276" w:lineRule="auto"/>
        <w:rPr>
          <w:rFonts w:hint="eastAsia"/>
          <w:b/>
          <w:color w:val="404040" w:themeColor="text1" w:themeTint="BF"/>
        </w:rPr>
      </w:pPr>
    </w:p>
    <w:p w14:paraId="31895D20" w14:textId="77777777" w:rsidR="00CD65C2" w:rsidRDefault="00CD65C2">
      <w:pPr>
        <w:pStyle w:val="Corpo"/>
        <w:spacing w:line="276" w:lineRule="auto"/>
        <w:rPr>
          <w:rFonts w:hint="eastAsia"/>
          <w:b/>
          <w:color w:val="404040" w:themeColor="text1" w:themeTint="BF"/>
        </w:rPr>
      </w:pPr>
    </w:p>
    <w:p w14:paraId="7DC65B34" w14:textId="77777777" w:rsidR="00CD65C2" w:rsidRDefault="00CD65C2">
      <w:pPr>
        <w:pStyle w:val="Corpo"/>
        <w:spacing w:line="276" w:lineRule="auto"/>
        <w:rPr>
          <w:rFonts w:hint="eastAsia"/>
          <w:b/>
          <w:color w:val="404040" w:themeColor="text1" w:themeTint="BF"/>
        </w:rPr>
      </w:pPr>
    </w:p>
    <w:p w14:paraId="3DA5DE24" w14:textId="77777777" w:rsidR="00CD65C2" w:rsidRDefault="00FA41FC">
      <w:pPr>
        <w:pStyle w:val="Ttulo1"/>
        <w:jc w:val="center"/>
        <w:rPr>
          <w:rFonts w:hint="eastAsia"/>
        </w:rPr>
      </w:pPr>
      <w:bookmarkStart w:id="195" w:name="_Toc165537342"/>
      <w:r>
        <w:rPr>
          <w:bCs/>
          <w:iCs/>
        </w:rPr>
        <w:t>Inulina</w:t>
      </w:r>
      <w:bookmarkEnd w:id="195"/>
    </w:p>
    <w:p w14:paraId="1F47D57C" w14:textId="77777777" w:rsidR="00CD65C2" w:rsidRPr="00D1428E" w:rsidRDefault="00FA41FC">
      <w:pPr>
        <w:pStyle w:val="Corpo"/>
        <w:spacing w:after="120"/>
        <w:jc w:val="center"/>
        <w:rPr>
          <w:rFonts w:hint="eastAsia"/>
          <w:color w:val="0070C0"/>
          <w:sz w:val="24"/>
        </w:rPr>
      </w:pPr>
      <w:r w:rsidRPr="00D1428E">
        <w:rPr>
          <w:b/>
          <w:color w:val="0070C0"/>
          <w:sz w:val="40"/>
        </w:rPr>
        <w:t>Reduz a Pressão Arterial em Mulheres com Câncer de Mama</w:t>
      </w:r>
    </w:p>
    <w:p w14:paraId="1EF492E9" w14:textId="77777777" w:rsidR="00CD65C2" w:rsidRDefault="00CD65C2">
      <w:pPr>
        <w:pStyle w:val="Corpo"/>
        <w:rPr>
          <w:rFonts w:hint="eastAsia"/>
          <w:color w:val="404040" w:themeColor="text1" w:themeTint="BF"/>
          <w:sz w:val="24"/>
        </w:rPr>
      </w:pPr>
    </w:p>
    <w:p w14:paraId="27B4C26C" w14:textId="68D4839B" w:rsidR="00CD65C2" w:rsidRDefault="00FA41FC">
      <w:pPr>
        <w:pStyle w:val="Corpo"/>
        <w:spacing w:after="120"/>
        <w:rPr>
          <w:rFonts w:hint="eastAsia"/>
          <w:color w:val="404040" w:themeColor="text1" w:themeTint="BF"/>
          <w:szCs w:val="23"/>
        </w:rPr>
      </w:pPr>
      <w:r>
        <w:rPr>
          <w:color w:val="404040" w:themeColor="text1" w:themeTint="BF"/>
          <w:szCs w:val="23"/>
        </w:rPr>
        <w:t xml:space="preserve">Este estudo teve como objetivo determinar os efeitos da suplementação de inulina na prevenção do aumento da pressão arterial em mulheres com câncer de mama sob terapia neoadjuvante com ciclofosfamida e doxorubicina </w:t>
      </w:r>
      <w:r>
        <w:rPr>
          <w:color w:val="404040" w:themeColor="text1" w:themeTint="BF"/>
          <w:szCs w:val="23"/>
        </w:rPr>
        <w:fldChar w:fldCharType="begin"/>
      </w:r>
      <w:r>
        <w:rPr>
          <w:color w:val="404040" w:themeColor="text1" w:themeTint="BF"/>
          <w:szCs w:val="23"/>
        </w:rPr>
        <w:instrText xml:space="preserve"> ADDIN EN.CITE &lt;EndNote&gt;&lt;Cite&gt;&lt;Author&gt;Becerril-Alarcon&lt;/Author&gt;&lt;Year&gt;2019&lt;/Year&gt;&lt;IDText&gt;Inulin Supplementation Reduces Systolic Blood Pressure in Women with Breast Cancer Undergoing Neoadjuvant Chemotherapy&lt;/IDText&gt;&lt;DisplayText&gt;(BECERRIL-ALARCON; CAMPOS-GOMEZ; VALDEZ-ANDRADE; CAMPOS-GOMEZ&lt;style face="italic"&gt; et al.&lt;/style&gt;, 2019)&lt;/DisplayText&gt;&lt;record&gt;&lt;isbn&gt;1755-5914&lt;/isbn&gt;&lt;custom2&gt;PMC6739761&lt;/custom2&gt;&lt;titles&gt;&lt;title&gt;Inulin Supplementation Reduces Systolic Blood Pressure in Women with Breast Cancer Undergoing Neoadjuvant Chemotherapy&lt;/title&gt;&lt;secondary-title&gt;Cardiovasc Ther&lt;/secondary-title&gt;&lt;/titles&gt;&lt;pages&gt;5707150&lt;/pages&gt;&lt;contributors&gt;&lt;authors&gt;&lt;author&gt;Becerril-Alarcon, Y.&lt;/author&gt;&lt;author&gt;Campos-Gomez, S.&lt;/author&gt;&lt;author&gt;Valdez-Andrade, J. J.&lt;/author&gt;&lt;author&gt;Campos-Gomez, K. A.&lt;/author&gt;&lt;author&gt;Reyes-Barretero, D. Y.&lt;/author&gt;&lt;author&gt;Benitez-Arciniega, A. D.&lt;/author&gt;&lt;author&gt;Valdes-Ramos, R.&lt;/author&gt;&lt;author&gt;Soto-Pina, A. E.&lt;/author&gt;&lt;/authors&gt;&lt;/contributors&gt;&lt;edition&gt;2019/11/28&lt;/edition&gt;&lt;language&gt;eng&lt;/language&gt;&lt;added-date format="utc"&gt;1579114038&lt;/added-date&gt;&lt;ref-type name="Journal Article"&gt;17&lt;/ref-type&gt;&lt;auth-address&gt;Facultad de Medicina, Universidad Autonoma del Estado de Mexico, Mexico.&amp;#xD;Departamento de Oncologia Medica, Centro Oncologico Estatal ISSEMYM, Mexico.&lt;/auth-address&gt;&lt;dates&gt;&lt;year&gt;2019&lt;/year&gt;&lt;/dates&gt;&lt;remote-database-provider&gt;NLM&lt;/remote-database-provider&gt;&lt;rec-number&gt;1040&lt;/rec-number&gt;&lt;last-updated-date format="utc"&gt;1579114038&lt;/last-updated-date&gt;&lt;accession-num&gt;31772611&lt;/accession-num&gt;&lt;electronic-resource-num&gt;10.1155/2019/5707150&lt;/electronic-resource-num&gt;&lt;volume&gt;2019&lt;/volume&gt;&lt;/record&gt;&lt;/Cite&gt;&lt;/EndNote&gt;</w:instrText>
      </w:r>
      <w:r>
        <w:rPr>
          <w:color w:val="404040" w:themeColor="text1" w:themeTint="BF"/>
          <w:szCs w:val="23"/>
        </w:rPr>
        <w:fldChar w:fldCharType="separate"/>
      </w:r>
      <w:r>
        <w:rPr>
          <w:color w:val="404040" w:themeColor="text1" w:themeTint="BF"/>
          <w:szCs w:val="23"/>
        </w:rPr>
        <w:t>(BECERRIL-ALARCON; CAMPOS-GOMEZ; VALDEZ-ANDRADE; CAMPOS-GOMEZ</w:t>
      </w:r>
      <w:r>
        <w:rPr>
          <w:i/>
          <w:color w:val="404040" w:themeColor="text1" w:themeTint="BF"/>
          <w:szCs w:val="23"/>
        </w:rPr>
        <w:t xml:space="preserve"> et al.</w:t>
      </w:r>
      <w:r>
        <w:rPr>
          <w:color w:val="404040" w:themeColor="text1" w:themeTint="BF"/>
          <w:szCs w:val="23"/>
        </w:rPr>
        <w:t>, 2019)</w:t>
      </w:r>
      <w:r>
        <w:rPr>
          <w:color w:val="404040" w:themeColor="text1" w:themeTint="BF"/>
          <w:szCs w:val="23"/>
        </w:rPr>
        <w:fldChar w:fldCharType="end"/>
      </w:r>
      <w:r>
        <w:rPr>
          <w:color w:val="404040" w:themeColor="text1" w:themeTint="BF"/>
          <w:szCs w:val="23"/>
        </w:rPr>
        <w:t xml:space="preserve">. </w:t>
      </w:r>
    </w:p>
    <w:p w14:paraId="5C93718A" w14:textId="77777777" w:rsidR="00CD65C2" w:rsidRDefault="00FA41FC">
      <w:pPr>
        <w:pStyle w:val="Corpo"/>
        <w:rPr>
          <w:rFonts w:hint="eastAsia"/>
          <w:color w:val="404040" w:themeColor="text1" w:themeTint="BF"/>
          <w:szCs w:val="23"/>
        </w:rPr>
      </w:pPr>
      <w:r>
        <w:rPr>
          <w:noProof/>
          <w:color w:val="404040" w:themeColor="text1" w:themeTint="BF"/>
          <w:szCs w:val="23"/>
          <w:lang w:eastAsia="pt-BR"/>
        </w:rPr>
        <mc:AlternateContent>
          <mc:Choice Requires="wps">
            <w:drawing>
              <wp:anchor distT="0" distB="0" distL="114300" distR="114300" simplePos="0" relativeHeight="252038144" behindDoc="0" locked="0" layoutInCell="1" allowOverlap="1">
                <wp:simplePos x="0" y="0"/>
                <wp:positionH relativeFrom="margin">
                  <wp:posOffset>-12065</wp:posOffset>
                </wp:positionH>
                <wp:positionV relativeFrom="paragraph">
                  <wp:posOffset>36195</wp:posOffset>
                </wp:positionV>
                <wp:extent cx="5743575" cy="518160"/>
                <wp:effectExtent l="0" t="0" r="28575" b="15240"/>
                <wp:wrapNone/>
                <wp:docPr id="739657969" name="Caixa de texto 739657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0070C0"/>
                          </a:solidFill>
                          <a:miter lim="800000"/>
                        </a:ln>
                      </wps:spPr>
                      <wps:txbx>
                        <w:txbxContent>
                          <w:p w14:paraId="4C5D5386" w14:textId="31B568A5" w:rsidR="00FA41FC" w:rsidRDefault="00FA41FC">
                            <w:pPr>
                              <w:jc w:val="center"/>
                              <w:rPr>
                                <w:rFonts w:ascii="Swis721 Th BT" w:hAnsi="Swis721 Th BT"/>
                                <w:sz w:val="23"/>
                                <w:szCs w:val="23"/>
                              </w:rPr>
                            </w:pPr>
                            <w:r>
                              <w:rPr>
                                <w:rFonts w:ascii="Swis721 Th BT" w:hAnsi="Swis721 Th BT"/>
                                <w:sz w:val="23"/>
                                <w:szCs w:val="23"/>
                              </w:rPr>
                              <w:t>Para isso, 38 mulheres com câncer de mama em estágio inicial e sob terapia neoadjuvante foram randomizadas em dois grupos para receberem durante 21 dias:</w:t>
                            </w:r>
                          </w:p>
                        </w:txbxContent>
                      </wps:txbx>
                      <wps:bodyPr rot="0" vert="horz" wrap="square" lIns="91440" tIns="45720" rIns="91440" bIns="45720" anchor="t" anchorCtr="0" upright="1">
                        <a:noAutofit/>
                      </wps:bodyPr>
                    </wps:wsp>
                  </a:graphicData>
                </a:graphic>
              </wp:anchor>
            </w:drawing>
          </mc:Choice>
          <mc:Fallback>
            <w:pict>
              <v:shape id="Caixa de texto 739657969" o:spid="_x0000_s1277" type="#_x0000_t202" style="position:absolute;left:0;text-align:left;margin-left:-.95pt;margin-top:2.85pt;width:452.25pt;height:40.8pt;z-index:2520381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" fillcolor="white [3212]" strokecolor="#0070c0">
                <v:textbox>
                  <w:txbxContent>
                    <w:p w14:paraId="4C5D5386" w14:textId="31B568A5" w:rsidR="00FA41FC" w:rsidRDefault="00FA41FC">
                      <w:pPr>
                        <w:jc w:val="center"/>
                        <w:rPr>
                          <w:rFonts w:ascii="Swis721 Th BT" w:hAnsi="Swis721 Th BT"/>
                          <w:sz w:val="23"/>
                          <w:szCs w:val="23"/>
                        </w:rPr>
                      </w:pPr>
                      <w:r>
                        <w:rPr>
                          <w:rFonts w:ascii="Swis721 Th BT" w:hAnsi="Swis721 Th BT"/>
                          <w:sz w:val="23"/>
                          <w:szCs w:val="23"/>
                        </w:rPr>
                        <w:t>Para isso, 38 mulheres com câncer de mama em estágio inicial e sob terapia neoadjuvante foram randomizadas em dois grupos para receberem durante 21 dias:</w:t>
                      </w:r>
                    </w:p>
                  </w:txbxContent>
                </v:textbox>
                <w10:wrap anchorx="margin"/>
              </v:shape>
            </w:pict>
          </mc:Fallback>
        </mc:AlternateContent>
      </w:r>
      <w:r>
        <w:rPr>
          <w:color w:val="404040" w:themeColor="text1" w:themeTint="BF"/>
          <w:szCs w:val="23"/>
        </w:rPr>
        <w:br/>
      </w:r>
    </w:p>
    <w:p w14:paraId="335A19DE" w14:textId="77777777" w:rsidR="00CD65C2" w:rsidRDefault="00CD65C2">
      <w:pPr>
        <w:pStyle w:val="Corpo"/>
        <w:rPr>
          <w:rFonts w:hint="eastAsia"/>
          <w:color w:val="404040" w:themeColor="text1" w:themeTint="BF"/>
          <w:szCs w:val="23"/>
        </w:rPr>
      </w:pPr>
    </w:p>
    <w:p w14:paraId="229F197D" w14:textId="77777777" w:rsidR="00CD65C2" w:rsidRDefault="00FA41FC">
      <w:pPr>
        <w:pStyle w:val="Corpo"/>
        <w:rPr>
          <w:rFonts w:hint="eastAsia"/>
          <w:color w:val="404040" w:themeColor="text1" w:themeTint="BF"/>
          <w:szCs w:val="23"/>
        </w:rPr>
      </w:pPr>
      <w:r>
        <w:rPr>
          <w:noProof/>
          <w:color w:val="404040" w:themeColor="text1" w:themeTint="BF"/>
          <w:szCs w:val="23"/>
          <w:lang w:eastAsia="pt-BR"/>
        </w:rPr>
        <mc:AlternateContent>
          <mc:Choice Requires="wps">
            <w:drawing>
              <wp:anchor distT="0" distB="0" distL="114300" distR="114300" simplePos="0" relativeHeight="252039168" behindDoc="0" locked="0" layoutInCell="1" allowOverlap="1">
                <wp:simplePos x="0" y="0"/>
                <wp:positionH relativeFrom="margin">
                  <wp:align>left</wp:align>
                </wp:positionH>
                <wp:positionV relativeFrom="paragraph">
                  <wp:posOffset>253365</wp:posOffset>
                </wp:positionV>
                <wp:extent cx="1913890" cy="685800"/>
                <wp:effectExtent l="0" t="0" r="10160" b="19050"/>
                <wp:wrapNone/>
                <wp:docPr id="739657970" name="Caixa de texto 739657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685800"/>
                        </a:xfrm>
                        <a:prstGeom prst="rect">
                          <a:avLst/>
                        </a:prstGeom>
                        <a:solidFill>
                          <a:srgbClr val="0070C0"/>
                        </a:solidFill>
                        <a:ln w="9525">
                          <a:solidFill>
                            <a:srgbClr val="0070C0"/>
                          </a:solidFill>
                          <a:miter lim="800000"/>
                        </a:ln>
                      </wps:spPr>
                      <wps:txbx>
                        <w:txbxContent>
                          <w:p w14:paraId="37192EAF"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Inulina</w:t>
                            </w:r>
                          </w:p>
                          <w:p w14:paraId="5C20B5C8"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15 g</w:t>
                            </w:r>
                            <w:r>
                              <w:rPr>
                                <w:rFonts w:ascii="Swis721 Th BT" w:hAnsi="Swis721 Th BT"/>
                                <w:color w:val="FFFFFF" w:themeColor="background1"/>
                                <w:szCs w:val="23"/>
                              </w:rPr>
                              <w:t xml:space="preserve"> ao dia (café da manhã)</w:t>
                            </w:r>
                          </w:p>
                        </w:txbxContent>
                      </wps:txbx>
                      <wps:bodyPr rot="0" vert="horz" wrap="square" lIns="91440" tIns="45720" rIns="91440" bIns="45720" anchor="ctr" anchorCtr="0" upright="1">
                        <a:noAutofit/>
                      </wps:bodyPr>
                    </wps:wsp>
                  </a:graphicData>
                </a:graphic>
              </wp:anchor>
            </w:drawing>
          </mc:Choice>
          <mc:Fallback>
            <w:pict>
              <v:shape id="Caixa de texto 739657970" o:spid="_x0000_s1278" type="#_x0000_t202" style="position:absolute;left:0;text-align:left;margin-left:0;margin-top:19.95pt;width:150.7pt;height:54pt;z-index:25203916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" fillcolor="#0070c0" strokecolor="#0070c0">
                <v:textbox>
                  <w:txbxContent>
                    <w:p w14:paraId="37192EAF" w14:textId="77777777" w:rsidR="00FA41FC" w:rsidRDefault="00FA41FC">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Inulina</w:t>
                      </w:r>
                    </w:p>
                    <w:p w14:paraId="5C20B5C8" w14:textId="77777777" w:rsidR="00FA41FC" w:rsidRDefault="00FA41F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15 g</w:t>
                      </w:r>
                      <w:r>
                        <w:rPr>
                          <w:rFonts w:ascii="Swis721 Th BT" w:hAnsi="Swis721 Th BT"/>
                          <w:color w:val="FFFFFF" w:themeColor="background1"/>
                          <w:szCs w:val="23"/>
                        </w:rPr>
                        <w:t xml:space="preserve"> ao dia (café da manhã)</w:t>
                      </w:r>
                    </w:p>
                  </w:txbxContent>
                </v:textbox>
                <w10:wrap anchorx="margin"/>
              </v:shape>
            </w:pict>
          </mc:Fallback>
        </mc:AlternateContent>
      </w:r>
      <w:r>
        <w:rPr>
          <w:noProof/>
          <w:color w:val="404040" w:themeColor="text1" w:themeTint="BF"/>
          <w:szCs w:val="23"/>
          <w:lang w:eastAsia="pt-BR"/>
        </w:rPr>
        <mc:AlternateContent>
          <mc:Choice Requires="wps">
            <w:drawing>
              <wp:anchor distT="0" distB="0" distL="114300" distR="114300" simplePos="0" relativeHeight="252040192" behindDoc="0" locked="0" layoutInCell="1" allowOverlap="1">
                <wp:simplePos x="0" y="0"/>
                <wp:positionH relativeFrom="column">
                  <wp:posOffset>4674235</wp:posOffset>
                </wp:positionH>
                <wp:positionV relativeFrom="paragraph">
                  <wp:posOffset>65405</wp:posOffset>
                </wp:positionV>
                <wp:extent cx="226695" cy="138430"/>
                <wp:effectExtent l="0" t="0" r="1905" b="0"/>
                <wp:wrapNone/>
                <wp:docPr id="739657971" name="Triângulo isósceles 739657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971" o:spid="_x0000_s1026" o:spt="5" type="#_x0000_t5" style="position:absolute;left:0pt;flip:y;margin-left:368.05pt;margin-top:5.15pt;height:10.9pt;width:17.85pt;z-index:252040192;mso-width-relative:page;mso-height-relative:page;" fillcolor="#D9D9D9 [3212]" filled="t" stroked="f" coordsize="21600,21600" o:gfxdata="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BZHWAvWAAAACQEAAA8AAAAAAAAAAQAgAAAAIgAAAGRycy9kb3ducmV2LnhtbFBLAQIUABQAAAAI&#10;AIdO4kD2R8ZEYQIAALMEAAAOAAAAAAAAAAEAIAAAACUBAABkcnMvZTJvRG9jLnhtbFBLBQYAAAAA&#10;BgAGAFkBAAD4BQAAAAA=&#10;" adj="10800">
                <v:fill on="t" focussize="0,0"/>
                <v:stroke on="f"/>
                <v:imagedata o:title=""/>
                <o:lock v:ext="edit" aspectratio="f"/>
              </v:shape>
            </w:pict>
          </mc:Fallback>
        </mc:AlternateContent>
      </w:r>
      <w:r>
        <w:rPr>
          <w:noProof/>
          <w:color w:val="404040" w:themeColor="text1" w:themeTint="BF"/>
          <w:szCs w:val="23"/>
          <w:lang w:eastAsia="pt-BR"/>
        </w:rPr>
        <mc:AlternateContent>
          <mc:Choice Requires="wps">
            <w:drawing>
              <wp:anchor distT="0" distB="0" distL="114300" distR="114300" simplePos="0" relativeHeight="252041216" behindDoc="0" locked="0" layoutInCell="1" allowOverlap="1">
                <wp:simplePos x="0" y="0"/>
                <wp:positionH relativeFrom="column">
                  <wp:posOffset>847725</wp:posOffset>
                </wp:positionH>
                <wp:positionV relativeFrom="paragraph">
                  <wp:posOffset>55880</wp:posOffset>
                </wp:positionV>
                <wp:extent cx="226695" cy="138430"/>
                <wp:effectExtent l="0" t="0" r="1905" b="0"/>
                <wp:wrapNone/>
                <wp:docPr id="739657972" name="Triângulo isósceles 7396579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39657972" o:spid="_x0000_s1026" o:spt="5" type="#_x0000_t5" style="position:absolute;left:0pt;flip:y;margin-left:66.75pt;margin-top:4.4pt;height:10.9pt;width:17.85pt;z-index:252041216;mso-width-relative:page;mso-height-relative:page;" fillcolor="#D9D9D9 [3212]" filled="t" stroked="f" coordsize="21600,21600" o:gfxdata="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nYPvnWAAAACAEAAA8AAAAAAAAAAQAgAAAAIgAAAGRycy9kb3ducmV2LnhtbFBLAQIUABQAAAAI&#10;AIdO4kAOtc6PYQIAALMEAAAOAAAAAAAAAAEAIAAAACUBAABkcnMvZTJvRG9jLnhtbFBLBQYAAAAA&#10;BgAGAFkBAAD4BQAAAAA=&#10;" adj="10800">
                <v:fill on="t" focussize="0,0"/>
                <v:stroke on="f"/>
                <v:imagedata o:title=""/>
                <o:lock v:ext="edit" aspectratio="f"/>
              </v:shape>
            </w:pict>
          </mc:Fallback>
        </mc:AlternateContent>
      </w:r>
    </w:p>
    <w:p w14:paraId="6DEA9B10" w14:textId="77777777" w:rsidR="00CD65C2" w:rsidRDefault="00FA41FC">
      <w:pPr>
        <w:pStyle w:val="Corpo"/>
        <w:rPr>
          <w:rFonts w:hint="eastAsia"/>
          <w:color w:val="404040" w:themeColor="text1" w:themeTint="BF"/>
          <w:szCs w:val="23"/>
        </w:rPr>
      </w:pPr>
      <w:r>
        <w:rPr>
          <w:noProof/>
          <w:color w:val="404040" w:themeColor="text1" w:themeTint="BF"/>
          <w:szCs w:val="23"/>
          <w:lang w:eastAsia="pt-BR"/>
        </w:rPr>
        <mc:AlternateContent>
          <mc:Choice Requires="wps">
            <w:drawing>
              <wp:anchor distT="0" distB="0" distL="114300" distR="114300" simplePos="0" relativeHeight="252042240" behindDoc="0" locked="0" layoutInCell="1" allowOverlap="1">
                <wp:simplePos x="0" y="0"/>
                <wp:positionH relativeFrom="margin">
                  <wp:align>right</wp:align>
                </wp:positionH>
                <wp:positionV relativeFrom="paragraph">
                  <wp:posOffset>85090</wp:posOffset>
                </wp:positionV>
                <wp:extent cx="1905000" cy="685800"/>
                <wp:effectExtent l="0" t="0" r="19050" b="19050"/>
                <wp:wrapNone/>
                <wp:docPr id="739657973" name="Caixa de texto 7396579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85800"/>
                        </a:xfrm>
                        <a:prstGeom prst="rect">
                          <a:avLst/>
                        </a:prstGeom>
                        <a:solidFill>
                          <a:srgbClr val="0070C0"/>
                        </a:solidFill>
                        <a:ln w="9525">
                          <a:solidFill>
                            <a:srgbClr val="0070C0"/>
                          </a:solidFill>
                          <a:miter lim="800000"/>
                        </a:ln>
                      </wps:spPr>
                      <wps:txbx>
                        <w:txbxContent>
                          <w:p w14:paraId="11C8D96F"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14:paraId="614A348A" w14:textId="77777777" w:rsidR="00FA41FC" w:rsidRDefault="00FA41FC">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739657973" o:spid="_x0000_s1279" type="#_x0000_t202" style="position:absolute;left:0;text-align:left;margin-left:98.8pt;margin-top:6.7pt;width:150pt;height:54pt;z-index:25204224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" fillcolor="#0070c0" strokecolor="#0070c0">
                <v:textbox>
                  <w:txbxContent>
                    <w:p w14:paraId="11C8D96F" w14:textId="77777777" w:rsidR="00FA41FC" w:rsidRDefault="00FA41F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14:paraId="614A348A" w14:textId="77777777" w:rsidR="00FA41FC" w:rsidRDefault="00FA41FC">
                      <w:pPr>
                        <w:spacing w:after="0" w:line="240" w:lineRule="auto"/>
                        <w:jc w:val="center"/>
                      </w:pPr>
                      <w:r>
                        <w:rPr>
                          <w:rFonts w:ascii="Swis721 Th BT" w:hAnsi="Swis721 Th BT"/>
                          <w:color w:val="FFFFFF" w:themeColor="background1"/>
                          <w:sz w:val="23"/>
                          <w:szCs w:val="23"/>
                        </w:rPr>
                        <w:t>Placebo</w:t>
                      </w:r>
                    </w:p>
                  </w:txbxContent>
                </v:textbox>
                <w10:wrap anchorx="margin"/>
              </v:shape>
            </w:pict>
          </mc:Fallback>
        </mc:AlternateContent>
      </w:r>
    </w:p>
    <w:p w14:paraId="76CE7B54" w14:textId="77777777" w:rsidR="00CD65C2" w:rsidRDefault="00CD65C2">
      <w:pPr>
        <w:pStyle w:val="Corpo"/>
        <w:rPr>
          <w:rFonts w:hint="eastAsia"/>
          <w:color w:val="404040" w:themeColor="text1" w:themeTint="BF"/>
          <w:szCs w:val="23"/>
        </w:rPr>
      </w:pPr>
    </w:p>
    <w:p w14:paraId="6A5E469D" w14:textId="77777777" w:rsidR="00CD65C2" w:rsidRDefault="00CD65C2">
      <w:pPr>
        <w:pStyle w:val="Corpo"/>
        <w:rPr>
          <w:rFonts w:hint="eastAsia"/>
          <w:color w:val="404040" w:themeColor="text1" w:themeTint="BF"/>
          <w:szCs w:val="23"/>
        </w:rPr>
      </w:pPr>
    </w:p>
    <w:p w14:paraId="3DC7F40A" w14:textId="77777777" w:rsidR="00CD65C2" w:rsidRDefault="00CD65C2">
      <w:pPr>
        <w:pStyle w:val="Corpo"/>
        <w:ind w:left="360"/>
        <w:rPr>
          <w:rFonts w:hint="eastAsia"/>
          <w:color w:val="404040" w:themeColor="text1" w:themeTint="BF"/>
        </w:rPr>
      </w:pPr>
    </w:p>
    <w:p w14:paraId="3AE9F8E7" w14:textId="77777777" w:rsidR="00CD65C2" w:rsidRDefault="00CD65C2">
      <w:pPr>
        <w:pStyle w:val="Corpo"/>
        <w:rPr>
          <w:rFonts w:hint="eastAsia"/>
          <w:color w:val="404040" w:themeColor="text1" w:themeTint="BF"/>
        </w:rPr>
      </w:pPr>
    </w:p>
    <w:p w14:paraId="3CFE8485" w14:textId="77777777" w:rsidR="00CD65C2" w:rsidRDefault="00FA41FC">
      <w:pPr>
        <w:pStyle w:val="Corpo"/>
        <w:rPr>
          <w:rFonts w:hint="eastAsia"/>
          <w:b/>
          <w:color w:val="339966"/>
          <w14:textFill>
            <w14:solidFill>
              <w14:srgbClr w14:val="339966">
                <w14:lumMod w14:val="75000"/>
                <w14:lumOff w14:val="25000"/>
              </w14:srgbClr>
            </w14:solidFill>
          </w14:textFill>
        </w:rPr>
      </w:pPr>
      <w:r>
        <w:rPr>
          <w:b/>
          <w:color w:val="339966"/>
          <w14:textFill>
            <w14:solidFill>
              <w14:srgbClr w14:val="339966">
                <w14:lumMod w14:val="75000"/>
                <w14:lumOff w14:val="25000"/>
              </w14:srgbClr>
            </w14:solidFill>
          </w14:textFill>
        </w:rPr>
        <w:t>Resultados:</w:t>
      </w:r>
    </w:p>
    <w:p w14:paraId="0B2EAA8D"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18519A99" w14:textId="3BC9C0F4" w:rsidR="00CD65C2" w:rsidRDefault="00FA41FC">
      <w:pPr>
        <w:pStyle w:val="Corpo"/>
        <w:numPr>
          <w:ilvl w:val="0"/>
          <w:numId w:val="5"/>
        </w:numPr>
        <w:spacing w:after="0"/>
        <w:rPr>
          <w:rFonts w:hint="eastAsia"/>
          <w:color w:val="404040" w:themeColor="text1" w:themeTint="BF"/>
          <w:szCs w:val="23"/>
        </w:rPr>
      </w:pPr>
      <w:r>
        <w:rPr>
          <w:color w:val="404040" w:themeColor="text1" w:themeTint="BF"/>
          <w:szCs w:val="23"/>
        </w:rPr>
        <w:t>As mulheres do grupo inulina mostraram pressão arterial sistólica (PAS) mais baixa após a suplementação (-4,21 mmHg), enquanto o grupo placebo demonstrou aumento da PAS;</w:t>
      </w:r>
    </w:p>
    <w:p w14:paraId="0DA49BFA" w14:textId="77777777" w:rsidR="00CD65C2" w:rsidRDefault="00FA41FC">
      <w:pPr>
        <w:pStyle w:val="Corpo"/>
        <w:numPr>
          <w:ilvl w:val="0"/>
          <w:numId w:val="5"/>
        </w:numPr>
        <w:spacing w:after="120"/>
        <w:rPr>
          <w:rFonts w:hint="eastAsia"/>
          <w:color w:val="404040" w:themeColor="text1" w:themeTint="BF"/>
          <w:szCs w:val="23"/>
        </w:rPr>
      </w:pPr>
      <w:r>
        <w:rPr>
          <w:color w:val="404040" w:themeColor="text1" w:themeTint="BF"/>
          <w:szCs w:val="23"/>
        </w:rPr>
        <w:t>O grupo 1 também demonstrou aumento do IMC e redução da porcentagem de gordura corporal.</w:t>
      </w:r>
    </w:p>
    <w:tbl>
      <w:tblPr>
        <w:tblStyle w:val="TabelaSimples52"/>
        <w:tblW w:w="0" w:type="auto"/>
        <w:jc w:val="center"/>
        <w:tblLook w:val="04A0" w:firstRow="1" w:lastRow="0" w:firstColumn="1" w:lastColumn="0" w:noHBand="0" w:noVBand="1"/>
      </w:tblPr>
      <w:tblGrid>
        <w:gridCol w:w="1719"/>
        <w:gridCol w:w="666"/>
        <w:gridCol w:w="1709"/>
        <w:gridCol w:w="666"/>
        <w:gridCol w:w="1709"/>
      </w:tblGrid>
      <w:tr w:rsidR="00CD65C2" w14:paraId="60FF83DA" w14:textId="77777777" w:rsidTr="00CD65C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719" w:type="dxa"/>
          </w:tcPr>
          <w:p w14:paraId="7F0088BA" w14:textId="77777777" w:rsidR="00CD65C2" w:rsidRDefault="00CD65C2">
            <w:pPr>
              <w:pStyle w:val="Corpo"/>
              <w:tabs>
                <w:tab w:val="left" w:pos="2760"/>
              </w:tabs>
              <w:spacing w:after="120"/>
              <w:jc w:val="center"/>
              <w:rPr>
                <w:rFonts w:hint="eastAsia"/>
                <w:i w:val="0"/>
                <w:iCs w:val="0"/>
                <w:color w:val="404040" w:themeColor="text1" w:themeTint="BF"/>
                <w:sz w:val="21"/>
                <w:szCs w:val="21"/>
              </w:rPr>
            </w:pPr>
          </w:p>
        </w:tc>
        <w:tc>
          <w:tcPr>
            <w:tcW w:w="0" w:type="auto"/>
            <w:gridSpan w:val="2"/>
          </w:tcPr>
          <w:p w14:paraId="528A4FA4" w14:textId="77777777" w:rsidR="00CD65C2" w:rsidRDefault="00FA41FC">
            <w:pPr>
              <w:pStyle w:val="Corpo"/>
              <w:tabs>
                <w:tab w:val="left" w:pos="2760"/>
              </w:tabs>
              <w:spacing w:after="120"/>
              <w:jc w:val="center"/>
              <w:cnfStyle w:val="100000000000" w:firstRow="1" w:lastRow="0" w:firstColumn="0" w:lastColumn="0" w:oddVBand="0" w:evenVBand="0" w:oddHBand="0" w:evenHBand="0" w:firstRowFirstColumn="0" w:firstRowLastColumn="0" w:lastRowFirstColumn="0" w:lastRowLastColumn="0"/>
              <w:rPr>
                <w:rFonts w:hint="eastAsia"/>
                <w:i w:val="0"/>
                <w:iCs w:val="0"/>
                <w:color w:val="404040" w:themeColor="text1" w:themeTint="BF"/>
                <w:sz w:val="21"/>
                <w:szCs w:val="21"/>
              </w:rPr>
            </w:pPr>
            <w:r>
              <w:rPr>
                <w:color w:val="404040" w:themeColor="text1" w:themeTint="BF"/>
                <w:sz w:val="21"/>
                <w:szCs w:val="21"/>
              </w:rPr>
              <w:t>Placebo</w:t>
            </w:r>
          </w:p>
        </w:tc>
        <w:tc>
          <w:tcPr>
            <w:tcW w:w="0" w:type="auto"/>
            <w:gridSpan w:val="2"/>
          </w:tcPr>
          <w:p w14:paraId="1F1E1B06" w14:textId="77777777" w:rsidR="00CD65C2" w:rsidRDefault="00FA41FC">
            <w:pPr>
              <w:pStyle w:val="Corpo"/>
              <w:tabs>
                <w:tab w:val="left" w:pos="2760"/>
              </w:tabs>
              <w:spacing w:after="120"/>
              <w:jc w:val="center"/>
              <w:cnfStyle w:val="100000000000" w:firstRow="1" w:lastRow="0" w:firstColumn="0" w:lastColumn="0" w:oddVBand="0" w:evenVBand="0" w:oddHBand="0" w:evenHBand="0" w:firstRowFirstColumn="0" w:firstRowLastColumn="0" w:lastRowFirstColumn="0" w:lastRowLastColumn="0"/>
              <w:rPr>
                <w:rFonts w:hint="eastAsia"/>
                <w:i w:val="0"/>
                <w:iCs w:val="0"/>
                <w:color w:val="404040" w:themeColor="text1" w:themeTint="BF"/>
                <w:sz w:val="21"/>
                <w:szCs w:val="21"/>
              </w:rPr>
            </w:pPr>
            <w:r>
              <w:rPr>
                <w:color w:val="404040" w:themeColor="text1" w:themeTint="BF"/>
                <w:sz w:val="21"/>
                <w:szCs w:val="21"/>
              </w:rPr>
              <w:t>Inulina</w:t>
            </w:r>
          </w:p>
        </w:tc>
      </w:tr>
      <w:tr w:rsidR="00CD65C2" w14:paraId="6F8138B8" w14:textId="77777777" w:rsidTr="00CD65C2">
        <w:trPr>
          <w:jc w:val="center"/>
        </w:trPr>
        <w:tc>
          <w:tcPr>
            <w:cnfStyle w:val="001000000000" w:firstRow="0" w:lastRow="0" w:firstColumn="1" w:lastColumn="0" w:oddVBand="0" w:evenVBand="0" w:oddHBand="0" w:evenHBand="0" w:firstRowFirstColumn="0" w:firstRowLastColumn="0" w:lastRowFirstColumn="0" w:lastRowLastColumn="0"/>
            <w:tcW w:w="1719" w:type="dxa"/>
          </w:tcPr>
          <w:p w14:paraId="457237C2" w14:textId="77777777" w:rsidR="00CD65C2" w:rsidRDefault="00CD65C2">
            <w:pPr>
              <w:pStyle w:val="Corpo"/>
              <w:tabs>
                <w:tab w:val="left" w:pos="2760"/>
              </w:tabs>
              <w:spacing w:after="120"/>
              <w:jc w:val="center"/>
              <w:rPr>
                <w:rFonts w:hint="eastAsia"/>
                <w:i w:val="0"/>
                <w:iCs w:val="0"/>
                <w:color w:val="404040" w:themeColor="text1" w:themeTint="BF"/>
                <w:sz w:val="21"/>
                <w:szCs w:val="21"/>
              </w:rPr>
            </w:pPr>
          </w:p>
        </w:tc>
        <w:tc>
          <w:tcPr>
            <w:tcW w:w="0" w:type="auto"/>
            <w:shd w:val="clear" w:color="auto" w:fill="F2F2F2" w:themeFill="background1" w:themeFillShade="F2"/>
          </w:tcPr>
          <w:p w14:paraId="49D1E717" w14:textId="77777777" w:rsidR="00CD65C2" w:rsidRDefault="00FA41FC">
            <w:pPr>
              <w:pStyle w:val="Corpo"/>
              <w:tabs>
                <w:tab w:val="left" w:pos="2760"/>
              </w:tabs>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1"/>
                <w:szCs w:val="21"/>
              </w:rPr>
            </w:pPr>
            <w:r>
              <w:rPr>
                <w:color w:val="404040" w:themeColor="text1" w:themeTint="BF"/>
                <w:sz w:val="21"/>
                <w:szCs w:val="21"/>
              </w:rPr>
              <w:t>Início</w:t>
            </w:r>
          </w:p>
        </w:tc>
        <w:tc>
          <w:tcPr>
            <w:tcW w:w="0" w:type="auto"/>
            <w:shd w:val="clear" w:color="auto" w:fill="F2F2F2" w:themeFill="background1" w:themeFillShade="F2"/>
          </w:tcPr>
          <w:p w14:paraId="149B407D" w14:textId="77777777" w:rsidR="00CD65C2" w:rsidRDefault="00FA41FC">
            <w:pPr>
              <w:pStyle w:val="Corpo"/>
              <w:tabs>
                <w:tab w:val="left" w:pos="2760"/>
              </w:tabs>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1"/>
                <w:szCs w:val="21"/>
              </w:rPr>
            </w:pPr>
            <w:r>
              <w:rPr>
                <w:color w:val="404040" w:themeColor="text1" w:themeTint="BF"/>
                <w:sz w:val="21"/>
                <w:szCs w:val="21"/>
              </w:rPr>
              <w:t>Após Tratamento</w:t>
            </w:r>
          </w:p>
        </w:tc>
        <w:tc>
          <w:tcPr>
            <w:tcW w:w="0" w:type="auto"/>
            <w:shd w:val="clear" w:color="auto" w:fill="F2F2F2" w:themeFill="background1" w:themeFillShade="F2"/>
          </w:tcPr>
          <w:p w14:paraId="2305BACD" w14:textId="77777777" w:rsidR="00CD65C2" w:rsidRDefault="00FA41FC">
            <w:pPr>
              <w:pStyle w:val="Corpo"/>
              <w:tabs>
                <w:tab w:val="left" w:pos="2760"/>
              </w:tabs>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1"/>
                <w:szCs w:val="21"/>
              </w:rPr>
            </w:pPr>
            <w:r>
              <w:rPr>
                <w:color w:val="404040" w:themeColor="text1" w:themeTint="BF"/>
                <w:sz w:val="21"/>
                <w:szCs w:val="21"/>
              </w:rPr>
              <w:t>Início</w:t>
            </w:r>
          </w:p>
        </w:tc>
        <w:tc>
          <w:tcPr>
            <w:tcW w:w="0" w:type="auto"/>
            <w:shd w:val="clear" w:color="auto" w:fill="F2F2F2" w:themeFill="background1" w:themeFillShade="F2"/>
          </w:tcPr>
          <w:p w14:paraId="2DDC1793" w14:textId="77777777" w:rsidR="00CD65C2" w:rsidRDefault="00FA41FC">
            <w:pPr>
              <w:pStyle w:val="Corpo"/>
              <w:tabs>
                <w:tab w:val="left" w:pos="2760"/>
              </w:tabs>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1"/>
                <w:szCs w:val="21"/>
              </w:rPr>
            </w:pPr>
            <w:r>
              <w:rPr>
                <w:color w:val="404040" w:themeColor="text1" w:themeTint="BF"/>
                <w:sz w:val="21"/>
                <w:szCs w:val="21"/>
              </w:rPr>
              <w:t>Após Tratamento</w:t>
            </w:r>
          </w:p>
        </w:tc>
      </w:tr>
      <w:tr w:rsidR="00CD65C2" w14:paraId="326EBA48" w14:textId="77777777" w:rsidTr="00CD65C2">
        <w:trPr>
          <w:jc w:val="center"/>
        </w:trPr>
        <w:tc>
          <w:tcPr>
            <w:cnfStyle w:val="001000000000" w:firstRow="0" w:lastRow="0" w:firstColumn="1" w:lastColumn="0" w:oddVBand="0" w:evenVBand="0" w:oddHBand="0" w:evenHBand="0" w:firstRowFirstColumn="0" w:firstRowLastColumn="0" w:lastRowFirstColumn="0" w:lastRowLastColumn="0"/>
            <w:tcW w:w="1719" w:type="dxa"/>
          </w:tcPr>
          <w:p w14:paraId="4B69CE46" w14:textId="77777777" w:rsidR="00CD65C2" w:rsidRDefault="00FA41FC">
            <w:pPr>
              <w:pStyle w:val="Corpo"/>
              <w:tabs>
                <w:tab w:val="left" w:pos="2760"/>
              </w:tabs>
              <w:spacing w:after="120"/>
              <w:jc w:val="center"/>
              <w:rPr>
                <w:rFonts w:hint="eastAsia"/>
                <w:b/>
                <w:i w:val="0"/>
                <w:iCs w:val="0"/>
                <w:color w:val="404040" w:themeColor="text1" w:themeTint="BF"/>
                <w:sz w:val="21"/>
                <w:szCs w:val="21"/>
              </w:rPr>
            </w:pPr>
            <w:r>
              <w:rPr>
                <w:b/>
                <w:color w:val="404040" w:themeColor="text1" w:themeTint="BF"/>
                <w:sz w:val="21"/>
                <w:szCs w:val="21"/>
              </w:rPr>
              <w:t>PAS (mmHg)</w:t>
            </w:r>
          </w:p>
        </w:tc>
        <w:tc>
          <w:tcPr>
            <w:tcW w:w="0" w:type="auto"/>
          </w:tcPr>
          <w:p w14:paraId="351B2EC5" w14:textId="77777777" w:rsidR="00CD65C2" w:rsidRDefault="00CD65C2">
            <w:pPr>
              <w:jc w:val="center"/>
              <w:cnfStyle w:val="000000000000" w:firstRow="0" w:lastRow="0" w:firstColumn="0" w:lastColumn="0" w:oddVBand="0" w:evenVBand="0" w:oddHBand="0" w:evenHBand="0" w:firstRowFirstColumn="0" w:firstRowLastColumn="0" w:lastRowFirstColumn="0" w:lastRowLastColumn="0"/>
              <w:rPr>
                <w:rFonts w:ascii="Swis721 Th BT" w:hAnsi="Swis721 Th BT"/>
                <w:sz w:val="21"/>
                <w:szCs w:val="21"/>
              </w:rPr>
            </w:pPr>
          </w:p>
        </w:tc>
        <w:tc>
          <w:tcPr>
            <w:tcW w:w="0" w:type="auto"/>
          </w:tcPr>
          <w:p w14:paraId="6EDDFF26" w14:textId="77777777" w:rsidR="00CD65C2" w:rsidRDefault="00CD65C2">
            <w:pPr>
              <w:jc w:val="center"/>
              <w:cnfStyle w:val="000000000000" w:firstRow="0" w:lastRow="0" w:firstColumn="0" w:lastColumn="0" w:oddVBand="0" w:evenVBand="0" w:oddHBand="0" w:evenHBand="0" w:firstRowFirstColumn="0" w:firstRowLastColumn="0" w:lastRowFirstColumn="0" w:lastRowLastColumn="0"/>
              <w:rPr>
                <w:rFonts w:ascii="Swis721 Th BT" w:hAnsi="Swis721 Th BT"/>
                <w:sz w:val="21"/>
                <w:szCs w:val="21"/>
              </w:rPr>
            </w:pPr>
          </w:p>
        </w:tc>
        <w:tc>
          <w:tcPr>
            <w:tcW w:w="0" w:type="auto"/>
          </w:tcPr>
          <w:p w14:paraId="55924EDD" w14:textId="77777777" w:rsidR="00CD65C2" w:rsidRDefault="00CD65C2">
            <w:pPr>
              <w:jc w:val="center"/>
              <w:cnfStyle w:val="000000000000" w:firstRow="0" w:lastRow="0" w:firstColumn="0" w:lastColumn="0" w:oddVBand="0" w:evenVBand="0" w:oddHBand="0" w:evenHBand="0" w:firstRowFirstColumn="0" w:firstRowLastColumn="0" w:lastRowFirstColumn="0" w:lastRowLastColumn="0"/>
              <w:rPr>
                <w:rFonts w:ascii="Swis721 Th BT" w:hAnsi="Swis721 Th BT"/>
                <w:sz w:val="21"/>
                <w:szCs w:val="21"/>
              </w:rPr>
            </w:pPr>
          </w:p>
        </w:tc>
        <w:tc>
          <w:tcPr>
            <w:tcW w:w="0" w:type="auto"/>
          </w:tcPr>
          <w:p w14:paraId="68E84A13" w14:textId="77777777" w:rsidR="00CD65C2" w:rsidRDefault="00CD65C2">
            <w:pPr>
              <w:jc w:val="center"/>
              <w:cnfStyle w:val="000000000000" w:firstRow="0" w:lastRow="0" w:firstColumn="0" w:lastColumn="0" w:oddVBand="0" w:evenVBand="0" w:oddHBand="0" w:evenHBand="0" w:firstRowFirstColumn="0" w:firstRowLastColumn="0" w:lastRowFirstColumn="0" w:lastRowLastColumn="0"/>
              <w:rPr>
                <w:rFonts w:ascii="Swis721 Th BT" w:hAnsi="Swis721 Th BT"/>
                <w:sz w:val="21"/>
                <w:szCs w:val="21"/>
              </w:rPr>
            </w:pPr>
          </w:p>
        </w:tc>
      </w:tr>
      <w:tr w:rsidR="00CD65C2" w14:paraId="7FCBFC2E" w14:textId="77777777" w:rsidTr="00CD65C2">
        <w:trPr>
          <w:jc w:val="center"/>
        </w:trPr>
        <w:tc>
          <w:tcPr>
            <w:cnfStyle w:val="001000000000" w:firstRow="0" w:lastRow="0" w:firstColumn="1" w:lastColumn="0" w:oddVBand="0" w:evenVBand="0" w:oddHBand="0" w:evenHBand="0" w:firstRowFirstColumn="0" w:firstRowLastColumn="0" w:lastRowFirstColumn="0" w:lastRowLastColumn="0"/>
            <w:tcW w:w="1719" w:type="dxa"/>
          </w:tcPr>
          <w:p w14:paraId="5CED2DE7" w14:textId="77777777" w:rsidR="00CD65C2" w:rsidRDefault="00FA41FC">
            <w:pPr>
              <w:pStyle w:val="Corpo"/>
              <w:tabs>
                <w:tab w:val="left" w:pos="2760"/>
              </w:tabs>
              <w:spacing w:after="120"/>
              <w:jc w:val="center"/>
              <w:rPr>
                <w:rFonts w:hint="eastAsia"/>
                <w:i w:val="0"/>
                <w:iCs w:val="0"/>
                <w:color w:val="404040" w:themeColor="text1" w:themeTint="BF"/>
                <w:sz w:val="21"/>
                <w:szCs w:val="21"/>
              </w:rPr>
            </w:pPr>
            <w:r>
              <w:rPr>
                <w:color w:val="404040" w:themeColor="text1" w:themeTint="BF"/>
                <w:sz w:val="21"/>
                <w:szCs w:val="21"/>
              </w:rPr>
              <w:t>≤120</w:t>
            </w:r>
          </w:p>
        </w:tc>
        <w:tc>
          <w:tcPr>
            <w:tcW w:w="0" w:type="auto"/>
            <w:shd w:val="clear" w:color="auto" w:fill="F2F2F2" w:themeFill="background1" w:themeFillShade="F2"/>
          </w:tcPr>
          <w:p w14:paraId="1206D747" w14:textId="77777777" w:rsidR="00CD65C2" w:rsidRDefault="00FA41FC">
            <w:pPr>
              <w:jc w:val="center"/>
              <w:cnfStyle w:val="000000000000" w:firstRow="0" w:lastRow="0" w:firstColumn="0" w:lastColumn="0" w:oddVBand="0" w:evenVBand="0" w:oddHBand="0" w:evenHBand="0" w:firstRowFirstColumn="0" w:firstRowLastColumn="0" w:lastRowFirstColumn="0" w:lastRowLastColumn="0"/>
              <w:rPr>
                <w:rFonts w:ascii="Swis721 Th BT" w:hAnsi="Swis721 Th BT"/>
                <w:sz w:val="21"/>
                <w:szCs w:val="21"/>
              </w:rPr>
            </w:pPr>
            <w:r>
              <w:rPr>
                <w:rFonts w:ascii="Swis721 Th BT" w:hAnsi="Swis721 Th BT"/>
                <w:sz w:val="21"/>
                <w:szCs w:val="21"/>
              </w:rPr>
              <w:t>5</w:t>
            </w:r>
          </w:p>
        </w:tc>
        <w:tc>
          <w:tcPr>
            <w:tcW w:w="0" w:type="auto"/>
            <w:shd w:val="clear" w:color="auto" w:fill="F2F2F2" w:themeFill="background1" w:themeFillShade="F2"/>
          </w:tcPr>
          <w:p w14:paraId="2B7D88E6" w14:textId="77777777" w:rsidR="00CD65C2" w:rsidRDefault="00FA41FC">
            <w:pPr>
              <w:jc w:val="center"/>
              <w:cnfStyle w:val="000000000000" w:firstRow="0" w:lastRow="0" w:firstColumn="0" w:lastColumn="0" w:oddVBand="0" w:evenVBand="0" w:oddHBand="0" w:evenHBand="0" w:firstRowFirstColumn="0" w:firstRowLastColumn="0" w:lastRowFirstColumn="0" w:lastRowLastColumn="0"/>
              <w:rPr>
                <w:rFonts w:ascii="Swis721 Th BT" w:hAnsi="Swis721 Th BT"/>
                <w:sz w:val="21"/>
                <w:szCs w:val="21"/>
              </w:rPr>
            </w:pPr>
            <w:r>
              <w:rPr>
                <w:rFonts w:ascii="Swis721 Th BT" w:hAnsi="Swis721 Th BT"/>
                <w:sz w:val="21"/>
                <w:szCs w:val="21"/>
              </w:rPr>
              <w:t>6</w:t>
            </w:r>
          </w:p>
        </w:tc>
        <w:tc>
          <w:tcPr>
            <w:tcW w:w="0" w:type="auto"/>
            <w:shd w:val="clear" w:color="auto" w:fill="F2F2F2" w:themeFill="background1" w:themeFillShade="F2"/>
          </w:tcPr>
          <w:p w14:paraId="09F9ABAF" w14:textId="77777777" w:rsidR="00CD65C2" w:rsidRDefault="00FA41FC">
            <w:pPr>
              <w:jc w:val="center"/>
              <w:cnfStyle w:val="000000000000" w:firstRow="0" w:lastRow="0" w:firstColumn="0" w:lastColumn="0" w:oddVBand="0" w:evenVBand="0" w:oddHBand="0" w:evenHBand="0" w:firstRowFirstColumn="0" w:firstRowLastColumn="0" w:lastRowFirstColumn="0" w:lastRowLastColumn="0"/>
              <w:rPr>
                <w:rFonts w:ascii="Swis721 Th BT" w:hAnsi="Swis721 Th BT"/>
                <w:sz w:val="21"/>
                <w:szCs w:val="21"/>
              </w:rPr>
            </w:pPr>
            <w:r>
              <w:rPr>
                <w:rFonts w:ascii="Swis721 Th BT" w:hAnsi="Swis721 Th BT"/>
                <w:sz w:val="21"/>
                <w:szCs w:val="21"/>
              </w:rPr>
              <w:t>2</w:t>
            </w:r>
          </w:p>
        </w:tc>
        <w:tc>
          <w:tcPr>
            <w:tcW w:w="0" w:type="auto"/>
            <w:shd w:val="clear" w:color="auto" w:fill="F2F2F2" w:themeFill="background1" w:themeFillShade="F2"/>
          </w:tcPr>
          <w:p w14:paraId="4A3C2108" w14:textId="77777777" w:rsidR="00CD65C2" w:rsidRDefault="00FA41FC">
            <w:pPr>
              <w:jc w:val="center"/>
              <w:cnfStyle w:val="000000000000" w:firstRow="0" w:lastRow="0" w:firstColumn="0" w:lastColumn="0" w:oddVBand="0" w:evenVBand="0" w:oddHBand="0" w:evenHBand="0" w:firstRowFirstColumn="0" w:firstRowLastColumn="0" w:lastRowFirstColumn="0" w:lastRowLastColumn="0"/>
              <w:rPr>
                <w:rFonts w:ascii="Swis721 Th BT" w:hAnsi="Swis721 Th BT"/>
                <w:sz w:val="21"/>
                <w:szCs w:val="21"/>
              </w:rPr>
            </w:pPr>
            <w:r>
              <w:rPr>
                <w:rFonts w:ascii="Swis721 Th BT" w:hAnsi="Swis721 Th BT"/>
                <w:sz w:val="21"/>
                <w:szCs w:val="21"/>
              </w:rPr>
              <w:t>2</w:t>
            </w:r>
          </w:p>
        </w:tc>
      </w:tr>
      <w:tr w:rsidR="00CD65C2" w14:paraId="33DB2750" w14:textId="77777777" w:rsidTr="00CD65C2">
        <w:trPr>
          <w:jc w:val="center"/>
        </w:trPr>
        <w:tc>
          <w:tcPr>
            <w:cnfStyle w:val="001000000000" w:firstRow="0" w:lastRow="0" w:firstColumn="1" w:lastColumn="0" w:oddVBand="0" w:evenVBand="0" w:oddHBand="0" w:evenHBand="0" w:firstRowFirstColumn="0" w:firstRowLastColumn="0" w:lastRowFirstColumn="0" w:lastRowLastColumn="0"/>
            <w:tcW w:w="1719" w:type="dxa"/>
          </w:tcPr>
          <w:p w14:paraId="4F966D77" w14:textId="77777777" w:rsidR="00CD65C2" w:rsidRDefault="00FA41FC">
            <w:pPr>
              <w:pStyle w:val="Corpo"/>
              <w:tabs>
                <w:tab w:val="left" w:pos="2760"/>
              </w:tabs>
              <w:spacing w:after="120"/>
              <w:jc w:val="center"/>
              <w:rPr>
                <w:rFonts w:hint="eastAsia"/>
                <w:i w:val="0"/>
                <w:iCs w:val="0"/>
                <w:color w:val="404040" w:themeColor="text1" w:themeTint="BF"/>
                <w:sz w:val="21"/>
                <w:szCs w:val="21"/>
              </w:rPr>
            </w:pPr>
            <w:r>
              <w:rPr>
                <w:color w:val="404040" w:themeColor="text1" w:themeTint="BF"/>
                <w:sz w:val="21"/>
                <w:szCs w:val="21"/>
              </w:rPr>
              <w:t>120,1-130</w:t>
            </w:r>
          </w:p>
        </w:tc>
        <w:tc>
          <w:tcPr>
            <w:tcW w:w="0" w:type="auto"/>
          </w:tcPr>
          <w:p w14:paraId="58F258B4" w14:textId="77777777" w:rsidR="00CD65C2" w:rsidRDefault="00FA41FC">
            <w:pPr>
              <w:jc w:val="center"/>
              <w:cnfStyle w:val="000000000000" w:firstRow="0" w:lastRow="0" w:firstColumn="0" w:lastColumn="0" w:oddVBand="0" w:evenVBand="0" w:oddHBand="0" w:evenHBand="0" w:firstRowFirstColumn="0" w:firstRowLastColumn="0" w:lastRowFirstColumn="0" w:lastRowLastColumn="0"/>
              <w:rPr>
                <w:rFonts w:ascii="Swis721 Th BT" w:hAnsi="Swis721 Th BT"/>
                <w:sz w:val="21"/>
                <w:szCs w:val="21"/>
              </w:rPr>
            </w:pPr>
            <w:r>
              <w:rPr>
                <w:rFonts w:ascii="Swis721 Th BT" w:hAnsi="Swis721 Th BT"/>
                <w:sz w:val="21"/>
                <w:szCs w:val="21"/>
              </w:rPr>
              <w:t>8</w:t>
            </w:r>
          </w:p>
        </w:tc>
        <w:tc>
          <w:tcPr>
            <w:tcW w:w="0" w:type="auto"/>
          </w:tcPr>
          <w:p w14:paraId="6441CF80" w14:textId="77777777" w:rsidR="00CD65C2" w:rsidRDefault="00FA41FC">
            <w:pPr>
              <w:jc w:val="center"/>
              <w:cnfStyle w:val="000000000000" w:firstRow="0" w:lastRow="0" w:firstColumn="0" w:lastColumn="0" w:oddVBand="0" w:evenVBand="0" w:oddHBand="0" w:evenHBand="0" w:firstRowFirstColumn="0" w:firstRowLastColumn="0" w:lastRowFirstColumn="0" w:lastRowLastColumn="0"/>
              <w:rPr>
                <w:rFonts w:ascii="Swis721 Th BT" w:hAnsi="Swis721 Th BT"/>
                <w:sz w:val="21"/>
                <w:szCs w:val="21"/>
              </w:rPr>
            </w:pPr>
            <w:r>
              <w:rPr>
                <w:rFonts w:ascii="Swis721 Th BT" w:hAnsi="Swis721 Th BT"/>
                <w:sz w:val="21"/>
                <w:szCs w:val="21"/>
              </w:rPr>
              <w:t>5</w:t>
            </w:r>
          </w:p>
        </w:tc>
        <w:tc>
          <w:tcPr>
            <w:tcW w:w="0" w:type="auto"/>
          </w:tcPr>
          <w:p w14:paraId="4BC240BC" w14:textId="77777777" w:rsidR="00CD65C2" w:rsidRDefault="00FA41FC">
            <w:pPr>
              <w:jc w:val="center"/>
              <w:cnfStyle w:val="000000000000" w:firstRow="0" w:lastRow="0" w:firstColumn="0" w:lastColumn="0" w:oddVBand="0" w:evenVBand="0" w:oddHBand="0" w:evenHBand="0" w:firstRowFirstColumn="0" w:firstRowLastColumn="0" w:lastRowFirstColumn="0" w:lastRowLastColumn="0"/>
              <w:rPr>
                <w:rFonts w:ascii="Swis721 Th BT" w:hAnsi="Swis721 Th BT"/>
                <w:sz w:val="21"/>
                <w:szCs w:val="21"/>
              </w:rPr>
            </w:pPr>
            <w:r>
              <w:rPr>
                <w:rFonts w:ascii="Swis721 Th BT" w:hAnsi="Swis721 Th BT"/>
                <w:sz w:val="21"/>
                <w:szCs w:val="21"/>
              </w:rPr>
              <w:t>4</w:t>
            </w:r>
          </w:p>
        </w:tc>
        <w:tc>
          <w:tcPr>
            <w:tcW w:w="0" w:type="auto"/>
          </w:tcPr>
          <w:p w14:paraId="763A40F6" w14:textId="77777777" w:rsidR="00CD65C2" w:rsidRDefault="00FA41FC">
            <w:pPr>
              <w:jc w:val="center"/>
              <w:cnfStyle w:val="000000000000" w:firstRow="0" w:lastRow="0" w:firstColumn="0" w:lastColumn="0" w:oddVBand="0" w:evenVBand="0" w:oddHBand="0" w:evenHBand="0" w:firstRowFirstColumn="0" w:firstRowLastColumn="0" w:lastRowFirstColumn="0" w:lastRowLastColumn="0"/>
              <w:rPr>
                <w:rFonts w:ascii="Swis721 Th BT" w:hAnsi="Swis721 Th BT"/>
                <w:sz w:val="21"/>
                <w:szCs w:val="21"/>
              </w:rPr>
            </w:pPr>
            <w:r>
              <w:rPr>
                <w:rFonts w:ascii="Swis721 Th BT" w:hAnsi="Swis721 Th BT"/>
                <w:sz w:val="21"/>
                <w:szCs w:val="21"/>
              </w:rPr>
              <w:t>7</w:t>
            </w:r>
          </w:p>
        </w:tc>
      </w:tr>
      <w:tr w:rsidR="00CD65C2" w14:paraId="4209627D" w14:textId="77777777" w:rsidTr="00CD65C2">
        <w:trPr>
          <w:jc w:val="center"/>
        </w:trPr>
        <w:tc>
          <w:tcPr>
            <w:cnfStyle w:val="001000000000" w:firstRow="0" w:lastRow="0" w:firstColumn="1" w:lastColumn="0" w:oddVBand="0" w:evenVBand="0" w:oddHBand="0" w:evenHBand="0" w:firstRowFirstColumn="0" w:firstRowLastColumn="0" w:lastRowFirstColumn="0" w:lastRowLastColumn="0"/>
            <w:tcW w:w="1719" w:type="dxa"/>
          </w:tcPr>
          <w:p w14:paraId="797FEAF8" w14:textId="77777777" w:rsidR="00CD65C2" w:rsidRDefault="00FA41FC">
            <w:pPr>
              <w:pStyle w:val="Corpo"/>
              <w:tabs>
                <w:tab w:val="left" w:pos="2760"/>
              </w:tabs>
              <w:spacing w:after="120"/>
              <w:jc w:val="center"/>
              <w:rPr>
                <w:rFonts w:hint="eastAsia"/>
                <w:i w:val="0"/>
                <w:iCs w:val="0"/>
                <w:color w:val="404040" w:themeColor="text1" w:themeTint="BF"/>
                <w:sz w:val="21"/>
                <w:szCs w:val="21"/>
              </w:rPr>
            </w:pPr>
            <w:r>
              <w:rPr>
                <w:color w:val="404040" w:themeColor="text1" w:themeTint="BF"/>
                <w:sz w:val="21"/>
                <w:szCs w:val="21"/>
              </w:rPr>
              <w:t>130,1-140</w:t>
            </w:r>
          </w:p>
        </w:tc>
        <w:tc>
          <w:tcPr>
            <w:tcW w:w="0" w:type="auto"/>
            <w:shd w:val="clear" w:color="auto" w:fill="F2F2F2" w:themeFill="background1" w:themeFillShade="F2"/>
          </w:tcPr>
          <w:p w14:paraId="3B66342A" w14:textId="77777777" w:rsidR="00CD65C2" w:rsidRDefault="00FA41FC">
            <w:pPr>
              <w:jc w:val="center"/>
              <w:cnfStyle w:val="000000000000" w:firstRow="0" w:lastRow="0" w:firstColumn="0" w:lastColumn="0" w:oddVBand="0" w:evenVBand="0" w:oddHBand="0" w:evenHBand="0" w:firstRowFirstColumn="0" w:firstRowLastColumn="0" w:lastRowFirstColumn="0" w:lastRowLastColumn="0"/>
              <w:rPr>
                <w:rFonts w:ascii="Swis721 Th BT" w:hAnsi="Swis721 Th BT"/>
                <w:sz w:val="21"/>
                <w:szCs w:val="21"/>
              </w:rPr>
            </w:pPr>
            <w:r>
              <w:rPr>
                <w:rFonts w:ascii="Swis721 Th BT" w:hAnsi="Swis721 Th BT"/>
                <w:sz w:val="21"/>
                <w:szCs w:val="21"/>
              </w:rPr>
              <w:t>0</w:t>
            </w:r>
          </w:p>
        </w:tc>
        <w:tc>
          <w:tcPr>
            <w:tcW w:w="0" w:type="auto"/>
            <w:shd w:val="clear" w:color="auto" w:fill="F2F2F2" w:themeFill="background1" w:themeFillShade="F2"/>
          </w:tcPr>
          <w:p w14:paraId="5AEC03B3" w14:textId="77777777" w:rsidR="00CD65C2" w:rsidRDefault="00FA41FC">
            <w:pPr>
              <w:jc w:val="center"/>
              <w:cnfStyle w:val="000000000000" w:firstRow="0" w:lastRow="0" w:firstColumn="0" w:lastColumn="0" w:oddVBand="0" w:evenVBand="0" w:oddHBand="0" w:evenHBand="0" w:firstRowFirstColumn="0" w:firstRowLastColumn="0" w:lastRowFirstColumn="0" w:lastRowLastColumn="0"/>
              <w:rPr>
                <w:rFonts w:ascii="Swis721 Th BT" w:hAnsi="Swis721 Th BT"/>
                <w:sz w:val="21"/>
                <w:szCs w:val="21"/>
              </w:rPr>
            </w:pPr>
            <w:r>
              <w:rPr>
                <w:rFonts w:ascii="Swis721 Th BT" w:hAnsi="Swis721 Th BT"/>
                <w:sz w:val="21"/>
                <w:szCs w:val="21"/>
              </w:rPr>
              <w:t>2</w:t>
            </w:r>
          </w:p>
        </w:tc>
        <w:tc>
          <w:tcPr>
            <w:tcW w:w="0" w:type="auto"/>
            <w:shd w:val="clear" w:color="auto" w:fill="F2F2F2" w:themeFill="background1" w:themeFillShade="F2"/>
          </w:tcPr>
          <w:p w14:paraId="2B56DF11" w14:textId="77777777" w:rsidR="00CD65C2" w:rsidRDefault="00FA41FC">
            <w:pPr>
              <w:jc w:val="center"/>
              <w:cnfStyle w:val="000000000000" w:firstRow="0" w:lastRow="0" w:firstColumn="0" w:lastColumn="0" w:oddVBand="0" w:evenVBand="0" w:oddHBand="0" w:evenHBand="0" w:firstRowFirstColumn="0" w:firstRowLastColumn="0" w:lastRowFirstColumn="0" w:lastRowLastColumn="0"/>
              <w:rPr>
                <w:rFonts w:ascii="Swis721 Th BT" w:hAnsi="Swis721 Th BT"/>
                <w:sz w:val="21"/>
                <w:szCs w:val="21"/>
              </w:rPr>
            </w:pPr>
            <w:r>
              <w:rPr>
                <w:rFonts w:ascii="Swis721 Th BT" w:hAnsi="Swis721 Th BT"/>
                <w:sz w:val="21"/>
                <w:szCs w:val="21"/>
              </w:rPr>
              <w:t>5</w:t>
            </w:r>
          </w:p>
        </w:tc>
        <w:tc>
          <w:tcPr>
            <w:tcW w:w="0" w:type="auto"/>
            <w:shd w:val="clear" w:color="auto" w:fill="F2F2F2" w:themeFill="background1" w:themeFillShade="F2"/>
          </w:tcPr>
          <w:p w14:paraId="3EB85E60" w14:textId="77777777" w:rsidR="00CD65C2" w:rsidRDefault="00FA41FC">
            <w:pPr>
              <w:jc w:val="center"/>
              <w:cnfStyle w:val="000000000000" w:firstRow="0" w:lastRow="0" w:firstColumn="0" w:lastColumn="0" w:oddVBand="0" w:evenVBand="0" w:oddHBand="0" w:evenHBand="0" w:firstRowFirstColumn="0" w:firstRowLastColumn="0" w:lastRowFirstColumn="0" w:lastRowLastColumn="0"/>
              <w:rPr>
                <w:rFonts w:ascii="Swis721 Th BT" w:hAnsi="Swis721 Th BT"/>
                <w:sz w:val="21"/>
                <w:szCs w:val="21"/>
              </w:rPr>
            </w:pPr>
            <w:r>
              <w:rPr>
                <w:rFonts w:ascii="Swis721 Th BT" w:hAnsi="Swis721 Th BT"/>
                <w:sz w:val="21"/>
                <w:szCs w:val="21"/>
              </w:rPr>
              <w:t>5</w:t>
            </w:r>
          </w:p>
        </w:tc>
      </w:tr>
      <w:tr w:rsidR="00CD65C2" w14:paraId="715FBC0E" w14:textId="77777777" w:rsidTr="00CD65C2">
        <w:trPr>
          <w:jc w:val="center"/>
        </w:trPr>
        <w:tc>
          <w:tcPr>
            <w:cnfStyle w:val="001000000000" w:firstRow="0" w:lastRow="0" w:firstColumn="1" w:lastColumn="0" w:oddVBand="0" w:evenVBand="0" w:oddHBand="0" w:evenHBand="0" w:firstRowFirstColumn="0" w:firstRowLastColumn="0" w:lastRowFirstColumn="0" w:lastRowLastColumn="0"/>
            <w:tcW w:w="1719" w:type="dxa"/>
          </w:tcPr>
          <w:p w14:paraId="7D143889" w14:textId="77777777" w:rsidR="00CD65C2" w:rsidRDefault="00FA41FC">
            <w:pPr>
              <w:pStyle w:val="Corpo"/>
              <w:tabs>
                <w:tab w:val="left" w:pos="2760"/>
              </w:tabs>
              <w:spacing w:after="120"/>
              <w:jc w:val="center"/>
              <w:rPr>
                <w:rFonts w:hint="eastAsia"/>
                <w:i w:val="0"/>
                <w:iCs w:val="0"/>
                <w:color w:val="404040" w:themeColor="text1" w:themeTint="BF"/>
                <w:sz w:val="21"/>
                <w:szCs w:val="21"/>
              </w:rPr>
            </w:pPr>
            <w:r>
              <w:rPr>
                <w:color w:val="404040" w:themeColor="text1" w:themeTint="BF"/>
                <w:sz w:val="21"/>
                <w:szCs w:val="21"/>
              </w:rPr>
              <w:t>≥140,1</w:t>
            </w:r>
          </w:p>
        </w:tc>
        <w:tc>
          <w:tcPr>
            <w:tcW w:w="0" w:type="auto"/>
          </w:tcPr>
          <w:p w14:paraId="0BC9EBE4" w14:textId="77777777" w:rsidR="00CD65C2" w:rsidRDefault="00FA41FC">
            <w:pPr>
              <w:jc w:val="center"/>
              <w:cnfStyle w:val="000000000000" w:firstRow="0" w:lastRow="0" w:firstColumn="0" w:lastColumn="0" w:oddVBand="0" w:evenVBand="0" w:oddHBand="0" w:evenHBand="0" w:firstRowFirstColumn="0" w:firstRowLastColumn="0" w:lastRowFirstColumn="0" w:lastRowLastColumn="0"/>
              <w:rPr>
                <w:rFonts w:ascii="Swis721 Th BT" w:hAnsi="Swis721 Th BT"/>
                <w:sz w:val="21"/>
                <w:szCs w:val="21"/>
              </w:rPr>
            </w:pPr>
            <w:r>
              <w:rPr>
                <w:rFonts w:ascii="Swis721 Th BT" w:hAnsi="Swis721 Th BT"/>
                <w:sz w:val="21"/>
                <w:szCs w:val="21"/>
              </w:rPr>
              <w:t>6</w:t>
            </w:r>
          </w:p>
        </w:tc>
        <w:tc>
          <w:tcPr>
            <w:tcW w:w="0" w:type="auto"/>
          </w:tcPr>
          <w:p w14:paraId="5C6B30B7" w14:textId="77777777" w:rsidR="00CD65C2" w:rsidRDefault="00FA41FC">
            <w:pPr>
              <w:jc w:val="center"/>
              <w:cnfStyle w:val="000000000000" w:firstRow="0" w:lastRow="0" w:firstColumn="0" w:lastColumn="0" w:oddVBand="0" w:evenVBand="0" w:oddHBand="0" w:evenHBand="0" w:firstRowFirstColumn="0" w:firstRowLastColumn="0" w:lastRowFirstColumn="0" w:lastRowLastColumn="0"/>
              <w:rPr>
                <w:rFonts w:ascii="Swis721 Th BT" w:hAnsi="Swis721 Th BT"/>
                <w:sz w:val="21"/>
                <w:szCs w:val="21"/>
              </w:rPr>
            </w:pPr>
            <w:r>
              <w:rPr>
                <w:rFonts w:ascii="Swis721 Th BT" w:hAnsi="Swis721 Th BT"/>
                <w:sz w:val="21"/>
                <w:szCs w:val="21"/>
              </w:rPr>
              <w:t>6</w:t>
            </w:r>
          </w:p>
        </w:tc>
        <w:tc>
          <w:tcPr>
            <w:tcW w:w="0" w:type="auto"/>
          </w:tcPr>
          <w:p w14:paraId="1738C0BD" w14:textId="77777777" w:rsidR="00CD65C2" w:rsidRDefault="00FA41FC">
            <w:pPr>
              <w:jc w:val="center"/>
              <w:cnfStyle w:val="000000000000" w:firstRow="0" w:lastRow="0" w:firstColumn="0" w:lastColumn="0" w:oddVBand="0" w:evenVBand="0" w:oddHBand="0" w:evenHBand="0" w:firstRowFirstColumn="0" w:firstRowLastColumn="0" w:lastRowFirstColumn="0" w:lastRowLastColumn="0"/>
              <w:rPr>
                <w:rFonts w:ascii="Swis721 Th BT" w:hAnsi="Swis721 Th BT"/>
                <w:sz w:val="21"/>
                <w:szCs w:val="21"/>
              </w:rPr>
            </w:pPr>
            <w:r>
              <w:rPr>
                <w:rFonts w:ascii="Swis721 Th BT" w:hAnsi="Swis721 Th BT"/>
                <w:sz w:val="21"/>
                <w:szCs w:val="21"/>
              </w:rPr>
              <w:t>8</w:t>
            </w:r>
          </w:p>
        </w:tc>
        <w:tc>
          <w:tcPr>
            <w:tcW w:w="0" w:type="auto"/>
          </w:tcPr>
          <w:p w14:paraId="7746C77B" w14:textId="77777777" w:rsidR="00CD65C2" w:rsidRDefault="00FA41FC">
            <w:pPr>
              <w:jc w:val="center"/>
              <w:cnfStyle w:val="000000000000" w:firstRow="0" w:lastRow="0" w:firstColumn="0" w:lastColumn="0" w:oddVBand="0" w:evenVBand="0" w:oddHBand="0" w:evenHBand="0" w:firstRowFirstColumn="0" w:firstRowLastColumn="0" w:lastRowFirstColumn="0" w:lastRowLastColumn="0"/>
              <w:rPr>
                <w:rFonts w:ascii="Swis721 Th BT" w:hAnsi="Swis721 Th BT"/>
                <w:sz w:val="21"/>
                <w:szCs w:val="21"/>
              </w:rPr>
            </w:pPr>
            <w:r>
              <w:rPr>
                <w:rFonts w:ascii="Swis721 Th BT" w:hAnsi="Swis721 Th BT"/>
                <w:sz w:val="21"/>
                <w:szCs w:val="21"/>
              </w:rPr>
              <w:t>5</w:t>
            </w:r>
          </w:p>
        </w:tc>
      </w:tr>
      <w:tr w:rsidR="00CD65C2" w14:paraId="1356B972" w14:textId="77777777" w:rsidTr="00CD65C2">
        <w:trPr>
          <w:jc w:val="center"/>
        </w:trPr>
        <w:tc>
          <w:tcPr>
            <w:cnfStyle w:val="001000000000" w:firstRow="0" w:lastRow="0" w:firstColumn="1" w:lastColumn="0" w:oddVBand="0" w:evenVBand="0" w:oddHBand="0" w:evenHBand="0" w:firstRowFirstColumn="0" w:firstRowLastColumn="0" w:lastRowFirstColumn="0" w:lastRowLastColumn="0"/>
            <w:tcW w:w="1719" w:type="dxa"/>
          </w:tcPr>
          <w:p w14:paraId="00BE6764" w14:textId="77777777" w:rsidR="00CD65C2" w:rsidRDefault="00FA41FC">
            <w:pPr>
              <w:pStyle w:val="Corpo"/>
              <w:tabs>
                <w:tab w:val="left" w:pos="2760"/>
              </w:tabs>
              <w:spacing w:after="120"/>
              <w:jc w:val="center"/>
              <w:rPr>
                <w:rFonts w:hint="eastAsia"/>
                <w:b/>
                <w:i w:val="0"/>
                <w:iCs w:val="0"/>
                <w:color w:val="404040" w:themeColor="text1" w:themeTint="BF"/>
                <w:sz w:val="21"/>
                <w:szCs w:val="21"/>
              </w:rPr>
            </w:pPr>
            <w:r>
              <w:rPr>
                <w:b/>
                <w:color w:val="404040" w:themeColor="text1" w:themeTint="BF"/>
                <w:sz w:val="21"/>
                <w:szCs w:val="21"/>
              </w:rPr>
              <w:t>PAD (mmHg)</w:t>
            </w:r>
          </w:p>
        </w:tc>
        <w:tc>
          <w:tcPr>
            <w:tcW w:w="0" w:type="auto"/>
            <w:shd w:val="clear" w:color="auto" w:fill="F2F2F2" w:themeFill="background1" w:themeFillShade="F2"/>
          </w:tcPr>
          <w:p w14:paraId="23911603" w14:textId="77777777" w:rsidR="00CD65C2" w:rsidRDefault="00CD65C2">
            <w:pPr>
              <w:pStyle w:val="Corpo"/>
              <w:tabs>
                <w:tab w:val="left" w:pos="2760"/>
              </w:tabs>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1"/>
                <w:szCs w:val="21"/>
              </w:rPr>
            </w:pPr>
          </w:p>
        </w:tc>
        <w:tc>
          <w:tcPr>
            <w:tcW w:w="0" w:type="auto"/>
            <w:shd w:val="clear" w:color="auto" w:fill="F2F2F2" w:themeFill="background1" w:themeFillShade="F2"/>
          </w:tcPr>
          <w:p w14:paraId="10062ACA" w14:textId="77777777" w:rsidR="00CD65C2" w:rsidRDefault="00CD65C2">
            <w:pPr>
              <w:pStyle w:val="Corpo"/>
              <w:tabs>
                <w:tab w:val="left" w:pos="2760"/>
              </w:tabs>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1"/>
                <w:szCs w:val="21"/>
              </w:rPr>
            </w:pPr>
          </w:p>
        </w:tc>
        <w:tc>
          <w:tcPr>
            <w:tcW w:w="0" w:type="auto"/>
            <w:shd w:val="clear" w:color="auto" w:fill="F2F2F2" w:themeFill="background1" w:themeFillShade="F2"/>
          </w:tcPr>
          <w:p w14:paraId="57A4411D" w14:textId="77777777" w:rsidR="00CD65C2" w:rsidRDefault="00CD65C2">
            <w:pPr>
              <w:pStyle w:val="Corpo"/>
              <w:tabs>
                <w:tab w:val="left" w:pos="2760"/>
              </w:tabs>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1"/>
                <w:szCs w:val="21"/>
              </w:rPr>
            </w:pPr>
          </w:p>
        </w:tc>
        <w:tc>
          <w:tcPr>
            <w:tcW w:w="0" w:type="auto"/>
            <w:shd w:val="clear" w:color="auto" w:fill="F2F2F2" w:themeFill="background1" w:themeFillShade="F2"/>
          </w:tcPr>
          <w:p w14:paraId="5362E0CB" w14:textId="77777777" w:rsidR="00CD65C2" w:rsidRDefault="00CD65C2">
            <w:pPr>
              <w:pStyle w:val="Corpo"/>
              <w:tabs>
                <w:tab w:val="left" w:pos="2760"/>
              </w:tabs>
              <w:spacing w:after="120"/>
              <w:jc w:val="center"/>
              <w:cnfStyle w:val="000000000000" w:firstRow="0" w:lastRow="0" w:firstColumn="0" w:lastColumn="0" w:oddVBand="0" w:evenVBand="0" w:oddHBand="0" w:evenHBand="0" w:firstRowFirstColumn="0" w:firstRowLastColumn="0" w:lastRowFirstColumn="0" w:lastRowLastColumn="0"/>
              <w:rPr>
                <w:rFonts w:hint="eastAsia"/>
                <w:color w:val="404040" w:themeColor="text1" w:themeTint="BF"/>
                <w:sz w:val="21"/>
                <w:szCs w:val="21"/>
              </w:rPr>
            </w:pPr>
          </w:p>
        </w:tc>
      </w:tr>
      <w:tr w:rsidR="00CD65C2" w14:paraId="0C730B1C" w14:textId="77777777" w:rsidTr="00CD65C2">
        <w:trPr>
          <w:jc w:val="center"/>
        </w:trPr>
        <w:tc>
          <w:tcPr>
            <w:cnfStyle w:val="001000000000" w:firstRow="0" w:lastRow="0" w:firstColumn="1" w:lastColumn="0" w:oddVBand="0" w:evenVBand="0" w:oddHBand="0" w:evenHBand="0" w:firstRowFirstColumn="0" w:firstRowLastColumn="0" w:lastRowFirstColumn="0" w:lastRowLastColumn="0"/>
            <w:tcW w:w="1719" w:type="dxa"/>
          </w:tcPr>
          <w:p w14:paraId="0114FAE6" w14:textId="77777777" w:rsidR="00CD65C2" w:rsidRDefault="00FA41FC">
            <w:pPr>
              <w:pStyle w:val="Corpo"/>
              <w:tabs>
                <w:tab w:val="left" w:pos="2760"/>
              </w:tabs>
              <w:spacing w:after="120"/>
              <w:jc w:val="center"/>
              <w:rPr>
                <w:rFonts w:hint="eastAsia"/>
                <w:i w:val="0"/>
                <w:iCs w:val="0"/>
                <w:color w:val="404040" w:themeColor="text1" w:themeTint="BF"/>
                <w:sz w:val="21"/>
                <w:szCs w:val="21"/>
              </w:rPr>
            </w:pPr>
            <w:r>
              <w:rPr>
                <w:color w:val="404040" w:themeColor="text1" w:themeTint="BF"/>
                <w:sz w:val="21"/>
                <w:szCs w:val="21"/>
              </w:rPr>
              <w:t>&lt;102</w:t>
            </w:r>
          </w:p>
        </w:tc>
        <w:tc>
          <w:tcPr>
            <w:tcW w:w="0" w:type="auto"/>
          </w:tcPr>
          <w:p w14:paraId="1CE9EAAD" w14:textId="77777777" w:rsidR="00CD65C2" w:rsidRDefault="00FA41FC">
            <w:pPr>
              <w:jc w:val="center"/>
              <w:cnfStyle w:val="000000000000" w:firstRow="0" w:lastRow="0" w:firstColumn="0" w:lastColumn="0" w:oddVBand="0" w:evenVBand="0" w:oddHBand="0" w:evenHBand="0" w:firstRowFirstColumn="0" w:firstRowLastColumn="0" w:lastRowFirstColumn="0" w:lastRowLastColumn="0"/>
              <w:rPr>
                <w:rFonts w:ascii="Swis721 Th BT" w:hAnsi="Swis721 Th BT"/>
                <w:sz w:val="21"/>
                <w:szCs w:val="21"/>
              </w:rPr>
            </w:pPr>
            <w:r>
              <w:rPr>
                <w:rFonts w:ascii="Swis721 Th BT" w:hAnsi="Swis721 Th BT"/>
                <w:sz w:val="21"/>
                <w:szCs w:val="21"/>
              </w:rPr>
              <w:t>17</w:t>
            </w:r>
          </w:p>
        </w:tc>
        <w:tc>
          <w:tcPr>
            <w:tcW w:w="0" w:type="auto"/>
          </w:tcPr>
          <w:p w14:paraId="54DCAD43" w14:textId="77777777" w:rsidR="00CD65C2" w:rsidRDefault="00FA41FC">
            <w:pPr>
              <w:jc w:val="center"/>
              <w:cnfStyle w:val="000000000000" w:firstRow="0" w:lastRow="0" w:firstColumn="0" w:lastColumn="0" w:oddVBand="0" w:evenVBand="0" w:oddHBand="0" w:evenHBand="0" w:firstRowFirstColumn="0" w:firstRowLastColumn="0" w:lastRowFirstColumn="0" w:lastRowLastColumn="0"/>
              <w:rPr>
                <w:rFonts w:ascii="Swis721 Th BT" w:hAnsi="Swis721 Th BT"/>
                <w:sz w:val="21"/>
                <w:szCs w:val="21"/>
              </w:rPr>
            </w:pPr>
            <w:r>
              <w:rPr>
                <w:rFonts w:ascii="Swis721 Th BT" w:hAnsi="Swis721 Th BT"/>
                <w:sz w:val="21"/>
                <w:szCs w:val="21"/>
              </w:rPr>
              <w:t>15</w:t>
            </w:r>
          </w:p>
        </w:tc>
        <w:tc>
          <w:tcPr>
            <w:tcW w:w="0" w:type="auto"/>
          </w:tcPr>
          <w:p w14:paraId="30EFD472" w14:textId="77777777" w:rsidR="00CD65C2" w:rsidRDefault="00FA41FC">
            <w:pPr>
              <w:jc w:val="center"/>
              <w:cnfStyle w:val="000000000000" w:firstRow="0" w:lastRow="0" w:firstColumn="0" w:lastColumn="0" w:oddVBand="0" w:evenVBand="0" w:oddHBand="0" w:evenHBand="0" w:firstRowFirstColumn="0" w:firstRowLastColumn="0" w:lastRowFirstColumn="0" w:lastRowLastColumn="0"/>
              <w:rPr>
                <w:rFonts w:ascii="Swis721 Th BT" w:hAnsi="Swis721 Th BT"/>
                <w:sz w:val="21"/>
                <w:szCs w:val="21"/>
              </w:rPr>
            </w:pPr>
            <w:r>
              <w:rPr>
                <w:rFonts w:ascii="Swis721 Th BT" w:hAnsi="Swis721 Th BT"/>
                <w:sz w:val="21"/>
                <w:szCs w:val="21"/>
              </w:rPr>
              <w:t>18</w:t>
            </w:r>
          </w:p>
        </w:tc>
        <w:tc>
          <w:tcPr>
            <w:tcW w:w="0" w:type="auto"/>
          </w:tcPr>
          <w:p w14:paraId="7BB5E730" w14:textId="77777777" w:rsidR="00CD65C2" w:rsidRDefault="00FA41FC">
            <w:pPr>
              <w:jc w:val="center"/>
              <w:cnfStyle w:val="000000000000" w:firstRow="0" w:lastRow="0" w:firstColumn="0" w:lastColumn="0" w:oddVBand="0" w:evenVBand="0" w:oddHBand="0" w:evenHBand="0" w:firstRowFirstColumn="0" w:firstRowLastColumn="0" w:lastRowFirstColumn="0" w:lastRowLastColumn="0"/>
              <w:rPr>
                <w:rFonts w:ascii="Swis721 Th BT" w:hAnsi="Swis721 Th BT"/>
                <w:sz w:val="21"/>
                <w:szCs w:val="21"/>
              </w:rPr>
            </w:pPr>
            <w:r>
              <w:rPr>
                <w:rFonts w:ascii="Swis721 Th BT" w:hAnsi="Swis721 Th BT"/>
                <w:sz w:val="21"/>
                <w:szCs w:val="21"/>
              </w:rPr>
              <w:t>18</w:t>
            </w:r>
          </w:p>
        </w:tc>
      </w:tr>
      <w:tr w:rsidR="00CD65C2" w14:paraId="42F8B306" w14:textId="77777777" w:rsidTr="00CD65C2">
        <w:trPr>
          <w:jc w:val="center"/>
        </w:trPr>
        <w:tc>
          <w:tcPr>
            <w:cnfStyle w:val="001000000000" w:firstRow="0" w:lastRow="0" w:firstColumn="1" w:lastColumn="0" w:oddVBand="0" w:evenVBand="0" w:oddHBand="0" w:evenHBand="0" w:firstRowFirstColumn="0" w:firstRowLastColumn="0" w:lastRowFirstColumn="0" w:lastRowLastColumn="0"/>
            <w:tcW w:w="1719" w:type="dxa"/>
          </w:tcPr>
          <w:p w14:paraId="347DEF97" w14:textId="77777777" w:rsidR="00CD65C2" w:rsidRDefault="00FA41FC">
            <w:pPr>
              <w:pStyle w:val="Corpo"/>
              <w:tabs>
                <w:tab w:val="left" w:pos="2760"/>
              </w:tabs>
              <w:spacing w:after="120"/>
              <w:jc w:val="center"/>
              <w:rPr>
                <w:rFonts w:hint="eastAsia"/>
                <w:i w:val="0"/>
                <w:iCs w:val="0"/>
                <w:color w:val="404040" w:themeColor="text1" w:themeTint="BF"/>
                <w:sz w:val="21"/>
                <w:szCs w:val="21"/>
              </w:rPr>
            </w:pPr>
            <w:r>
              <w:rPr>
                <w:color w:val="404040" w:themeColor="text1" w:themeTint="BF"/>
                <w:sz w:val="21"/>
                <w:szCs w:val="21"/>
              </w:rPr>
              <w:t>&gt;102,1</w:t>
            </w:r>
          </w:p>
        </w:tc>
        <w:tc>
          <w:tcPr>
            <w:tcW w:w="0" w:type="auto"/>
            <w:shd w:val="clear" w:color="auto" w:fill="F2F2F2" w:themeFill="background1" w:themeFillShade="F2"/>
          </w:tcPr>
          <w:p w14:paraId="5E5D3318" w14:textId="77777777" w:rsidR="00CD65C2" w:rsidRDefault="00FA41FC">
            <w:pPr>
              <w:jc w:val="center"/>
              <w:cnfStyle w:val="000000000000" w:firstRow="0" w:lastRow="0" w:firstColumn="0" w:lastColumn="0" w:oddVBand="0" w:evenVBand="0" w:oddHBand="0" w:evenHBand="0" w:firstRowFirstColumn="0" w:firstRowLastColumn="0" w:lastRowFirstColumn="0" w:lastRowLastColumn="0"/>
              <w:rPr>
                <w:rFonts w:ascii="Swis721 Th BT" w:hAnsi="Swis721 Th BT"/>
                <w:sz w:val="21"/>
                <w:szCs w:val="21"/>
              </w:rPr>
            </w:pPr>
            <w:r>
              <w:rPr>
                <w:rFonts w:ascii="Swis721 Th BT" w:hAnsi="Swis721 Th BT"/>
                <w:sz w:val="21"/>
                <w:szCs w:val="21"/>
              </w:rPr>
              <w:t>2</w:t>
            </w:r>
          </w:p>
        </w:tc>
        <w:tc>
          <w:tcPr>
            <w:tcW w:w="0" w:type="auto"/>
            <w:shd w:val="clear" w:color="auto" w:fill="F2F2F2" w:themeFill="background1" w:themeFillShade="F2"/>
          </w:tcPr>
          <w:p w14:paraId="387E053F" w14:textId="77777777" w:rsidR="00CD65C2" w:rsidRDefault="00FA41FC">
            <w:pPr>
              <w:jc w:val="center"/>
              <w:cnfStyle w:val="000000000000" w:firstRow="0" w:lastRow="0" w:firstColumn="0" w:lastColumn="0" w:oddVBand="0" w:evenVBand="0" w:oddHBand="0" w:evenHBand="0" w:firstRowFirstColumn="0" w:firstRowLastColumn="0" w:lastRowFirstColumn="0" w:lastRowLastColumn="0"/>
              <w:rPr>
                <w:rFonts w:ascii="Swis721 Th BT" w:hAnsi="Swis721 Th BT"/>
                <w:sz w:val="21"/>
                <w:szCs w:val="21"/>
              </w:rPr>
            </w:pPr>
            <w:r>
              <w:rPr>
                <w:rFonts w:ascii="Swis721 Th BT" w:hAnsi="Swis721 Th BT"/>
                <w:sz w:val="21"/>
                <w:szCs w:val="21"/>
              </w:rPr>
              <w:t>4</w:t>
            </w:r>
          </w:p>
        </w:tc>
        <w:tc>
          <w:tcPr>
            <w:tcW w:w="0" w:type="auto"/>
            <w:shd w:val="clear" w:color="auto" w:fill="F2F2F2" w:themeFill="background1" w:themeFillShade="F2"/>
          </w:tcPr>
          <w:p w14:paraId="559C2072" w14:textId="77777777" w:rsidR="00CD65C2" w:rsidRDefault="00FA41FC">
            <w:pPr>
              <w:jc w:val="center"/>
              <w:cnfStyle w:val="000000000000" w:firstRow="0" w:lastRow="0" w:firstColumn="0" w:lastColumn="0" w:oddVBand="0" w:evenVBand="0" w:oddHBand="0" w:evenHBand="0" w:firstRowFirstColumn="0" w:firstRowLastColumn="0" w:lastRowFirstColumn="0" w:lastRowLastColumn="0"/>
              <w:rPr>
                <w:rFonts w:ascii="Swis721 Th BT" w:hAnsi="Swis721 Th BT"/>
                <w:sz w:val="21"/>
                <w:szCs w:val="21"/>
              </w:rPr>
            </w:pPr>
            <w:r>
              <w:rPr>
                <w:rFonts w:ascii="Swis721 Th BT" w:hAnsi="Swis721 Th BT"/>
                <w:sz w:val="21"/>
                <w:szCs w:val="21"/>
              </w:rPr>
              <w:t>1</w:t>
            </w:r>
          </w:p>
        </w:tc>
        <w:tc>
          <w:tcPr>
            <w:tcW w:w="0" w:type="auto"/>
            <w:shd w:val="clear" w:color="auto" w:fill="F2F2F2" w:themeFill="background1" w:themeFillShade="F2"/>
          </w:tcPr>
          <w:p w14:paraId="61959818" w14:textId="77777777" w:rsidR="00CD65C2" w:rsidRDefault="00FA41FC">
            <w:pPr>
              <w:jc w:val="center"/>
              <w:cnfStyle w:val="000000000000" w:firstRow="0" w:lastRow="0" w:firstColumn="0" w:lastColumn="0" w:oddVBand="0" w:evenVBand="0" w:oddHBand="0" w:evenHBand="0" w:firstRowFirstColumn="0" w:firstRowLastColumn="0" w:lastRowFirstColumn="0" w:lastRowLastColumn="0"/>
              <w:rPr>
                <w:rFonts w:ascii="Swis721 Th BT" w:hAnsi="Swis721 Th BT"/>
                <w:sz w:val="21"/>
                <w:szCs w:val="21"/>
              </w:rPr>
            </w:pPr>
            <w:r>
              <w:rPr>
                <w:rFonts w:ascii="Swis721 Th BT" w:hAnsi="Swis721 Th BT"/>
                <w:sz w:val="21"/>
                <w:szCs w:val="21"/>
              </w:rPr>
              <w:t>1</w:t>
            </w:r>
          </w:p>
        </w:tc>
      </w:tr>
    </w:tbl>
    <w:p w14:paraId="59F8D302" w14:textId="77777777" w:rsidR="00CD65C2" w:rsidRDefault="00CD65C2">
      <w:pPr>
        <w:pStyle w:val="Corpo"/>
        <w:tabs>
          <w:tab w:val="left" w:pos="2760"/>
        </w:tabs>
        <w:spacing w:after="0"/>
        <w:rPr>
          <w:rFonts w:hint="eastAsia"/>
          <w:color w:val="404040" w:themeColor="text1" w:themeTint="BF"/>
          <w:sz w:val="12"/>
          <w:szCs w:val="12"/>
        </w:rPr>
      </w:pPr>
    </w:p>
    <w:p w14:paraId="39C3C7CC" w14:textId="77777777" w:rsidR="00CD65C2" w:rsidRDefault="00CD65C2">
      <w:pPr>
        <w:pStyle w:val="Corpo"/>
        <w:rPr>
          <w:rFonts w:hint="eastAsia"/>
          <w:b/>
          <w:color w:val="339966"/>
          <w14:textFill>
            <w14:solidFill>
              <w14:srgbClr w14:val="339966">
                <w14:lumMod w14:val="75000"/>
                <w14:lumOff w14:val="25000"/>
              </w14:srgbClr>
            </w14:solidFill>
          </w14:textFill>
        </w:rPr>
      </w:pPr>
    </w:p>
    <w:p w14:paraId="26D4AF4F" w14:textId="77777777" w:rsidR="00CD65C2" w:rsidRDefault="00FA41FC">
      <w:pPr>
        <w:pStyle w:val="Ttulo1"/>
        <w:jc w:val="center"/>
        <w:rPr>
          <w:rFonts w:hint="eastAsia"/>
        </w:rPr>
      </w:pPr>
      <w:bookmarkStart w:id="196" w:name="_Toc165537343"/>
      <w:r>
        <w:rPr>
          <w:rStyle w:val="Ttulo1Char"/>
          <w:b/>
        </w:rPr>
        <w:t>Formulário</w:t>
      </w:r>
      <w:bookmarkEnd w:id="196"/>
    </w:p>
    <w:p w14:paraId="48562724" w14:textId="77777777" w:rsidR="00CD65C2" w:rsidRDefault="00CD65C2">
      <w:pPr>
        <w:pStyle w:val="Corpo"/>
        <w:rPr>
          <w:rFonts w:hint="eastAsia"/>
          <w:b/>
          <w:i/>
          <w:color w:val="404040" w:themeColor="text1" w:themeTint="BF"/>
        </w:rPr>
      </w:pPr>
    </w:p>
    <w:p w14:paraId="2C2867D2" w14:textId="77777777" w:rsidR="00CD65C2" w:rsidRDefault="00FA41FC">
      <w:pPr>
        <w:pStyle w:val="Corpo"/>
        <w:tabs>
          <w:tab w:val="left" w:pos="3555"/>
        </w:tabs>
        <w:rPr>
          <w:rFonts w:hint="eastAsia"/>
          <w:b/>
          <w:i/>
          <w:color w:val="404040" w:themeColor="text1" w:themeTint="BF"/>
        </w:rPr>
      </w:pPr>
      <w:r>
        <w:rPr>
          <w:b/>
          <w:i/>
          <w:color w:val="404040" w:themeColor="text1" w:themeTint="BF"/>
        </w:rPr>
        <w:tab/>
      </w:r>
    </w:p>
    <w:p w14:paraId="2523B1AB" w14:textId="77777777" w:rsidR="00CD65C2" w:rsidRDefault="00CD65C2">
      <w:pPr>
        <w:pStyle w:val="Subtitulocorpo"/>
        <w:rPr>
          <w:rFonts w:hint="eastAsia"/>
          <w:i/>
          <w:color w:val="404040" w:themeColor="text1" w:themeTint="BF"/>
          <w:sz w:val="24"/>
          <w:szCs w:val="24"/>
        </w:rPr>
      </w:pPr>
    </w:p>
    <w:p w14:paraId="6563A072" w14:textId="77777777" w:rsidR="00CD65C2" w:rsidRDefault="00FA41FC">
      <w:pPr>
        <w:pStyle w:val="Corpo"/>
        <w:rPr>
          <w:rFonts w:hint="eastAsia"/>
          <w:b/>
          <w:i/>
          <w:color w:val="404040" w:themeColor="text1" w:themeTint="BF"/>
          <w:sz w:val="24"/>
        </w:rPr>
      </w:pPr>
      <w:r>
        <w:rPr>
          <w:b/>
          <w:i/>
          <w:color w:val="404040" w:themeColor="text1" w:themeTint="BF"/>
          <w:sz w:val="24"/>
        </w:rPr>
        <w:t>Redução da Pressão Sistólica e Prevenção do Aumento da Pressão Diastólica em Mulheres com Câncer de Mama</w:t>
      </w:r>
    </w:p>
    <w:p w14:paraId="3A0F1F83" w14:textId="77777777" w:rsidR="00CD65C2" w:rsidRDefault="00CD65C2">
      <w:pPr>
        <w:pStyle w:val="Corpo"/>
        <w:rPr>
          <w:rFonts w:hint="eastAsia"/>
          <w:color w:val="404040" w:themeColor="text1" w:themeTint="BF"/>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D65C2" w14:paraId="2A19462F"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7138C638" w14:textId="77777777" w:rsidR="00CD65C2" w:rsidRDefault="00FA41FC">
            <w:pPr>
              <w:pStyle w:val="Corpo"/>
              <w:jc w:val="center"/>
              <w:rPr>
                <w:rFonts w:hint="eastAsia"/>
                <w:b/>
                <w:color w:val="FFFFFF" w:themeColor="background1"/>
              </w:rPr>
            </w:pPr>
            <w:r>
              <w:rPr>
                <w:b/>
                <w:color w:val="FFFFFF" w:themeColor="background1"/>
                <w:sz w:val="22"/>
              </w:rPr>
              <w:t>Sachês de Inulina</w:t>
            </w:r>
          </w:p>
        </w:tc>
      </w:tr>
      <w:tr w:rsidR="00CD65C2" w14:paraId="54BF3894" w14:textId="7777777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6A64C06" w14:textId="77777777" w:rsidR="00CD65C2" w:rsidRDefault="00FA41FC">
            <w:pPr>
              <w:pStyle w:val="Corpo"/>
              <w:rPr>
                <w:rFonts w:hint="eastAsia"/>
                <w:color w:val="404040" w:themeColor="text1" w:themeTint="BF"/>
              </w:rPr>
            </w:pPr>
            <w:r>
              <w:rPr>
                <w:color w:val="404040" w:themeColor="text1" w:themeTint="BF"/>
              </w:rPr>
              <w:t>Inulina...................................................15 g</w:t>
            </w:r>
          </w:p>
        </w:tc>
      </w:tr>
      <w:tr w:rsidR="00CD65C2" w14:paraId="27A4D785" w14:textId="7777777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6EA5AA9" w14:textId="45FC284F" w:rsidR="00CD65C2" w:rsidRDefault="00FA41FC">
            <w:pPr>
              <w:pStyle w:val="Corpo"/>
              <w:rPr>
                <w:rFonts w:hint="eastAsia"/>
                <w:color w:val="404040" w:themeColor="text1" w:themeTint="BF"/>
              </w:rPr>
            </w:pPr>
            <w:r>
              <w:rPr>
                <w:color w:val="404040" w:themeColor="text1" w:themeTint="BF"/>
              </w:rPr>
              <w:t>Excipiente q.s.p. ............................1 Sachê</w:t>
            </w:r>
          </w:p>
        </w:tc>
      </w:tr>
    </w:tbl>
    <w:p w14:paraId="79ECBFC9" w14:textId="77777777" w:rsidR="00CD65C2" w:rsidRDefault="00FA41FC">
      <w:pPr>
        <w:pStyle w:val="Corpo"/>
        <w:ind w:right="4960"/>
        <w:jc w:val="center"/>
        <w:rPr>
          <w:rFonts w:hint="eastAsia"/>
          <w:color w:val="404040" w:themeColor="text1" w:themeTint="BF"/>
          <w:sz w:val="22"/>
          <w:szCs w:val="22"/>
        </w:rPr>
      </w:pPr>
      <w:r>
        <w:rPr>
          <w:color w:val="404040" w:themeColor="text1" w:themeTint="BF"/>
          <w:sz w:val="22"/>
          <w:szCs w:val="22"/>
        </w:rPr>
        <w:t>Administrar 1 sachê durante o café da manhã ou conforme orientação médica.</w:t>
      </w:r>
    </w:p>
    <w:p w14:paraId="0A868440" w14:textId="77777777" w:rsidR="00CD65C2" w:rsidRDefault="00CD65C2">
      <w:pPr>
        <w:pStyle w:val="Corpo"/>
        <w:spacing w:line="276" w:lineRule="auto"/>
        <w:rPr>
          <w:rFonts w:hint="eastAsia"/>
          <w:b/>
          <w:color w:val="404040" w:themeColor="text1" w:themeTint="BF"/>
        </w:rPr>
      </w:pPr>
    </w:p>
    <w:p w14:paraId="658C3309" w14:textId="77777777" w:rsidR="00CD65C2" w:rsidRDefault="00CD65C2">
      <w:pPr>
        <w:pStyle w:val="Corpo"/>
        <w:spacing w:line="276" w:lineRule="auto"/>
        <w:rPr>
          <w:rFonts w:hint="eastAsia"/>
          <w:b/>
          <w:color w:val="404040" w:themeColor="text1" w:themeTint="BF"/>
        </w:rPr>
      </w:pPr>
    </w:p>
    <w:p w14:paraId="4E8ECB6B" w14:textId="77777777" w:rsidR="00CD65C2" w:rsidRDefault="00CD65C2">
      <w:pPr>
        <w:pStyle w:val="Corpo"/>
        <w:spacing w:line="276" w:lineRule="auto"/>
        <w:rPr>
          <w:rFonts w:hint="eastAsia"/>
          <w:b/>
          <w:color w:val="404040" w:themeColor="text1" w:themeTint="BF"/>
        </w:rPr>
      </w:pPr>
    </w:p>
    <w:p w14:paraId="571E97F8" w14:textId="77777777" w:rsidR="00CD65C2" w:rsidRDefault="00CD65C2">
      <w:pPr>
        <w:pStyle w:val="Corpo"/>
        <w:spacing w:line="276" w:lineRule="auto"/>
        <w:rPr>
          <w:rFonts w:hint="eastAsia"/>
          <w:b/>
          <w:color w:val="404040" w:themeColor="text1" w:themeTint="BF"/>
        </w:rPr>
      </w:pPr>
    </w:p>
    <w:p w14:paraId="4BB8E59A" w14:textId="77777777" w:rsidR="00CD65C2" w:rsidRDefault="00CD65C2">
      <w:pPr>
        <w:pStyle w:val="Corpo"/>
        <w:spacing w:line="276" w:lineRule="auto"/>
        <w:rPr>
          <w:rFonts w:hint="eastAsia"/>
          <w:b/>
          <w:color w:val="404040" w:themeColor="text1" w:themeTint="BF"/>
        </w:rPr>
      </w:pPr>
    </w:p>
    <w:p w14:paraId="0F4D1CFD" w14:textId="77777777" w:rsidR="00CD65C2" w:rsidRDefault="00CD65C2">
      <w:pPr>
        <w:pStyle w:val="Corpo"/>
        <w:spacing w:line="276" w:lineRule="auto"/>
        <w:rPr>
          <w:rFonts w:hint="eastAsia"/>
          <w:b/>
          <w:color w:val="404040" w:themeColor="text1" w:themeTint="BF"/>
        </w:rPr>
      </w:pPr>
    </w:p>
    <w:p w14:paraId="1C5DD9CC" w14:textId="77777777" w:rsidR="00CD65C2" w:rsidRDefault="00CD65C2">
      <w:pPr>
        <w:pStyle w:val="Corpo"/>
        <w:spacing w:line="276" w:lineRule="auto"/>
        <w:rPr>
          <w:rFonts w:hint="eastAsia"/>
          <w:b/>
          <w:color w:val="404040" w:themeColor="text1" w:themeTint="BF"/>
        </w:rPr>
      </w:pPr>
    </w:p>
    <w:p w14:paraId="57793050" w14:textId="77777777" w:rsidR="00CD65C2" w:rsidRDefault="00CD65C2">
      <w:pPr>
        <w:pStyle w:val="Corpo"/>
        <w:spacing w:line="276" w:lineRule="auto"/>
        <w:rPr>
          <w:rFonts w:hint="eastAsia"/>
          <w:b/>
          <w:color w:val="404040" w:themeColor="text1" w:themeTint="BF"/>
        </w:rPr>
      </w:pPr>
    </w:p>
    <w:p w14:paraId="5F3F58A8" w14:textId="77777777" w:rsidR="00CD65C2" w:rsidRDefault="00CD65C2">
      <w:pPr>
        <w:pStyle w:val="Corpo"/>
        <w:spacing w:line="276" w:lineRule="auto"/>
        <w:rPr>
          <w:rFonts w:hint="eastAsia"/>
          <w:b/>
          <w:color w:val="404040" w:themeColor="text1" w:themeTint="BF"/>
        </w:rPr>
      </w:pPr>
    </w:p>
    <w:p w14:paraId="1C391EF1" w14:textId="77777777" w:rsidR="00CD65C2" w:rsidRDefault="00CD65C2">
      <w:pPr>
        <w:pStyle w:val="Corpo"/>
        <w:spacing w:line="276" w:lineRule="auto"/>
        <w:rPr>
          <w:rFonts w:hint="eastAsia"/>
          <w:b/>
          <w:color w:val="404040" w:themeColor="text1" w:themeTint="BF"/>
        </w:rPr>
      </w:pPr>
    </w:p>
    <w:p w14:paraId="5664CB55" w14:textId="77777777" w:rsidR="00CD65C2" w:rsidRDefault="00CD65C2">
      <w:pPr>
        <w:pStyle w:val="Corpo"/>
        <w:spacing w:line="276" w:lineRule="auto"/>
        <w:rPr>
          <w:rFonts w:hint="eastAsia"/>
          <w:b/>
          <w:color w:val="404040" w:themeColor="text1" w:themeTint="BF"/>
        </w:rPr>
      </w:pPr>
    </w:p>
    <w:p w14:paraId="73D9562A" w14:textId="77777777" w:rsidR="00CD65C2" w:rsidRDefault="00CD65C2">
      <w:pPr>
        <w:pStyle w:val="Corpo"/>
        <w:spacing w:line="276" w:lineRule="auto"/>
        <w:rPr>
          <w:rFonts w:hint="eastAsia"/>
          <w:b/>
          <w:color w:val="404040" w:themeColor="text1" w:themeTint="BF"/>
        </w:rPr>
      </w:pPr>
    </w:p>
    <w:p w14:paraId="73CB84BD" w14:textId="77777777" w:rsidR="00CD65C2" w:rsidRDefault="00CD65C2">
      <w:pPr>
        <w:pStyle w:val="Corpo"/>
        <w:spacing w:line="276" w:lineRule="auto"/>
        <w:rPr>
          <w:rFonts w:hint="eastAsia"/>
          <w:b/>
          <w:color w:val="404040" w:themeColor="text1" w:themeTint="BF"/>
        </w:rPr>
      </w:pPr>
    </w:p>
    <w:p w14:paraId="61B02DAF" w14:textId="77777777" w:rsidR="00CD65C2" w:rsidRDefault="00CD65C2">
      <w:pPr>
        <w:pStyle w:val="Corpo"/>
        <w:spacing w:line="276" w:lineRule="auto"/>
        <w:rPr>
          <w:rFonts w:hint="eastAsia"/>
          <w:b/>
          <w:color w:val="404040" w:themeColor="text1" w:themeTint="BF"/>
        </w:rPr>
      </w:pPr>
    </w:p>
    <w:p w14:paraId="3ED5897C" w14:textId="77777777" w:rsidR="00CD65C2" w:rsidRDefault="00CD65C2">
      <w:pPr>
        <w:pStyle w:val="Corpo"/>
        <w:spacing w:line="276" w:lineRule="auto"/>
        <w:rPr>
          <w:rFonts w:hint="eastAsia"/>
          <w:b/>
          <w:color w:val="404040" w:themeColor="text1" w:themeTint="BF"/>
        </w:rPr>
      </w:pPr>
    </w:p>
    <w:p w14:paraId="21083E01" w14:textId="77777777" w:rsidR="00CD65C2" w:rsidRDefault="00CD65C2">
      <w:pPr>
        <w:pStyle w:val="Corpo"/>
        <w:spacing w:line="276" w:lineRule="auto"/>
        <w:rPr>
          <w:rFonts w:hint="eastAsia"/>
          <w:b/>
          <w:color w:val="404040" w:themeColor="text1" w:themeTint="BF"/>
        </w:rPr>
      </w:pPr>
    </w:p>
    <w:p w14:paraId="543F6BAD" w14:textId="77777777" w:rsidR="00CD65C2" w:rsidRDefault="00CD65C2">
      <w:pPr>
        <w:pStyle w:val="Corpo"/>
        <w:spacing w:line="276" w:lineRule="auto"/>
        <w:rPr>
          <w:rFonts w:hint="eastAsia"/>
          <w:b/>
          <w:color w:val="404040" w:themeColor="text1" w:themeTint="BF"/>
        </w:rPr>
      </w:pPr>
    </w:p>
    <w:p w14:paraId="2012B859" w14:textId="77777777" w:rsidR="00CD65C2" w:rsidRDefault="00CD65C2">
      <w:pPr>
        <w:pStyle w:val="Corpo"/>
        <w:spacing w:line="276" w:lineRule="auto"/>
        <w:rPr>
          <w:rFonts w:hint="eastAsia"/>
          <w:b/>
          <w:color w:val="404040" w:themeColor="text1" w:themeTint="BF"/>
        </w:rPr>
      </w:pPr>
    </w:p>
    <w:p w14:paraId="0936E269" w14:textId="77777777" w:rsidR="00CD65C2" w:rsidRDefault="00CD65C2">
      <w:pPr>
        <w:pStyle w:val="Corpo"/>
        <w:spacing w:line="276" w:lineRule="auto"/>
        <w:rPr>
          <w:rFonts w:hint="eastAsia"/>
          <w:b/>
          <w:color w:val="404040" w:themeColor="text1" w:themeTint="BF"/>
        </w:rPr>
      </w:pPr>
    </w:p>
    <w:p w14:paraId="199892D7" w14:textId="77777777" w:rsidR="00CD65C2" w:rsidRDefault="00CD65C2">
      <w:pPr>
        <w:pStyle w:val="Corpo"/>
        <w:spacing w:line="276" w:lineRule="auto"/>
        <w:rPr>
          <w:rFonts w:hint="eastAsia"/>
          <w:b/>
          <w:color w:val="404040" w:themeColor="text1" w:themeTint="BF"/>
        </w:rPr>
      </w:pPr>
    </w:p>
    <w:p w14:paraId="0D45FA88" w14:textId="77777777" w:rsidR="00CD65C2" w:rsidRDefault="00CD65C2">
      <w:pPr>
        <w:pStyle w:val="Corpo"/>
        <w:spacing w:line="276" w:lineRule="auto"/>
        <w:rPr>
          <w:rFonts w:hint="eastAsia"/>
          <w:b/>
          <w:color w:val="404040" w:themeColor="text1" w:themeTint="BF"/>
        </w:rPr>
      </w:pPr>
    </w:p>
    <w:p w14:paraId="50A8DE44" w14:textId="77777777" w:rsidR="00CD65C2" w:rsidRDefault="00CD65C2">
      <w:pPr>
        <w:pStyle w:val="Corpo"/>
        <w:spacing w:line="276" w:lineRule="auto"/>
        <w:rPr>
          <w:rFonts w:hint="eastAsia"/>
          <w:b/>
          <w:color w:val="404040" w:themeColor="text1" w:themeTint="BF"/>
        </w:rPr>
      </w:pPr>
    </w:p>
    <w:p w14:paraId="7963ACA5" w14:textId="77777777" w:rsidR="00CD65C2" w:rsidRDefault="00CD65C2">
      <w:pPr>
        <w:pStyle w:val="Corpo"/>
        <w:spacing w:line="276" w:lineRule="auto"/>
        <w:rPr>
          <w:rFonts w:hint="eastAsia"/>
          <w:b/>
          <w:color w:val="404040" w:themeColor="text1" w:themeTint="BF"/>
        </w:rPr>
      </w:pPr>
    </w:p>
    <w:p w14:paraId="7FE31CE4" w14:textId="77777777" w:rsidR="00CD65C2" w:rsidRDefault="00CD65C2">
      <w:pPr>
        <w:pStyle w:val="Corpo"/>
        <w:spacing w:line="276" w:lineRule="auto"/>
        <w:rPr>
          <w:rFonts w:hint="eastAsia"/>
          <w:b/>
          <w:color w:val="404040" w:themeColor="text1" w:themeTint="BF"/>
        </w:rPr>
      </w:pPr>
    </w:p>
    <w:p w14:paraId="46D846D9" w14:textId="77777777" w:rsidR="00CD65C2" w:rsidRDefault="00FA41FC">
      <w:pPr>
        <w:pStyle w:val="Ttulo1"/>
        <w:jc w:val="center"/>
        <w:rPr>
          <w:rFonts w:hint="eastAsia"/>
        </w:rPr>
      </w:pPr>
      <w:bookmarkStart w:id="197" w:name="_Toc165537344"/>
      <w:r>
        <w:t>Referências</w:t>
      </w:r>
      <w:bookmarkEnd w:id="197"/>
    </w:p>
    <w:p w14:paraId="7222BB96" w14:textId="77777777" w:rsidR="00CD65C2" w:rsidRDefault="00CD65C2">
      <w:pPr>
        <w:pStyle w:val="Corpo"/>
        <w:spacing w:line="276" w:lineRule="auto"/>
        <w:rPr>
          <w:rFonts w:hint="eastAsia"/>
          <w:b/>
          <w:color w:val="404040" w:themeColor="text1" w:themeTint="BF"/>
        </w:rPr>
      </w:pPr>
    </w:p>
    <w:p w14:paraId="398351A5" w14:textId="77777777" w:rsidR="00CD65C2" w:rsidRDefault="00CD65C2">
      <w:pPr>
        <w:pStyle w:val="Corpo"/>
        <w:spacing w:line="276" w:lineRule="auto"/>
        <w:rPr>
          <w:rFonts w:hint="eastAsia"/>
          <w:b/>
          <w:color w:val="404040" w:themeColor="text1" w:themeTint="BF"/>
        </w:rPr>
      </w:pPr>
    </w:p>
    <w:p w14:paraId="7DDFECFF"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rPr>
        <w:t xml:space="preserve">ABDNEZHAD, R.  et al. </w:t>
      </w:r>
      <w:r>
        <w:rPr>
          <w:rFonts w:ascii="Swis721 Th BT" w:hAnsi="Swis721 Th BT"/>
          <w:sz w:val="23"/>
          <w:szCs w:val="23"/>
          <w:lang w:val="en-US"/>
        </w:rPr>
        <w:t xml:space="preserve">Salvia officinalis Reduces the Severity of the Premenstrual Syndrome. Complement Med Res, Dec 15 2018. ISSN 2504-2092.  </w:t>
      </w:r>
    </w:p>
    <w:p w14:paraId="1293EC79"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ADVANI, K.; BATRA, M.; TAJPURIYA, S.; GUPTA, R. et al. Efficacy of combination therapy of inositols, antioxidants and vitamins in obese and non-obese women with polycystic ovary syndrome: an observational study. J Obstet Gynaecol, 40, n. 1, p. 96-101, Jan 2020.</w:t>
      </w:r>
    </w:p>
    <w:p w14:paraId="4FE39EEB" w14:textId="77777777" w:rsidR="00CD65C2" w:rsidRDefault="00FA41FC">
      <w:pPr>
        <w:spacing w:before="200" w:after="200"/>
        <w:jc w:val="both"/>
        <w:rPr>
          <w:rFonts w:ascii="Swis721 Th BT" w:hAnsi="Swis721 Th BT"/>
          <w:sz w:val="23"/>
          <w:szCs w:val="23"/>
        </w:rPr>
      </w:pPr>
      <w:r>
        <w:rPr>
          <w:rFonts w:ascii="Swis721 Th BT" w:hAnsi="Swis721 Th BT"/>
          <w:sz w:val="23"/>
          <w:szCs w:val="23"/>
          <w:lang w:val="en-US"/>
        </w:rPr>
        <w:t xml:space="preserve">AKBARI, M. et al. The Effects of Vitamin D Supplementation on Biomarkers of Inflammation and Oxidative Stress Among Women with Polycystic Ovary Syndrome: A Systematic Review and Meta-Analysis of Randomized Controlled Trials. </w:t>
      </w:r>
      <w:r>
        <w:rPr>
          <w:rFonts w:ascii="Swis721 Th BT" w:hAnsi="Swis721 Th BT"/>
          <w:sz w:val="23"/>
          <w:szCs w:val="23"/>
        </w:rPr>
        <w:t>Horm Metab Res . 2018 Apr;50(4):271-279. doi: 10.1055/s-0044-101355. Epub 2018 Feb 23.</w:t>
      </w:r>
    </w:p>
    <w:p w14:paraId="6A5489B7"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rPr>
        <w:t xml:space="preserve">ALI, D. E.; SHAH, M.; ALI, A.; MALIK, M. O. et al. </w:t>
      </w:r>
      <w:r>
        <w:rPr>
          <w:rFonts w:ascii="Swis721 Th BT" w:hAnsi="Swis721 Th BT"/>
          <w:sz w:val="23"/>
          <w:szCs w:val="23"/>
          <w:lang w:val="en-US"/>
        </w:rPr>
        <w:t>Treatment with Metformin and Combination of Metformin Plus Pioglitazone on Serum Levels of IL-6 and IL-8 in Polycystic Ovary Syndrome: A Randomized Clinical Trial. Horm Metab Res, 51, n. 11, p. 714-722, Nov 2019.</w:t>
      </w:r>
    </w:p>
    <w:p w14:paraId="48342458"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Ambrosini A, Di Lorenzo C, Coppola G, Pierelli F. Use of Vitex agnus-castus in migrainous women with premenstrual syndrome: an open-label clinical observation. Acta Neurol Belg. 2013 Mar;113(1):25-9. doi: 10.1007/s13760-012-0111-4. Epub 2012 Jul 12.</w:t>
      </w:r>
    </w:p>
    <w:p w14:paraId="13632F45"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AMINI et al The Effect of Combined Vitamin C and Vitamin E Supplementation on Oxidative Stress Markers in Women with Endometriosis: A Randomized, Triple-Blind Placebo-Controlled Clinical Trial Pain Res Manag. 2021 May 26;2021:5529741. doi: 10.1155/2021/5529741. eCollection 2021.</w:t>
      </w:r>
    </w:p>
    <w:p w14:paraId="5F1921BD"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ARABNEZHAD, L. et al. Effects of curcumin supplementation on vitamin D levels in women with premenstrual syndrome and dysmenorrhea: a randomized controlled study. BMC Complement Med Ther. 2022 Jan 22;22(1):19. doi: 10.1186/s12906-022-03515-2.</w:t>
      </w:r>
    </w:p>
    <w:p w14:paraId="623027ED" w14:textId="77777777" w:rsidR="00CD65C2" w:rsidRDefault="00FA41FC">
      <w:pPr>
        <w:spacing w:before="200" w:after="200"/>
        <w:jc w:val="both"/>
        <w:rPr>
          <w:rFonts w:ascii="Swis721 Th BT" w:hAnsi="Swis721 Th BT"/>
          <w:sz w:val="23"/>
          <w:szCs w:val="23"/>
        </w:rPr>
      </w:pPr>
      <w:r>
        <w:rPr>
          <w:rFonts w:ascii="Swis721 Th BT" w:hAnsi="Swis721 Th BT"/>
          <w:sz w:val="23"/>
          <w:szCs w:val="23"/>
          <w:lang w:val="en-US"/>
        </w:rPr>
        <w:t xml:space="preserve">AZIZI, M.; KHANI, S.; KAMALI, M.; ELYASI, F. The Efficacy and Safety of Selective Serotonin Reuptake Inhibitors and Serotonin-Norepinephrine Reuptake Inhibitors in the Treatment of Menopausal Hot Flashes: A Systematic Review of Clinical Trials. </w:t>
      </w:r>
      <w:r>
        <w:rPr>
          <w:rFonts w:ascii="Swis721 Th BT" w:hAnsi="Swis721 Th BT"/>
          <w:sz w:val="23"/>
          <w:szCs w:val="23"/>
        </w:rPr>
        <w:t>Iran J Med Sci, 47, n. 3, p. 173-193, May 2022.</w:t>
      </w:r>
    </w:p>
    <w:p w14:paraId="6C7887E3"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rPr>
        <w:t xml:space="preserve">BECERRIL-ALARCON, Y.; CAMPOS-GOMEZ, S.; VALDEZ-ANDRADE, J. J.; CAMPOS-GOMEZ, K. A. et al. </w:t>
      </w:r>
      <w:r>
        <w:rPr>
          <w:rFonts w:ascii="Swis721 Th BT" w:hAnsi="Swis721 Th BT"/>
          <w:sz w:val="23"/>
          <w:szCs w:val="23"/>
          <w:lang w:val="en-US"/>
        </w:rPr>
        <w:t>Inulin Supplementation Reduces Systolic Blood Pressure in Women with Breast Cancer Undergoing Neoadjuvant Chemotherapy. Cardiovasc Ther, 2019, p. 5707150, 2019.</w:t>
      </w:r>
    </w:p>
    <w:p w14:paraId="6701F2AB"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Behboudi-Gandevani S1, Hariri FZ2, Moghaddam-Banaem L2. The effect of omega 3 fatty acid supplementation on premenstrual syndrome and health-related quality of life: a randomized clinical trial. J Psychosom Obstet Gynaecol. 2017 Jul 14:1-7. doi: 10.1080/0167482X.2017.1348496.</w:t>
      </w:r>
    </w:p>
    <w:p w14:paraId="50C776D7"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BOSAK, Z.; IRAVANI, M.; MOGHIMIPOUR, E.; HAGHIGHIZADEH, M. H. et al. Evaluation of the influence of chamomile vaginal gel on dyspareunia and sexual satisfaction in postmenopausal women: A randomized, double-blind, controlled clinical trial. Avicenna journal of phytomedicine, 10, n. 5, p. 481-491, Sep-Oct 2020.</w:t>
      </w:r>
    </w:p>
    <w:p w14:paraId="0F270574"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 xml:space="preserve">BRUYERE, F.  et al. A Multicenter, Randomized, Placebo-Controlled Study Evaluating the Efficacy of a Combination of Propolis and Cranberry (Vaccinium macrocarpon) (DUAB(R)) in Preventing Low Urinary Tract Infection Recurrence in Women Complaining of Recurrent Cystitis. Urol Int, p. 1-8, May 22 2019. ISSN 0042-1138.  </w:t>
      </w:r>
    </w:p>
    <w:p w14:paraId="6708E378" w14:textId="77777777" w:rsidR="00CD65C2" w:rsidRDefault="00FA41FC">
      <w:pPr>
        <w:spacing w:before="200" w:after="200"/>
        <w:jc w:val="both"/>
        <w:rPr>
          <w:rFonts w:ascii="Swis721 Th BT" w:hAnsi="Swis721 Th BT"/>
          <w:sz w:val="23"/>
          <w:szCs w:val="23"/>
        </w:rPr>
      </w:pPr>
      <w:r>
        <w:rPr>
          <w:rFonts w:ascii="Swis721 Th BT" w:hAnsi="Swis721 Th BT"/>
          <w:sz w:val="23"/>
          <w:szCs w:val="23"/>
          <w:lang w:val="en-US"/>
        </w:rPr>
        <w:t xml:space="preserve">Cai T1, Cocci A, Tiscione D, Puglisi M, Di Maida F, Malossini G, Verze P, Palmieri A, Mirone V, Bjerklund Johansen TE. L-Methionine associated with Hibiscus sabdariffa and Boswellia serrata extracts are not inferior to antibiotic treatment for symptoms relief in patients affected by recurrent uncomplicated urinary tract infections: Focus on antibiotic-sparing approach. </w:t>
      </w:r>
      <w:r>
        <w:rPr>
          <w:rFonts w:ascii="Swis721 Th BT" w:hAnsi="Swis721 Th BT"/>
          <w:sz w:val="23"/>
          <w:szCs w:val="23"/>
        </w:rPr>
        <w:t>Arch Ital Urol Androl. 2018 Jun 30;90(2):97-100. doi: 10.4081/aiua.2018.2.97.</w:t>
      </w:r>
    </w:p>
    <w:p w14:paraId="5B0B5280"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rPr>
        <w:t xml:space="preserve">Cerqueira RO1, Frey BN2,3, Leclerc E1, Brietzke E4. </w:t>
      </w:r>
      <w:r>
        <w:rPr>
          <w:rFonts w:ascii="Swis721 Th BT" w:hAnsi="Swis721 Th BT"/>
          <w:sz w:val="23"/>
          <w:szCs w:val="23"/>
          <w:lang w:val="en-US"/>
        </w:rPr>
        <w:t>Vitex agnus castus for premenstrual syndrome and premenstrual dysphoric disorder: a systematic review. Arch Womens Ment Health. 2017 Dec;20(6):713-719. doi: 10.1007/s00737-017-0791-0. Epub 2017 Oct 23.</w:t>
      </w:r>
    </w:p>
    <w:p w14:paraId="5C68E585"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 xml:space="preserve">CHAIKITTISILPA, S.; SOIMONGKOL, K.; JAISAMRARN, U. Efficacy of oral estrogen plus testosterone gel to improve sexual function in postmenopausal women. Climacteric, p. 1-6, Feb 27 2019. ISSN 1369-7137.  </w:t>
      </w:r>
    </w:p>
    <w:p w14:paraId="3F3A042C"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CHEN, Y.; LU, J.; WICKENS, K.; STANLEY, T. et al. Effect of Lactobacillus rhamnosus Probiotic in Early Pregnancy on Plasma Conjugated Bile Acids in a Randomised Controlled Trial. Nutrients, 13, n. 1, p. 209, 2021.</w:t>
      </w:r>
    </w:p>
    <w:p w14:paraId="2FBED232"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CIPRIANI, S.; MASEROLI, E.; DI STASI, V.; SCAVELLO, I. et al. Effects of testosterone treatment on clitoral haemodynamics in women with sexual dysfunction. J Endocrinol Invest, 44, n. 12, p. 2765-2776, Dec 2021.</w:t>
      </w:r>
    </w:p>
    <w:p w14:paraId="46928335"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DARVISH, S. et al. Synbiotic Supplementation Improves Metabolic Factors and Obesity Values in Women with Polycystic Ovary Syndrome Independent of Affecting Apelin Levels: A Randomized Double-Blind Placebo - Controlled Clinical Trial. Int J Fertil Steril. 2021 Jan;15(1):51-59. doi: 10.22074/ijfs.2021.6186. Epub 2021 Jan 19.</w:t>
      </w:r>
    </w:p>
    <w:p w14:paraId="7DC0672F"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 xml:space="preserve">DARVISH-MOFRAD-KASHANI, Z.  et al. Effect of Melissa officinalis (Lemon balm) on Sexual Dysfunction in Women: A Double- blind, Randomized, Placebo-controlled Study. Iran J Pharm Res, v. 17, n. Suppl, p. 89-100, Winter 2018. ISSN 1735-0328 (Print)1726-6882. </w:t>
      </w:r>
    </w:p>
    <w:p w14:paraId="59437B98"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DONGRE, S. et al. Efficacy and Safety of Ashwagandha (Withania somnifera) Root Extract in Improving Sexual Function in Women: A Pilot Study. Biomed Res Int. 2015;2015:284154. doi: 10.1155/2015/284154. Epub 2015 Oct 4.</w:t>
      </w:r>
    </w:p>
    <w:p w14:paraId="0CE96A70"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EATAEI-ALMANGHADIM, K. et al. The effect of oral capsule of curcumin and vitamin E on the hot flashes and anxiety in postmenopausal women: A triple blind randomised controlled trial. Complement Ther Med. 2020 Jan;48:102267.</w:t>
      </w:r>
    </w:p>
    <w:p w14:paraId="71A4F398"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El Sharkwy IA1, Abd El Aziz WM1. Randomized controlled trial of N-acetylcysteine versus l-carnitine among women with clomiphene-citrate-resistant polycystic ovary syndrome. Int J Gynaecol Obstet. 2019 Oct;147(1):59-64. doi: 10.1002/ijgo.12902. Epub 2019 Jul 17.</w:t>
      </w:r>
    </w:p>
    <w:p w14:paraId="6022152A"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FARSHBAF-KHALILI, A.; OSTADRAHIMI, A.; MIRGHAFOURVAND, M.; ATAEI-ALMANGHADIM, K. et al. Clinical Efficacy of Curcumin and Vitamin E on Inflammatory-Oxidative Stress Biomarkers and Primary Symptoms of Menopause in Healthy Postmenopausal Women: A Triple-Blind Randomized Controlled Trial. Journal of Nutrition and Metabolism, 2022, p. 6339715, 2022/06/09 2022.</w:t>
      </w:r>
    </w:p>
    <w:p w14:paraId="1692CB58"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FARSINEJAD-MARJ, M.; AZADBAKHT, L.; MARDANIAN, F.; SANEEI, P. et al. Clinical and Metabolic Responses to Magnesium Supplementation in Women with Polycystic Ovary Syndrome. Biol Trace Elem Res, 196, n. 2, p. 349-358, Aug 2020.</w:t>
      </w:r>
    </w:p>
    <w:p w14:paraId="188FB5B4"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GHORBANI, Z. et al. The effect of ginseng on sexual dysfunction in menopausal women: A double-blind, randomized, controlled trial. Complement Ther Med. 2019 Aug;45:57-64.</w:t>
      </w:r>
    </w:p>
    <w:p w14:paraId="5C3A7FD9"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Goldstein SW, Goldstein I, Kim NN. Vestibular tissue changes following administration of intravaginal prasterone: a vulvoscopic open-label pilot study in menopausal women with dyspareunia. Sex Med. 2023 Jun 20;11(3):qfad028. doi: 10.1093/sexmed/qfad028. PMID: 37351544; PMCID: PMC10281961.</w:t>
      </w:r>
    </w:p>
    <w:p w14:paraId="4B479048"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GOPAL S, AJGAONKAR A, KANCHI P, KAUNDINYA A, THAKARE V, CHAUHAN S, LANGADE D. Effect of an ashwagandha (Withania Somnifera) root extract on climacteric symptoms in women during perimenopause: A randomized, double-blind, placebo-controlled study. J Obstet Gynaecol Res. 2021 Dec;47(12):4414-4425. doi: 10.1111/jog.15030. Epub 2021 Sep 22. PMID: 34553463.</w:t>
      </w:r>
    </w:p>
    <w:p w14:paraId="1376FBF1"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 xml:space="preserve">HAIDARI, F.  et al. Effect of chlorella supplementation on systematic symptoms and serum levels of prostaglandins, inflammatory and oxidative markers in women with primary dysmenorrhea. Eur J Obstet Gynecol Reprod Biol, v. 229, p. 185-189, Oct 2018. ISSN 0301-2115.  </w:t>
      </w:r>
    </w:p>
    <w:p w14:paraId="56AC0199"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HAJ-HUSEIN, I.; TUKAN, S.; ALKAZALEH, F. The effect of marjoram (Origanum majorana) tea on the hormonal profile of women with polycystic ovary syndrome: a randomised controlled pilot study. J Hum Nutr Diet, 29, n. 1, p. 105-111, Feb 2016.</w:t>
      </w:r>
    </w:p>
    <w:p w14:paraId="1FC63B80"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HESHMATI, J.; MOINI, A.; SEPIDARKISH, M.; MORVARIDZADEH, M. et al. Effects of curcumin supplementation on blood glucose, insulin resistance and androgens in patients with polycystic ovary syndrome: A randomized double-blind placebo-controlled clinical trial. Phytomedicine, 80, p. 153395, Jan 2021.</w:t>
      </w:r>
    </w:p>
    <w:p w14:paraId="12E56D14"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HINDU KALLURU; SATISH S.KONDAVEETI; SRIVANITELAPOLU; MANGATHAYARU KALACHAVEEDU. Turmeric supplementation improves the quality of life and hematological parameters in breast cancer patients on paclitaxel chemotherapy: A case series. Complementary Therapies in Clinical Practice Volume 41, November 2020, 101247</w:t>
      </w:r>
    </w:p>
    <w:p w14:paraId="06964800"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HIRSCHBERG, AL. et al. Efficacy and safety of ultra-low dose 0.005% estriol vaginal gel for the treatment of vulvovaginal atrophy in postmenopausal women with early breast cancer treated with nonsteroidal aromatase inhibitors: a phase II, randomized, double-blind, placebo-controlled trial. Menopause. 2020 Feb 10.</w:t>
      </w:r>
    </w:p>
    <w:p w14:paraId="4E54D029"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Hu Y, Amoah AN, Zhang H, et al. Effect of ginger in the treatment of nausea and vomiting compared with vitamin B6 and placebo during pregnancy: a meta-analysis. J Matern Fetal Neonatal Med. 2022;35(1):187-196. doi:10.1080/14767058.2020.1712714</w:t>
      </w:r>
    </w:p>
    <w:p w14:paraId="26C29C86"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JANANI, F.; CHANGAEE, F. The effect of glucomannan on pregnancy constipation. J Family Med Prim Care, v. 7, n. 5, p. 903-906, Sep-Oct 2018. ISSN 2249-4863 (Print)</w:t>
      </w:r>
    </w:p>
    <w:p w14:paraId="12FB7C2D"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JUNG, A. J.; SHARMA, A.; LEE, S. H.; LEE, S. J. et al. Efficacy of black rice extract on obesity in obese postmenopausal women: a 12-week randomized, double-blind, placebo-controlled preliminary clinical trial. Menopause, Sep 20 2021.</w:t>
      </w:r>
    </w:p>
    <w:p w14:paraId="54D7865D"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JURADO, AR. et al. The Use of Natural Products for the Treatment of Female Sexual Dysfunction: A Systematic Review of Randomized Clinical Trials. Advances in Sexual Medicine, 2020, 10, 56-69.</w:t>
      </w:r>
    </w:p>
    <w:p w14:paraId="6B4A8A94"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KASHANI, L. et al. (2013) Saffron for Treatment of Fluoxetine-Induced Sexual Dysfunction in Women: A Randomized Double-Blind Placebo-Controlled Study. Human Psychopharmacology, 28, 54-60.</w:t>
      </w:r>
    </w:p>
    <w:p w14:paraId="25B34614"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KAZEMI, M. et al. Randomized double blind clinical trial evaluating the Ellagic acid effects on insulin resistance, oxidative stress and sex hormones levels in women with polycystic ovarian syndrome. J Ovarian Res. 2021 Jul 31;14(1):100. doi: 10.1186/s13048-021-00849-2.</w:t>
      </w:r>
    </w:p>
    <w:p w14:paraId="69943FE9" w14:textId="77777777" w:rsidR="00CD65C2" w:rsidRDefault="00FA41FC">
      <w:pPr>
        <w:spacing w:before="200" w:after="200"/>
        <w:jc w:val="both"/>
        <w:rPr>
          <w:rFonts w:ascii="Swis721 Th BT" w:hAnsi="Swis721 Th BT"/>
          <w:sz w:val="23"/>
          <w:szCs w:val="23"/>
        </w:rPr>
      </w:pPr>
      <w:r>
        <w:rPr>
          <w:rFonts w:ascii="Swis721 Th BT" w:hAnsi="Swis721 Th BT"/>
          <w:sz w:val="23"/>
          <w:szCs w:val="23"/>
          <w:lang w:val="en-US"/>
        </w:rPr>
        <w:t xml:space="preserve">König D1, Oesser S2, Scharla S3, Zdzieblik D4, Gollhofer A5. Specific Collagen Peptides Improve Bone Mineral Density and Bone Markers in Postmenopausal Women-A Randomized Controlled Study. </w:t>
      </w:r>
      <w:r>
        <w:rPr>
          <w:rFonts w:ascii="Swis721 Th BT" w:hAnsi="Swis721 Th BT"/>
          <w:sz w:val="23"/>
          <w:szCs w:val="23"/>
        </w:rPr>
        <w:t>Nutrients. 2018 Jan 16;10(1). pii: E97. doi: 10.3390/nu10010097.</w:t>
      </w:r>
    </w:p>
    <w:p w14:paraId="7764B4E5"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rPr>
        <w:t xml:space="preserve">Korolkovas, A. Dicionário Terapêutico Guanabara. </w:t>
      </w:r>
      <w:r>
        <w:rPr>
          <w:rFonts w:ascii="Swis721 Th BT" w:hAnsi="Swis721 Th BT"/>
          <w:sz w:val="23"/>
          <w:szCs w:val="23"/>
          <w:lang w:val="en-US"/>
        </w:rPr>
        <w:t>Edição 2005/2006.</w:t>
      </w:r>
    </w:p>
    <w:p w14:paraId="6D7C9A91"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KRANJCEC, B.; PAPES, D.; ALTARAC, S. D-mannose powder for prophylaxis of recurrent urinary tract infections in women: a randomized clinical trial. World J Urol, 32, n. 1, p. 79-84, Feb 2014.</w:t>
      </w:r>
    </w:p>
    <w:p w14:paraId="6042A3BC"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KYRIAKIDES, R.; JONES, P.; SOMANI, B. K. Role of D-Mannose in the Prevention of Recurrent Urinary Tract Infections: Evidence from a Systematic Review of the Literature. Eur Urol Focus, 7, n. 5, p. 1166-1169, Sep 2021.</w:t>
      </w:r>
    </w:p>
    <w:p w14:paraId="77905542"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LAMPROPOULOU-ADAMIDOU, K.; KARLAFTI, E.; ARGYROU, C.; MAKRIS, K. et al. Effect of Calcium and Vitamin D Supplementation With and Without Collagen Peptides on Volumetric and Areal Bone Mineral Density, Bone Geometry and Bone Turnover in Postmenopausal Women With Osteopenia. J Clin Densitom, Nov 25 2021.</w:t>
      </w:r>
    </w:p>
    <w:p w14:paraId="7723CFBE"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LAVIGNE, J. P.; RANFAING, J.; DUNYACH-RÉMY, C.; SOTTO, A. Synergistic Effect of Propolis and Antibiotics on Uropathogenic Escherichia coli. Antibiotics (Basel), 9, n. 11, Oct 27 2020.</w:t>
      </w:r>
    </w:p>
    <w:p w14:paraId="33E59526" w14:textId="77777777" w:rsidR="00CD65C2" w:rsidRDefault="00FA41FC">
      <w:pPr>
        <w:spacing w:before="200" w:after="200"/>
        <w:jc w:val="both"/>
        <w:rPr>
          <w:rFonts w:ascii="Swis721 Th BT" w:hAnsi="Swis721 Th BT"/>
          <w:sz w:val="23"/>
          <w:szCs w:val="23"/>
        </w:rPr>
      </w:pPr>
      <w:r>
        <w:rPr>
          <w:rFonts w:ascii="Swis721 Th BT" w:hAnsi="Swis721 Th BT"/>
          <w:sz w:val="23"/>
          <w:szCs w:val="23"/>
          <w:lang w:val="en-US"/>
        </w:rPr>
        <w:t xml:space="preserve">LEDDA et al. Pycnogenol® Supplementation Prevents Recurrent Urinary Tract Infections/Inflammation and Interstitial Cystitis Evid Based Complement Alternat Med. 2021; 2021: 9976299. </w:t>
      </w:r>
      <w:r>
        <w:rPr>
          <w:rFonts w:ascii="Swis721 Th BT" w:hAnsi="Swis721 Th BT"/>
          <w:sz w:val="23"/>
          <w:szCs w:val="23"/>
        </w:rPr>
        <w:t>Published online 2021 Jun 23. doi: 10.1155/2021/9976299 PMCID: PMC8249140 PMID: 34257695</w:t>
      </w:r>
    </w:p>
    <w:p w14:paraId="0997A6A7"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rPr>
        <w:t xml:space="preserve">Lete I1, Mendoza N2, de la Viuda E3, Carmona F4. </w:t>
      </w:r>
      <w:r>
        <w:rPr>
          <w:rFonts w:ascii="Swis721 Th BT" w:hAnsi="Swis721 Th BT"/>
          <w:sz w:val="23"/>
          <w:szCs w:val="23"/>
          <w:lang w:val="en-US"/>
        </w:rPr>
        <w:t>Effectiveness of an antioxidant preparation with N-acetyl cysteine, alpha lipoic acid and bromelain in the treatment of endometriosis-associated pelvic pain: LEAP study. Eur J Obstet Gynecol Reprod Biol. 2018 Sep;228:221-224. doi: 10.1016/j.ejogrb.2018.07.002. Epub 2018 Jul 6.</w:t>
      </w:r>
    </w:p>
    <w:p w14:paraId="19E111F6" w14:textId="77777777" w:rsidR="00CD65C2" w:rsidRDefault="00FA41FC">
      <w:pPr>
        <w:spacing w:before="200" w:after="200"/>
        <w:jc w:val="both"/>
        <w:rPr>
          <w:rFonts w:ascii="Swis721 Th BT" w:hAnsi="Swis721 Th BT"/>
          <w:sz w:val="23"/>
          <w:szCs w:val="23"/>
        </w:rPr>
      </w:pPr>
      <w:r>
        <w:rPr>
          <w:rFonts w:ascii="Swis721 Th BT" w:hAnsi="Swis721 Th BT"/>
          <w:sz w:val="23"/>
          <w:szCs w:val="23"/>
          <w:lang w:val="en-US"/>
        </w:rPr>
        <w:t xml:space="preserve">MAIA, H. The Effect of the Association of Miodesin with Gestrinone on Deep Endometriosis Pain. </w:t>
      </w:r>
      <w:r>
        <w:rPr>
          <w:rFonts w:ascii="Swis721 Th BT" w:hAnsi="Swis721 Th BT"/>
          <w:sz w:val="23"/>
          <w:szCs w:val="23"/>
        </w:rPr>
        <w:t>ISGE Congress 2018.</w:t>
      </w:r>
    </w:p>
    <w:p w14:paraId="6A7AD42B"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rPr>
        <w:t xml:space="preserve">Maranho MCMF, Guapo VG, de Rezende MG, Vieira CS, Brandão ML, Graeff FG, Lovick T, Del-Ben CM. </w:t>
      </w:r>
      <w:r>
        <w:rPr>
          <w:rFonts w:ascii="Swis721 Th BT" w:hAnsi="Swis721 Th BT"/>
          <w:sz w:val="23"/>
          <w:szCs w:val="23"/>
          <w:lang w:val="en-US"/>
        </w:rPr>
        <w:t>Low doses of fluoxetine for the treatment of emotional premenstrual syndrome: a randomized double-blind, placebo-controlled, pilot study. Psychoneuroendocrinology. 2023 Nov;157:106360. doi: 10.1016/j.psyneuen.2023.106360. Epub 2023 Aug 9. PMID: 37572412.</w:t>
      </w:r>
    </w:p>
    <w:p w14:paraId="052A729B"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Martindale, The complete drug reference, 34th edition.</w:t>
      </w:r>
    </w:p>
    <w:p w14:paraId="487B56E3"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 xml:space="preserve">MARTINEZ, N.  et al. A combination of hydroxytyrosol, omega-3 fatty acids and curcumin improves pain and inflammation among early stage breast cancer patients receiving adjuvant hormonal therapy: results of a pilot study. Clin Transl Oncol, Oct 6 2018. ISSN 1699-048x.  </w:t>
      </w:r>
    </w:p>
    <w:p w14:paraId="3EC10D3E"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MASOUDI, M. et al. Effect of sertraline on depression severity and prolactin levels in women with polycystic ovary syndrome: a placebo-controlled randomized trial. Int Clin Psychopharmacol. 2021 May 20. doi: 10.1097/YIC.0000000000000367. Online ahead of print.</w:t>
      </w:r>
    </w:p>
    <w:p w14:paraId="0F25E801"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MAZAHERI NIA, L.; IRAVANI, M.; ABEDI, P.; CHERAGHIAN, B. Effect of Zinc on Testosterone Levels and Sexual Function of Postmenopausal Women: A Randomized Controlled Trial. J Sex Marital Ther, p. 1-10, Jul 27 2021.</w:t>
      </w:r>
    </w:p>
    <w:p w14:paraId="3C423818"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McEvoy, CT. et al. Oral Vitamin C (500 mg/d) to Pregnant Smokers Improves Infant Airway Function at 3 Months (VCSIP). A Randomized Trial. Am J Respir Crit Care Med. 2019 May 1;199(9):1139-1147.</w:t>
      </w:r>
    </w:p>
    <w:p w14:paraId="536EC05E"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McNULTY, H. et al. Effect of continued folic acid supplementation beyond the first trimester of pregnancy on cognitive performance in the child: a follow-up study from a randomized controlled trial (FASSTT Offspring Trial). BMC Med. 2019 Oct 31;17(1):196.</w:t>
      </w:r>
    </w:p>
    <w:p w14:paraId="5AD6B335"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MEETA, M.; SHARMA, S.; UNNI, J.; KHANDELWAL, S. et al. Cardiovascular and Osteoporosis Protection at Menopause with Lycopene: A Placebo-Controlled Double-Blind Randomized Clinical Trial. J Midlife Health, 13, n. 1, p. 50-56, Jan-Mar 2022.</w:t>
      </w:r>
    </w:p>
    <w:p w14:paraId="79A5E905"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Mehdizadehkashi A, Rokhgireh S, Tahermanesh K, Eslahi N, Minaeian S, Samimi M. The effect of vitamin D supplementation on clinical symptoms and metabolic profiles in patients with endometriosis. Gynecol Endocrinol. 2021 Jul;37(7):640-645. doi: 10.1080/09513590.2021.1878138. Epub 2021 Jan 29. PMID: 33508990.</w:t>
      </w:r>
    </w:p>
    <w:p w14:paraId="6CE94CD1"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 xml:space="preserve">MENDONZA, N. et al. High dose of d-chiro-inositol improves oocyte quality in women with polycystic ovary syndrome undergoing ICSI: a randomized controlled trial. Gynecol Endocrinol. 2019 Oct 26:1-4. </w:t>
      </w:r>
    </w:p>
    <w:p w14:paraId="4D34CC43"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MESDAGHINIA, E.; SHAHIN, F.; GHADERI, A.; SHAHIN, D. et al. The Effect of Selenium Supplementation on Clinical Outcomes, Metabolic Profiles, and Pulsatility Index of the Uterine Artery in High-Risk Mothers in Terms of Preeclampsia Screening with Quadruple Test: a Randomized, Double-Blind, Placebo-Controlled Clinical Trial : Selenium and preeclampsia. Biol Trace Elem Res, p. 1-10, Feb 28 2022.</w:t>
      </w:r>
    </w:p>
    <w:p w14:paraId="7D8CF430"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MESHKANI, M.; SAEDISOMEOLIA, A.; YEKANINEJAD, M.; MOUSAVI, S. A. et al. The Effect of Green Coffee Supplementation on Lipid Profile, Glycemic Indices, Inflammatory Biomarkers and Anthropometric Indices in Iranian Women With Polycystic Ovary Syndrome: A Randomized Clinical Trial. Clin Nutr Res, 11, n. 4, p. 241-254, Oct 2022.</w:t>
      </w:r>
    </w:p>
    <w:p w14:paraId="2380CB14"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MODERIE, C.; BOUDREAU, P.; SHECHTER, A.; LESPÉRANCE, P. et al. Effects of exogenous melatonin on sleep and circadian rhythms in women with premenstrual dysphoric disorder. Sleep, 44, n. 12, Dec 10 2021.</w:t>
      </w:r>
    </w:p>
    <w:p w14:paraId="1EFB78A3" w14:textId="77777777" w:rsidR="00CD65C2" w:rsidRDefault="00FA41FC">
      <w:pPr>
        <w:spacing w:before="200" w:after="200"/>
        <w:jc w:val="both"/>
        <w:rPr>
          <w:rFonts w:ascii="Swis721 Th BT" w:hAnsi="Swis721 Th BT"/>
          <w:sz w:val="23"/>
          <w:szCs w:val="23"/>
        </w:rPr>
      </w:pPr>
      <w:r>
        <w:rPr>
          <w:rFonts w:ascii="Swis721 Th BT" w:hAnsi="Swis721 Th BT"/>
          <w:sz w:val="23"/>
          <w:szCs w:val="23"/>
          <w:lang w:val="en-US"/>
        </w:rPr>
        <w:t xml:space="preserve">Momoeda M1, Sasaki H, Tagashira E, Ogishima M, Takano Y, Ochiai K. Efficacy and safety of Vitex agnus-castus extract for treatment of premenstrual syndrome in Japanese patients: a prospective, open-label study. </w:t>
      </w:r>
      <w:r>
        <w:rPr>
          <w:rFonts w:ascii="Swis721 Th BT" w:hAnsi="Swis721 Th BT"/>
          <w:sz w:val="23"/>
          <w:szCs w:val="23"/>
        </w:rPr>
        <w:t>Adv Ther. 2014 Mar;31(3):362-73. doi: 10.1007/s12325-014-0106-z. Epub 2014 Mar 7.</w:t>
      </w:r>
    </w:p>
    <w:p w14:paraId="004A2F00" w14:textId="77777777" w:rsidR="00CD65C2" w:rsidRDefault="00FA41FC">
      <w:pPr>
        <w:spacing w:before="200" w:after="200"/>
        <w:jc w:val="both"/>
        <w:rPr>
          <w:rFonts w:ascii="Swis721 Th BT" w:hAnsi="Swis721 Th BT"/>
          <w:sz w:val="23"/>
          <w:szCs w:val="23"/>
        </w:rPr>
      </w:pPr>
      <w:r>
        <w:rPr>
          <w:rFonts w:ascii="Swis721 Th BT" w:hAnsi="Swis721 Th BT"/>
          <w:sz w:val="23"/>
          <w:szCs w:val="23"/>
          <w:lang w:val="en-US"/>
        </w:rPr>
        <w:t xml:space="preserve">Nikkhah S1, Dolatian M2, Naghii MR3, Zaeri F4, Taheri SM5.Effects of boron supplementation on the severity and duration of pain in primary dysmenorrhea.Complement Ther Clin Pract. </w:t>
      </w:r>
      <w:r>
        <w:rPr>
          <w:rFonts w:ascii="Swis721 Th BT" w:hAnsi="Swis721 Th BT"/>
          <w:sz w:val="23"/>
          <w:szCs w:val="23"/>
        </w:rPr>
        <w:t>2015 May;21(2):79-83. doi: 10.1016/j.ctcp.2015.03.005. Epub 2015 Apr 4.</w:t>
      </w:r>
    </w:p>
    <w:p w14:paraId="38F9B6F7"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rPr>
        <w:t xml:space="preserve">PALACIOS, S.  et al. </w:t>
      </w:r>
      <w:r>
        <w:rPr>
          <w:rFonts w:ascii="Swis721 Th BT" w:hAnsi="Swis721 Th BT"/>
          <w:sz w:val="23"/>
          <w:szCs w:val="23"/>
          <w:lang w:val="en-US"/>
        </w:rPr>
        <w:t xml:space="preserve">Effect of a multi-ingredient based food supplement on sexual function in women with low sexual desire. BMC Womens Health, v. 19, n. 1, p. 58, Apr 30 2019. ISSN 1472-6874.  </w:t>
      </w:r>
    </w:p>
    <w:p w14:paraId="458FE3AF"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RADULESCU, D. et al. Combination of cranberry extract and D-mannose - possible enhancer of uropathogen sensitivity to antibiotics in acute therapy of urinary tract infections: Results of a pilot study. Exp Ther Med. 2020 Oct;20(4):3399-3406. doi: 10.3892/etm.2020.8970. Epub 2020 Jul 7.</w:t>
      </w:r>
    </w:p>
    <w:p w14:paraId="3C1E792E"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RATTANATANTIKUL, T.; MAIPRASERT, M.; SUGKRAROEK, P.; BUMRUNGPERT, A. Efficacy and Safety of Nutraceutical on Menopausal Symptoms in Post-Menopausal Women: A Randomized, Double-Blind, Placebo-Controlled Clinical Trial. J Diet Suppl, p. 1-15, Dec 17 2020.</w:t>
      </w:r>
    </w:p>
    <w:p w14:paraId="781BB3EC"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Rondanelli M, Gasparri C, Perna S, Petrangolini G, Allegrini P, Fazia T, Bernardinelli L, Cavioni A, Mansueto F, Oberto L, Patelli Z, Tartara A, Riva A. A 60-Day Green Tea Extract Supplementation Counteracts the Dysfunction of Adipose Tissue in Overweight Post-Menopausal and Class I Obese Women. Nutrients. 2022 Dec 7;14(24):5209. doi: 10.3390/nu14245209. PMID: 36558368; PMCID: PMC9785698.</w:t>
      </w:r>
    </w:p>
    <w:p w14:paraId="59D2593F" w14:textId="77777777" w:rsidR="00CD65C2" w:rsidRDefault="00FA41FC">
      <w:pPr>
        <w:spacing w:before="200" w:after="200"/>
        <w:jc w:val="both"/>
        <w:rPr>
          <w:rFonts w:ascii="Swis721 Th BT" w:hAnsi="Swis721 Th BT"/>
          <w:sz w:val="23"/>
          <w:szCs w:val="23"/>
        </w:rPr>
      </w:pPr>
      <w:r>
        <w:rPr>
          <w:rFonts w:ascii="Swis721 Th BT" w:hAnsi="Swis721 Th BT"/>
          <w:sz w:val="23"/>
          <w:szCs w:val="23"/>
          <w:lang w:val="en-US"/>
        </w:rPr>
        <w:t xml:space="preserve">RUSSO, R.; SUPERTI, F.; KARADJA, E.; DE SETA, F. Randomised clinical trial in women with Recurrent Vulvovaginal Candidiasis: Efficacy of probiotics and lactoferrin as maintenance treatment. </w:t>
      </w:r>
      <w:r>
        <w:rPr>
          <w:rFonts w:ascii="Swis721 Th BT" w:hAnsi="Swis721 Th BT"/>
          <w:sz w:val="23"/>
          <w:szCs w:val="23"/>
        </w:rPr>
        <w:t>Mycoses, 62, n. 4, p. 328-335, Apr 2019.</w:t>
      </w:r>
    </w:p>
    <w:p w14:paraId="75B6B11B"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rPr>
        <w:t xml:space="preserve">SABERI, Z.; GORJI, N.; MEMARIANI, Z.; MOEINI, R. et al. </w:t>
      </w:r>
      <w:r>
        <w:rPr>
          <w:rFonts w:ascii="Swis721 Th BT" w:hAnsi="Swis721 Th BT"/>
          <w:sz w:val="23"/>
          <w:szCs w:val="23"/>
          <w:lang w:val="en-US"/>
        </w:rPr>
        <w:t>Evaluation of the effect of Silybum marianum extract on menopausal symptoms: A randomized, double-blind placebo-controlled trial. Phytotherapy Research, n/a, n. n/a.</w:t>
      </w:r>
    </w:p>
    <w:p w14:paraId="7CB5563C"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SADEGHI, F. et al. Omega-3 and vitamin E co-supplementation can improve antioxidant markers in obese/overweight women with polycystic ovary syndrome. Int J Vitam Nutr Res. 2020 Oct;90(5-6):477-483. doi: 10.1024/0300-9831/a000588. Epub 2019 Apr 8.</w:t>
      </w:r>
    </w:p>
    <w:p w14:paraId="53BA3EB2"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Saffari E1, Mohammad-Alizadeh-Charandabi S2, Adibpour M3, Mirghafourvand M4, Javadzadeh Y5. Comparing the effects of Calendula officinalis and clotrimazole on vaginal Candidiasis: A randomized controlled trial. Women Health. 2016 Nov 23:1-16. doi: 10.1080/03630242.2016.1263272. [Epub ahead of print]</w:t>
      </w:r>
    </w:p>
    <w:p w14:paraId="2B041918"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Saneei Totmaj A, Haghighat S, Jaberzadeh S, Navaei M, Vafa S, Janani L, Emamat H, Salehi Z, Izad M, Zarrati M. The Effects of Synbiotic Supplementation on Serum Anti-Inflammatory Factors in the Survivors of Breast Cancer with Lymphedema following a Low Calorie Diet: A Randomized, Double-Blind, Clinical Trial. Nutr Cancer. 2022;74(3):869-881. doi: 10.1080/01635581.2021.1933096. Epub 2021 Jun 4. PMID: 34085881.</w:t>
      </w:r>
    </w:p>
    <w:p w14:paraId="57436CCF" w14:textId="77777777" w:rsidR="00CD65C2" w:rsidRPr="00D1428E" w:rsidRDefault="00FA41FC">
      <w:pPr>
        <w:spacing w:before="200" w:after="200"/>
        <w:jc w:val="both"/>
        <w:rPr>
          <w:rFonts w:ascii="Swis721 Th BT" w:hAnsi="Swis721 Th BT"/>
          <w:sz w:val="23"/>
          <w:szCs w:val="23"/>
          <w:lang w:val="en-US"/>
        </w:rPr>
      </w:pPr>
      <w:r>
        <w:rPr>
          <w:rFonts w:ascii="Swis721 Th BT" w:hAnsi="Swis721 Th BT"/>
          <w:sz w:val="23"/>
          <w:szCs w:val="23"/>
          <w:lang w:val="en-US"/>
        </w:rPr>
        <w:t xml:space="preserve">SANTANAM, N.  et al. Antioxidant supplementation reduces endometriosis-related pelvic pain in humans. </w:t>
      </w:r>
      <w:r w:rsidRPr="00D1428E">
        <w:rPr>
          <w:rFonts w:ascii="Swis721 Th BT" w:hAnsi="Swis721 Th BT"/>
          <w:sz w:val="23"/>
          <w:szCs w:val="23"/>
          <w:lang w:val="en-US"/>
        </w:rPr>
        <w:t xml:space="preserve">Transl Res, v. 161, n. 3, p. 189-95, Mar 2013. ISSN 1878-1810.  </w:t>
      </w:r>
    </w:p>
    <w:p w14:paraId="50B218CA" w14:textId="77777777" w:rsidR="00CD65C2" w:rsidRDefault="00FA41FC">
      <w:pPr>
        <w:spacing w:before="200" w:after="200"/>
        <w:jc w:val="both"/>
        <w:rPr>
          <w:rFonts w:ascii="Swis721 Th BT" w:hAnsi="Swis721 Th BT"/>
          <w:sz w:val="23"/>
          <w:szCs w:val="23"/>
          <w:lang w:val="en-US"/>
        </w:rPr>
      </w:pPr>
      <w:r w:rsidRPr="00D1428E">
        <w:rPr>
          <w:rFonts w:ascii="Swis721 Th BT" w:hAnsi="Swis721 Th BT"/>
          <w:sz w:val="23"/>
          <w:szCs w:val="23"/>
          <w:lang w:val="en-US"/>
        </w:rPr>
        <w:t xml:space="preserve">Schmitt EB, Orsatti CL, Cangussu L, Bueloni-Dias FN, Poloni PF, Spadoto-Dias D, Nahas EAP. </w:t>
      </w:r>
      <w:r>
        <w:rPr>
          <w:rFonts w:ascii="Swis721 Th BT" w:hAnsi="Swis721 Th BT"/>
          <w:sz w:val="23"/>
          <w:szCs w:val="23"/>
          <w:lang w:val="en-US"/>
        </w:rPr>
        <w:t>Isolated vitamin D supplementation improves the adipokine profile of postmenopausal women: a randomized clinical trial. Menopause. 2023 Jan 1;30(1):56-62. doi: 10.1097/GME.0000000000002084. Epub 2022 Oct 16. PMID: 36256949.</w:t>
      </w:r>
    </w:p>
    <w:p w14:paraId="5B6DE42F"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Schnatz, P et al. Calcium/vitamin D supplementation, serum 25-hydroxyvitamin D concentrations, and cholesterol profiles in the Women's Health Initiative calcium/vitamin D randomized trial Menopause. 2014 Aug;21(8):823-33. doi: 10.1097/GME.0000000000000188.</w:t>
      </w:r>
    </w:p>
    <w:p w14:paraId="21D7C102"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SHABANI et al. Effects of melatonin administration on mental health parameters, metabolic and genetic profiles in women with polycystic ovary syndrome: A randomized, double-blind, placebo-controlled trial. J Affect Disord. 2019 Feb 26;250:51-56. doi: 10.1016/j.jad.2019.02.066. [Epub ahead of print]</w:t>
      </w:r>
    </w:p>
    <w:p w14:paraId="6D142CB6" w14:textId="77777777" w:rsidR="00CD65C2" w:rsidRPr="00D1428E" w:rsidRDefault="00FA41FC">
      <w:pPr>
        <w:spacing w:before="200" w:after="200"/>
        <w:jc w:val="both"/>
        <w:rPr>
          <w:rFonts w:ascii="Swis721 Th BT" w:hAnsi="Swis721 Th BT"/>
          <w:sz w:val="23"/>
          <w:szCs w:val="23"/>
          <w:lang w:val="en-US"/>
        </w:rPr>
      </w:pPr>
      <w:r>
        <w:rPr>
          <w:rFonts w:ascii="Swis721 Th BT" w:hAnsi="Swis721 Th BT"/>
          <w:sz w:val="23"/>
          <w:szCs w:val="23"/>
          <w:lang w:val="en-US"/>
        </w:rPr>
        <w:t xml:space="preserve">SHEN, C. L.; YANG, S.; TOMISON, M. D.; ROMERO, A. W. et al. Tocotrienol supplementation suppressed bone resorption and oxidative stress in postmenopausal osteopenic women: a 12-week randomized double-blinded placebo-controlled trial. </w:t>
      </w:r>
      <w:r w:rsidRPr="00D1428E">
        <w:rPr>
          <w:rFonts w:ascii="Swis721 Th BT" w:hAnsi="Swis721 Th BT"/>
          <w:sz w:val="23"/>
          <w:szCs w:val="23"/>
          <w:lang w:val="en-US"/>
        </w:rPr>
        <w:t>Osteoporos Int, 29, n. 4, p. 881-891, Apr 2018.</w:t>
      </w:r>
    </w:p>
    <w:p w14:paraId="3A042ACB"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SHIRAZI, M.; KHODAKARAMI, F.; FEIZABAD, E.; GHAEMI, M. The effects of nigella sativa on anthropometric and biochemical indices in postmenopausal women with metabolic syndrome. Endocrine, 69, n. 1, p. 49-52, Jul 2020.</w:t>
      </w:r>
    </w:p>
    <w:p w14:paraId="4CEA7E25"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Siahbazi S, Behboudi-Gandevani S, Moghaddam-Banaem L, Montazeri A. Effect of zinc sulfate supplementation on premenstrual syndrome and health-related quality of life: Clinical randomized controlled trial. J Obstet Gynaecol Res. 2017 May;43(5):887-894. doi: 10.1111/jog.13299. Epub 2017 Feb 11. PMID: 28188965.</w:t>
      </w:r>
    </w:p>
    <w:p w14:paraId="5AF62775"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 xml:space="preserve">SOHAEI, S. et al. The effects of curcumin supplementation on glycemic status, lipid profile and hs-CRP levels in overweight/obese women with polycystic ovary syndrome: A randomized, double-blind, placebo-controlled clinical trial. Complement Ther Med. 2019 Dec;47:102201. </w:t>
      </w:r>
    </w:p>
    <w:p w14:paraId="3054A16D" w14:textId="77777777" w:rsidR="00CD65C2" w:rsidRPr="00D1428E" w:rsidRDefault="00FA41FC">
      <w:pPr>
        <w:spacing w:before="200" w:after="200"/>
        <w:jc w:val="both"/>
        <w:rPr>
          <w:rFonts w:ascii="Swis721 Th BT" w:hAnsi="Swis721 Th BT"/>
          <w:sz w:val="23"/>
          <w:szCs w:val="23"/>
          <w:lang w:val="en-US"/>
        </w:rPr>
      </w:pPr>
      <w:r>
        <w:rPr>
          <w:rFonts w:ascii="Swis721 Th BT" w:hAnsi="Swis721 Th BT"/>
          <w:sz w:val="23"/>
          <w:szCs w:val="23"/>
          <w:lang w:val="en-US"/>
        </w:rPr>
        <w:t xml:space="preserve">Taghizadeh S, Izadi A, Shirazi S, Parizad M, Pourghassem Gargari B. The effect of coenzyme Q10 supplementation on inflammatory and endothelial dysfunction markers in overweight/obese polycystic ovary syndrome patients. </w:t>
      </w:r>
      <w:r w:rsidRPr="00D1428E">
        <w:rPr>
          <w:rFonts w:ascii="Swis721 Th BT" w:hAnsi="Swis721 Th BT"/>
          <w:sz w:val="23"/>
          <w:szCs w:val="23"/>
          <w:lang w:val="en-US"/>
        </w:rPr>
        <w:t>Gynecol Endocrinol. 2021 Jan;37(1):26-30. doi: 10.1080/09513590.2020.1779689. Epub 2020 Jun 16. PMID: 32544011.</w:t>
      </w:r>
    </w:p>
    <w:p w14:paraId="39C197FB"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TAUQIR, S.; ISRAR, M.; RAUF, B.; MALIK, M. O. et al. Acetyl-L-Carnitine Ameliorates Metabolic and Endocrine Alterations in Women with PCOS: A Double-Blind Randomized Clinical Trial. Adv Ther, 38, n. 7, p. 3842-3856, Jul 2021.</w:t>
      </w:r>
    </w:p>
    <w:p w14:paraId="52F059AA"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THOMAS, S. et al. Effect of Maternal Vitamin B12 Supplementation on Cognitive Outcomes in South Indian Children: A Randomized Controlled Clinical Trial. Matern Child Health J. 2019 Feb;23(2):155-163.</w:t>
      </w:r>
    </w:p>
    <w:p w14:paraId="69ACB4A8" w14:textId="77777777" w:rsidR="00CD65C2" w:rsidRPr="00D1428E" w:rsidRDefault="00FA41FC">
      <w:pPr>
        <w:spacing w:before="200" w:after="200"/>
        <w:jc w:val="both"/>
        <w:rPr>
          <w:rFonts w:ascii="Swis721 Th BT" w:hAnsi="Swis721 Th BT"/>
          <w:sz w:val="23"/>
          <w:szCs w:val="23"/>
          <w:lang w:val="en-US"/>
        </w:rPr>
      </w:pPr>
      <w:r>
        <w:rPr>
          <w:rFonts w:ascii="Swis721 Th BT" w:hAnsi="Swis721 Th BT"/>
          <w:sz w:val="23"/>
          <w:szCs w:val="23"/>
          <w:lang w:val="en-US"/>
        </w:rPr>
        <w:t xml:space="preserve">Torky HA1, Taha A2, Marie H3, El-Desouky E2, Raslan O2, Moussa AA2, Ahmad AM4, Abo-Louz A1, Zaki S3, Fares T2, Eesa A5.Role of topical oxytocin in improving vaginal atrophy in postmenopausalwomen: a randomized, controlledtrial.Climacteric. 2018 Apr;21(2):174-178. doi: 10.1080/13697137.2017.1421924. </w:t>
      </w:r>
      <w:r w:rsidRPr="00D1428E">
        <w:rPr>
          <w:rFonts w:ascii="Swis721 Th BT" w:hAnsi="Swis721 Th BT"/>
          <w:sz w:val="23"/>
          <w:szCs w:val="23"/>
          <w:lang w:val="en-US"/>
        </w:rPr>
        <w:t>Epub 2018 Jan 19.</w:t>
      </w:r>
    </w:p>
    <w:p w14:paraId="219B926F"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 xml:space="preserve">UZUNCAKMAK, T.; AYAZ ALKAYA, S. Effect of aromatherapy on coping with premenstrual syndrome: A randomized controlled trial. Complement Ther Med, v. 36, p. 63-67, Feb 2018. ISSN 0965-2299.  </w:t>
      </w:r>
    </w:p>
    <w:p w14:paraId="684D7A66"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 xml:space="preserve">VALE  et al. Efficacy of Tribulus Terrestris for the treatment of premenopausal women with hypoactive sexual desire disorder: a randomized double-blinded, placebo-controlled trial. Gynecol Endocrinol. 2018 May;34(5):442-445. </w:t>
      </w:r>
    </w:p>
    <w:p w14:paraId="7F5D7F3B" w14:textId="77777777" w:rsidR="00CD65C2" w:rsidRPr="00D1428E" w:rsidRDefault="00FA41FC">
      <w:pPr>
        <w:spacing w:before="200" w:after="200"/>
        <w:jc w:val="both"/>
        <w:rPr>
          <w:rFonts w:ascii="Swis721 Th BT" w:hAnsi="Swis721 Th BT"/>
          <w:sz w:val="23"/>
          <w:szCs w:val="23"/>
          <w:lang w:val="en-US"/>
        </w:rPr>
      </w:pPr>
      <w:r>
        <w:rPr>
          <w:rFonts w:ascii="Swis721 Th BT" w:hAnsi="Swis721 Th BT"/>
          <w:sz w:val="23"/>
          <w:szCs w:val="23"/>
          <w:lang w:val="en-US"/>
        </w:rPr>
        <w:t xml:space="preserve">Vázquez-Lorente H, Herrera-Quintana L, Molina-López J, Gamarra Y, Planells E. Effect of zinc supplementation on circulating concentrations of homocysteine, vitamin B12, and folate in a postmenopausal population [published online ahead of print, 2022 Feb 3]. </w:t>
      </w:r>
      <w:r w:rsidRPr="00D1428E">
        <w:rPr>
          <w:rFonts w:ascii="Swis721 Th BT" w:hAnsi="Swis721 Th BT"/>
          <w:sz w:val="23"/>
          <w:szCs w:val="23"/>
          <w:lang w:val="en-US"/>
        </w:rPr>
        <w:t>J Trace Elem Med Biol. 2022;71:126942. doi:10.1016/j.jtemb.2022.126942</w:t>
      </w:r>
    </w:p>
    <w:p w14:paraId="40E6F504"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WONG, A. et al. The effects of pumpkin seed oil supplementation on arterial hemodynamics, stiffness and cardiac autonomic function in postmenopausal women. Complement Ther Clin Pract. 2019 Nov;37:23-26.</w:t>
      </w:r>
    </w:p>
    <w:p w14:paraId="77527A95"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WONG, RH. Regular supplementation with resveratrol improves bone mineral density in postmenopausal women: a randomised, placebo-controlled trial. J Bone Miner Res. 2020 Jun 21. doi: 10.1002/jbmr.4115. Online ahead of print.</w:t>
      </w:r>
    </w:p>
    <w:p w14:paraId="3235A80E"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YIN WJ. et al. The association of vitamin D status and supplementation during pregnancy with gestational diabetes mellitus: a Chinese prospective birth cohort study. Am J Clin Nutr. 2020 Jan 1;111(1):122-130.</w:t>
      </w:r>
    </w:p>
    <w:p w14:paraId="4F7CF9BA"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Zahra et al. “The effects of N-acetylcysteine on ovulation and sex hormones profile in women with polycystic ovary syndrome: a systematic review and meta-analysis.” The British journal of nutrition, 1-9. 4 Jan. 2023, doi:10.1017/S0007114522003270</w:t>
      </w:r>
    </w:p>
    <w:p w14:paraId="088529D8" w14:textId="77777777" w:rsidR="00CD65C2" w:rsidRPr="00D1428E" w:rsidRDefault="00FA41FC">
      <w:pPr>
        <w:spacing w:before="200" w:after="200"/>
        <w:jc w:val="both"/>
        <w:rPr>
          <w:rFonts w:ascii="Swis721 Th BT" w:hAnsi="Swis721 Th BT"/>
          <w:sz w:val="23"/>
          <w:szCs w:val="23"/>
          <w:lang w:val="en-US"/>
        </w:rPr>
      </w:pPr>
      <w:r>
        <w:rPr>
          <w:rFonts w:ascii="Swis721 Th BT" w:hAnsi="Swis721 Th BT"/>
          <w:sz w:val="23"/>
          <w:szCs w:val="23"/>
          <w:lang w:val="en-US"/>
        </w:rPr>
        <w:t xml:space="preserve">ZAHROONI, N.; HOSSEINI, S. A.; AHMADZADEH, A.; AHMADI ANGALI, K. et al. The Effect of Coenzyme Q10 Supplementation on Vascular Endothelial Growth Factor and Serum Levels of Interleukin 6 and 8 in Women with Breast Cancer: A Double-Blind, Placebo-Controlled, Randomized Clinical Trial. </w:t>
      </w:r>
      <w:r w:rsidRPr="00D1428E">
        <w:rPr>
          <w:rFonts w:ascii="Swis721 Th BT" w:hAnsi="Swis721 Th BT"/>
          <w:sz w:val="23"/>
          <w:szCs w:val="23"/>
          <w:lang w:val="en-US"/>
        </w:rPr>
        <w:t>Ther Clin Risk Manag, 15, p. 1403-1410, 2019.</w:t>
      </w:r>
    </w:p>
    <w:p w14:paraId="77A2EBB4" w14:textId="77777777" w:rsidR="00CD65C2" w:rsidRDefault="00FA41FC">
      <w:pPr>
        <w:spacing w:before="200" w:after="200"/>
        <w:jc w:val="both"/>
        <w:rPr>
          <w:rFonts w:ascii="Swis721 Th BT" w:hAnsi="Swis721 Th BT"/>
          <w:sz w:val="23"/>
          <w:szCs w:val="23"/>
          <w:lang w:val="en-US"/>
        </w:rPr>
      </w:pPr>
      <w:r>
        <w:rPr>
          <w:rFonts w:ascii="Swis721 Th BT" w:hAnsi="Swis721 Th BT"/>
          <w:sz w:val="23"/>
          <w:szCs w:val="23"/>
          <w:lang w:val="en-US"/>
        </w:rPr>
        <w:t>Zhang T, He Q, Xiu H, Zhang Z, Liu Y, Chen Z, Hu H. Efficacy and Safety of Coenzyme Q10 Supplementation in the Treatment of Polycystic Ovary Syndrome: a Systematic Review and Meta-analysis. Reprod Sci. 2022 Aug 8. doi: 10.1007/s43032-022-01038-2. Epub ahead of print. PMID: 35941510.</w:t>
      </w:r>
    </w:p>
    <w:p w14:paraId="403946FC" w14:textId="77777777" w:rsidR="00CD65C2" w:rsidRDefault="00FA41FC">
      <w:pPr>
        <w:spacing w:before="200" w:after="200"/>
        <w:jc w:val="both"/>
        <w:rPr>
          <w:rFonts w:ascii="Swis721 Th BT" w:hAnsi="Swis721 Th BT"/>
          <w:sz w:val="23"/>
          <w:szCs w:val="23"/>
        </w:rPr>
      </w:pPr>
      <w:r>
        <w:rPr>
          <w:rFonts w:ascii="Swis721 Th BT" w:hAnsi="Swis721 Th BT"/>
          <w:sz w:val="23"/>
          <w:szCs w:val="23"/>
          <w:lang w:val="en-US"/>
        </w:rPr>
        <w:t xml:space="preserve">ZHOU, M.; HAN, S.; ZHANG, W.; WU, D. Efficacy and safety of vitamin K2 for postmenopausal women with osteoporosis at a long-term follow-up: meta-analysis and systematic review. </w:t>
      </w:r>
      <w:r>
        <w:rPr>
          <w:rFonts w:ascii="Swis721 Th BT" w:hAnsi="Swis721 Th BT"/>
          <w:sz w:val="23"/>
          <w:szCs w:val="23"/>
        </w:rPr>
        <w:t>J Bone Miner Metab, 40, n. 5, p. 763-772, Sep 2022.</w:t>
      </w:r>
    </w:p>
    <w:p w14:paraId="70650F48" w14:textId="77777777" w:rsidR="00CD65C2" w:rsidRDefault="00CD65C2">
      <w:pPr>
        <w:spacing w:after="200"/>
        <w:jc w:val="both"/>
        <w:rPr>
          <w:rFonts w:ascii="Swis721 Th BT" w:hAnsi="Swis721 Th BT"/>
          <w:sz w:val="23"/>
          <w:szCs w:val="23"/>
          <w:lang w:val="en-US"/>
        </w:rPr>
      </w:pPr>
    </w:p>
    <w:sectPr w:rsidR="00CD65C2">
      <w:footerReference w:type="default" r:id="rId21"/>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5C1B87" w14:textId="77777777" w:rsidR="00FA41FC" w:rsidRDefault="00FA41FC">
      <w:pPr>
        <w:spacing w:line="240" w:lineRule="auto"/>
      </w:pPr>
      <w:r>
        <w:separator/>
      </w:r>
    </w:p>
  </w:endnote>
  <w:endnote w:type="continuationSeparator" w:id="0">
    <w:p w14:paraId="2498EE4D" w14:textId="77777777" w:rsidR="00FA41FC" w:rsidRDefault="00FA41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wis721 Th BT">
    <w:panose1 w:val="020B0303020202020204"/>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Futura Md BT">
    <w:panose1 w:val="020B0602020204020303"/>
    <w:charset w:val="00"/>
    <w:family w:val="swiss"/>
    <w:pitch w:val="variable"/>
    <w:sig w:usb0="00000087" w:usb1="00000000" w:usb2="00000000" w:usb3="00000000" w:csb0="0000001B" w:csb1="00000000"/>
  </w:font>
  <w:font w:name="MS Mincho">
    <w:altName w:val="ＭＳ 明朝"/>
    <w:panose1 w:val="02020609040205080304"/>
    <w:charset w:val="80"/>
    <w:family w:val="roman"/>
    <w:notTrueType/>
    <w:pitch w:val="fixed"/>
    <w:sig w:usb0="00000001" w:usb1="08070000" w:usb2="00000010" w:usb3="00000000" w:csb0="00020000" w:csb1="00000000"/>
  </w:font>
  <w:font w:name="Zurich Lt BT">
    <w:panose1 w:val="020B0403020202030204"/>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D0A1C" w14:textId="77777777" w:rsidR="00FA41FC" w:rsidRDefault="00FA41FC">
    <w:pPr>
      <w:pStyle w:val="referencias"/>
      <w:pBdr>
        <w:bottom w:val="single" w:sz="12" w:space="0" w:color="auto"/>
      </w:pBdr>
      <w:ind w:left="-567" w:right="-568"/>
      <w:rPr>
        <w:rFonts w:hint="eastAsia"/>
      </w:rPr>
    </w:pPr>
    <w:r>
      <w:rPr>
        <w:noProof/>
        <w:lang w:eastAsia="pt-BR"/>
      </w:rPr>
      <mc:AlternateContent>
        <mc:Choice Requires="wps">
          <w:drawing>
            <wp:anchor distT="0" distB="0" distL="114300" distR="114300" simplePos="0" relativeHeight="251659264" behindDoc="1" locked="0" layoutInCell="1" allowOverlap="1">
              <wp:simplePos x="0" y="0"/>
              <wp:positionH relativeFrom="rightMargin">
                <wp:align>left</wp:align>
              </wp:positionH>
              <wp:positionV relativeFrom="bottomMargin">
                <wp:posOffset>5080</wp:posOffset>
              </wp:positionV>
              <wp:extent cx="521970" cy="485140"/>
              <wp:effectExtent l="0" t="0" r="0" b="0"/>
              <wp:wrapNone/>
              <wp:docPr id="17" name="Retâ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970" cy="485140"/>
                      </a:xfrm>
                      <a:prstGeom prst="rect">
                        <a:avLst/>
                      </a:prstGeom>
                      <a:solidFill>
                        <a:srgbClr val="FFFFFF"/>
                      </a:solidFill>
                      <a:ln>
                        <a:noFill/>
                      </a:ln>
                    </wps:spPr>
                    <wps:txbx>
                      <w:txbxContent>
                        <w:sdt>
                          <w:sdtPr>
                            <w:rPr>
                              <w:rFonts w:ascii="Calibri" w:hAnsi="Calibri" w:cs="Calibri"/>
                              <w:color w:val="A6A6A6" w:themeColor="background1" w:themeShade="A6"/>
                              <w:sz w:val="32"/>
                              <w:szCs w:val="32"/>
                            </w:rPr>
                            <w:id w:val="1067536084"/>
                          </w:sdtPr>
                          <w:sdtContent>
                            <w:sdt>
                              <w:sdtPr>
                                <w:rPr>
                                  <w:rFonts w:ascii="Calibri" w:hAnsi="Calibri" w:cs="Calibri"/>
                                  <w:color w:val="A6A6A6" w:themeColor="background1" w:themeShade="A6"/>
                                  <w:sz w:val="32"/>
                                  <w:szCs w:val="32"/>
                                </w:rPr>
                                <w:id w:val="-2124596133"/>
                              </w:sdtPr>
                              <w:sdtContent>
                                <w:p w14:paraId="45519322" w14:textId="77777777" w:rsidR="00FA41FC" w:rsidRDefault="00FA41FC">
                                  <w:pPr>
                                    <w:jc w:val="center"/>
                                    <w:rPr>
                                      <w:rFonts w:ascii="Calibri" w:hAnsi="Calibri" w:cs="Calibri"/>
                                      <w:color w:val="A6A6A6" w:themeColor="background1" w:themeShade="A6"/>
                                      <w:sz w:val="32"/>
                                      <w:szCs w:val="32"/>
                                    </w:rPr>
                                  </w:pPr>
                                  <w:r>
                                    <w:rPr>
                                      <w:rFonts w:ascii="Calibri" w:hAnsi="Calibri" w:cs="Calibri"/>
                                      <w:color w:val="A6A6A6" w:themeColor="background1" w:themeShade="A6"/>
                                      <w:sz w:val="32"/>
                                      <w:szCs w:val="32"/>
                                    </w:rPr>
                                    <w:fldChar w:fldCharType="begin"/>
                                  </w:r>
                                  <w:r>
                                    <w:rPr>
                                      <w:rFonts w:ascii="Calibri" w:hAnsi="Calibri" w:cs="Calibri"/>
                                      <w:color w:val="A6A6A6" w:themeColor="background1" w:themeShade="A6"/>
                                      <w:sz w:val="32"/>
                                      <w:szCs w:val="32"/>
                                    </w:rPr>
                                    <w:instrText xml:space="preserve"> PAGE   \* MERGEFORMAT </w:instrText>
                                  </w:r>
                                  <w:r>
                                    <w:rPr>
                                      <w:rFonts w:ascii="Calibri" w:hAnsi="Calibri" w:cs="Calibri"/>
                                      <w:color w:val="A6A6A6" w:themeColor="background1" w:themeShade="A6"/>
                                      <w:sz w:val="32"/>
                                      <w:szCs w:val="32"/>
                                    </w:rPr>
                                    <w:fldChar w:fldCharType="separate"/>
                                  </w:r>
                                  <w:r w:rsidR="00D1428E">
                                    <w:rPr>
                                      <w:rFonts w:ascii="Calibri" w:hAnsi="Calibri" w:cs="Calibri"/>
                                      <w:noProof/>
                                      <w:color w:val="A6A6A6" w:themeColor="background1" w:themeShade="A6"/>
                                      <w:sz w:val="32"/>
                                      <w:szCs w:val="32"/>
                                    </w:rPr>
                                    <w:t>2</w:t>
                                  </w:r>
                                  <w:r>
                                    <w:rPr>
                                      <w:rFonts w:ascii="Calibri" w:hAnsi="Calibri" w:cs="Calibri"/>
                                      <w:color w:val="A6A6A6" w:themeColor="background1" w:themeShade="A6"/>
                                      <w:sz w:val="32"/>
                                      <w:szCs w:val="32"/>
                                    </w:rPr>
                                    <w:fldChar w:fldCharType="end"/>
                                  </w:r>
                                </w:p>
                              </w:sdtContent>
                            </w:sdt>
                          </w:sdtContent>
                        </w:sdt>
                      </w:txbxContent>
                    </wps:txbx>
                    <wps:bodyPr rot="0" vert="horz" wrap="square" lIns="91440" tIns="45720" rIns="91440" bIns="45720" anchor="t" anchorCtr="0" upright="1">
                      <a:noAutofit/>
                    </wps:bodyPr>
                  </wps:wsp>
                </a:graphicData>
              </a:graphic>
            </wp:anchor>
          </w:drawing>
        </mc:Choice>
        <mc:Fallback>
          <w:pict>
            <v:rect id="Retângulo 17" o:spid="_x0000_s1280" style="position:absolute;left:0;text-align:left;margin-left:0;margin-top:.4pt;width:41.1pt;height:38.2pt;z-index:-251657216;visibility:visible;mso-wrap-style:square;mso-wrap-distance-left:9pt;mso-wrap-distance-top:0;mso-wrap-distance-right:9pt;mso-wrap-distance-bottom:0;mso-position-horizontal:left;mso-position-horizontal-relative:right-margin-area;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" stroked="f">
              <v:textbox>
                <w:txbxContent>
                  <w:sdt>
                    <w:sdtPr>
                      <w:rPr>
                        <w:rFonts w:ascii="Calibri" w:hAnsi="Calibri" w:cs="Calibri"/>
                        <w:color w:val="A6A6A6" w:themeColor="background1" w:themeShade="A6"/>
                        <w:sz w:val="32"/>
                        <w:szCs w:val="32"/>
                      </w:rPr>
                      <w:id w:val="1067536084"/>
                    </w:sdtPr>
                    <w:sdtContent>
                      <w:sdt>
                        <w:sdtPr>
                          <w:rPr>
                            <w:rFonts w:ascii="Calibri" w:hAnsi="Calibri" w:cs="Calibri"/>
                            <w:color w:val="A6A6A6" w:themeColor="background1" w:themeShade="A6"/>
                            <w:sz w:val="32"/>
                            <w:szCs w:val="32"/>
                          </w:rPr>
                          <w:id w:val="-2124596133"/>
                        </w:sdtPr>
                        <w:sdtContent>
                          <w:p w14:paraId="45519322" w14:textId="77777777" w:rsidR="00FA41FC" w:rsidRDefault="00FA41FC">
                            <w:pPr>
                              <w:jc w:val="center"/>
                              <w:rPr>
                                <w:rFonts w:ascii="Calibri" w:hAnsi="Calibri" w:cs="Calibri"/>
                                <w:color w:val="A6A6A6" w:themeColor="background1" w:themeShade="A6"/>
                                <w:sz w:val="32"/>
                                <w:szCs w:val="32"/>
                              </w:rPr>
                            </w:pPr>
                            <w:r>
                              <w:rPr>
                                <w:rFonts w:ascii="Calibri" w:hAnsi="Calibri" w:cs="Calibri"/>
                                <w:color w:val="A6A6A6" w:themeColor="background1" w:themeShade="A6"/>
                                <w:sz w:val="32"/>
                                <w:szCs w:val="32"/>
                              </w:rPr>
                              <w:fldChar w:fldCharType="begin"/>
                            </w:r>
                            <w:r>
                              <w:rPr>
                                <w:rFonts w:ascii="Calibri" w:hAnsi="Calibri" w:cs="Calibri"/>
                                <w:color w:val="A6A6A6" w:themeColor="background1" w:themeShade="A6"/>
                                <w:sz w:val="32"/>
                                <w:szCs w:val="32"/>
                              </w:rPr>
                              <w:instrText xml:space="preserve"> PAGE   \* MERGEFORMAT </w:instrText>
                            </w:r>
                            <w:r>
                              <w:rPr>
                                <w:rFonts w:ascii="Calibri" w:hAnsi="Calibri" w:cs="Calibri"/>
                                <w:color w:val="A6A6A6" w:themeColor="background1" w:themeShade="A6"/>
                                <w:sz w:val="32"/>
                                <w:szCs w:val="32"/>
                              </w:rPr>
                              <w:fldChar w:fldCharType="separate"/>
                            </w:r>
                            <w:r w:rsidR="00D1428E">
                              <w:rPr>
                                <w:rFonts w:ascii="Calibri" w:hAnsi="Calibri" w:cs="Calibri"/>
                                <w:noProof/>
                                <w:color w:val="A6A6A6" w:themeColor="background1" w:themeShade="A6"/>
                                <w:sz w:val="32"/>
                                <w:szCs w:val="32"/>
                              </w:rPr>
                              <w:t>2</w:t>
                            </w:r>
                            <w:r>
                              <w:rPr>
                                <w:rFonts w:ascii="Calibri" w:hAnsi="Calibri" w:cs="Calibri"/>
                                <w:color w:val="A6A6A6" w:themeColor="background1" w:themeShade="A6"/>
                                <w:sz w:val="32"/>
                                <w:szCs w:val="32"/>
                              </w:rPr>
                              <w:fldChar w:fldCharType="end"/>
                            </w:r>
                          </w:p>
                        </w:sdtContent>
                      </w:sdt>
                    </w:sdtContent>
                  </w:sdt>
                </w:txbxContent>
              </v:textbox>
              <w10:wrap anchorx="margin" anchory="margin"/>
            </v:rect>
          </w:pict>
        </mc:Fallback>
      </mc:AlternateContent>
    </w:r>
    <w:r>
      <w:tab/>
    </w:r>
    <w:r>
      <w:tab/>
    </w:r>
  </w:p>
  <w:sdt>
    <w:sdtPr>
      <w:id w:val="31606377"/>
    </w:sdtPr>
    <w:sdtEndPr>
      <w:rPr>
        <w:color w:val="A6A6A6" w:themeColor="background1" w:themeShade="A6"/>
      </w:rPr>
    </w:sdtEndPr>
    <w:sdtContent>
      <w:p w14:paraId="658660FB" w14:textId="77777777" w:rsidR="00FA41FC" w:rsidRDefault="00FA41FC">
        <w:pPr>
          <w:pStyle w:val="referencias"/>
          <w:pBdr>
            <w:bottom w:val="single" w:sz="12" w:space="0" w:color="auto"/>
          </w:pBdr>
          <w:ind w:left="-567" w:right="-568"/>
          <w:rPr>
            <w:rFonts w:hint="eastAsia"/>
          </w:rPr>
        </w:pPr>
      </w:p>
      <w:p w14:paraId="6F437105" w14:textId="77777777" w:rsidR="00FA41FC" w:rsidRDefault="00FA41FC">
        <w:pPr>
          <w:pStyle w:val="referencias"/>
          <w:ind w:left="-567" w:right="-568"/>
          <w:jc w:val="both"/>
          <w:rPr>
            <w:rFonts w:hint="eastAsia"/>
            <w:color w:val="A6A6A6" w:themeColor="background1" w:themeShade="A6"/>
          </w:rPr>
        </w:pPr>
        <w:r>
          <w:rPr>
            <w:color w:val="A6A6A6" w:themeColor="background1" w:themeShade="A6"/>
          </w:rPr>
          <w:t>Direitos Autorais Protegidos pela Lei 9.610 de 19 de Fevereiro de 1998. Estas informações devem ser analisadas pelo profissional prescritor antes de adotadas na prática, e são de distribuição e uso exclusivo de médicos, farmacêuticos, dentistas e outros profissionais autorizados a prescrever. É proibida a veiculação para público leigo, por meios eletrônicos, ou de qualquer outro modo que não seja diretamente para profissionais autorizados a prescrever. É proibida a alteração parcial ou total deste material. A Consulfarma não autoriza e não se responsabiliza por qualquer alteração efetuada neste material. www.consulfarma.com. 19 3736.6888.</w:t>
        </w:r>
      </w:p>
    </w:sdtContent>
  </w:sdt>
  <w:p w14:paraId="0953C5FB" w14:textId="77777777" w:rsidR="00FA41FC" w:rsidRDefault="00FA41F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DED6B8" w14:textId="77777777" w:rsidR="00FA41FC" w:rsidRDefault="00FA41FC">
      <w:pPr>
        <w:spacing w:after="0"/>
      </w:pPr>
      <w:r>
        <w:separator/>
      </w:r>
    </w:p>
  </w:footnote>
  <w:footnote w:type="continuationSeparator" w:id="0">
    <w:p w14:paraId="18E034F3" w14:textId="77777777" w:rsidR="00FA41FC" w:rsidRDefault="00FA41F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2EE8A3"/>
    <w:multiLevelType w:val="singleLevel"/>
    <w:tmpl w:val="942EE8A3"/>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1AB2EB3"/>
    <w:multiLevelType w:val="multilevel"/>
    <w:tmpl w:val="01AB2EB3"/>
    <w:lvl w:ilvl="0">
      <w:start w:val="1"/>
      <w:numFmt w:val="bullet"/>
      <w:lvlText w:val=""/>
      <w:lvlJc w:val="left"/>
      <w:pPr>
        <w:tabs>
          <w:tab w:val="left" w:pos="717"/>
        </w:tabs>
        <w:ind w:left="700" w:hanging="340"/>
      </w:pPr>
      <w:rPr>
        <w:rFonts w:ascii="Symbol" w:hAnsi="Symbol" w:hint="default"/>
        <w:strike w:val="0"/>
        <w:dstrike w:val="0"/>
        <w:outline w:val="0"/>
        <w:shadow w:val="0"/>
        <w:emboss w:val="0"/>
        <w:imprint w:val="0"/>
        <w:color w:val="auto"/>
        <w:vertAlign w:val="baseline"/>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 w15:restartNumberingAfterBreak="0">
    <w:nsid w:val="01F1B1D7"/>
    <w:multiLevelType w:val="singleLevel"/>
    <w:tmpl w:val="01F1B1D7"/>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02AF2F0E"/>
    <w:multiLevelType w:val="multilevel"/>
    <w:tmpl w:val="02AF2F0E"/>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4AF6F50"/>
    <w:multiLevelType w:val="multilevel"/>
    <w:tmpl w:val="04AF6F50"/>
    <w:lvl w:ilvl="0">
      <w:start w:val="1"/>
      <w:numFmt w:val="bullet"/>
      <w:lvlText w:val=""/>
      <w:lvlJc w:val="left"/>
      <w:pPr>
        <w:tabs>
          <w:tab w:val="left" w:pos="357"/>
        </w:tabs>
        <w:ind w:left="340" w:hanging="340"/>
      </w:pPr>
      <w:rPr>
        <w:rFonts w:ascii="Symbol" w:hAnsi="Symbol" w:hint="default"/>
        <w:strike w:val="0"/>
        <w:dstrike w:val="0"/>
        <w:outline w:val="0"/>
        <w:shadow w:val="0"/>
        <w:emboss w:val="0"/>
        <w:imprint w:val="0"/>
        <w:color w:val="auto"/>
        <w:vertAlign w:val="baseline"/>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15:restartNumberingAfterBreak="0">
    <w:nsid w:val="04D91C76"/>
    <w:multiLevelType w:val="multilevel"/>
    <w:tmpl w:val="04D91C76"/>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066205FC"/>
    <w:multiLevelType w:val="multilevel"/>
    <w:tmpl w:val="066205F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07E45DC4"/>
    <w:multiLevelType w:val="multilevel"/>
    <w:tmpl w:val="07E45DC4"/>
    <w:lvl w:ilvl="0">
      <w:start w:val="1"/>
      <w:numFmt w:val="bullet"/>
      <w:lvlText w:val=""/>
      <w:lvlJc w:val="left"/>
      <w:pPr>
        <w:tabs>
          <w:tab w:val="left" w:pos="357"/>
        </w:tabs>
        <w:ind w:left="340" w:hanging="340"/>
      </w:pPr>
      <w:rPr>
        <w:rFonts w:ascii="Symbol" w:hAnsi="Symbol" w:hint="default"/>
        <w:caps w:val="0"/>
        <w:strike w:val="0"/>
        <w:dstrike w:val="0"/>
        <w:outline w:val="0"/>
        <w:shadow w:val="0"/>
        <w:emboss w:val="0"/>
        <w:imprint w:val="0"/>
        <w:vanish w:val="0"/>
        <w:color w:val="auto"/>
        <w:vertAlign w:val="baseline"/>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8" w15:restartNumberingAfterBreak="0">
    <w:nsid w:val="08901CA4"/>
    <w:multiLevelType w:val="multilevel"/>
    <w:tmpl w:val="08901CA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09967C75"/>
    <w:multiLevelType w:val="multilevel"/>
    <w:tmpl w:val="09967C75"/>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0B1C63AE"/>
    <w:multiLevelType w:val="multilevel"/>
    <w:tmpl w:val="0B1C63A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F600617"/>
    <w:multiLevelType w:val="multilevel"/>
    <w:tmpl w:val="0F600617"/>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10CF17C0"/>
    <w:multiLevelType w:val="multilevel"/>
    <w:tmpl w:val="10CF17C0"/>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10DE4C6A"/>
    <w:multiLevelType w:val="multilevel"/>
    <w:tmpl w:val="10DE4C6A"/>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12667DE6"/>
    <w:multiLevelType w:val="multilevel"/>
    <w:tmpl w:val="12667DE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13AD110F"/>
    <w:multiLevelType w:val="multilevel"/>
    <w:tmpl w:val="13AD110F"/>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143973C1"/>
    <w:multiLevelType w:val="multilevel"/>
    <w:tmpl w:val="143973C1"/>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15E225F4"/>
    <w:multiLevelType w:val="multilevel"/>
    <w:tmpl w:val="15E225F4"/>
    <w:lvl w:ilvl="0">
      <w:start w:val="1"/>
      <w:numFmt w:val="bullet"/>
      <w:lvlText w:val=""/>
      <w:lvlJc w:val="left"/>
      <w:pPr>
        <w:tabs>
          <w:tab w:val="left" w:pos="357"/>
        </w:tabs>
        <w:ind w:left="340" w:hanging="340"/>
      </w:pPr>
      <w:rPr>
        <w:rFonts w:ascii="Symbol" w:hAnsi="Symbol" w:hint="default"/>
        <w:strike w:val="0"/>
        <w:dstrike w:val="0"/>
        <w:outline w:val="0"/>
        <w:shadow w:val="0"/>
        <w:emboss w:val="0"/>
        <w:imprint w:val="0"/>
        <w:color w:val="auto"/>
        <w:vertAlign w:val="baseline"/>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8" w15:restartNumberingAfterBreak="0">
    <w:nsid w:val="16055F90"/>
    <w:multiLevelType w:val="multilevel"/>
    <w:tmpl w:val="16055F90"/>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165C01D5"/>
    <w:multiLevelType w:val="multilevel"/>
    <w:tmpl w:val="165C01D5"/>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18007025"/>
    <w:multiLevelType w:val="multilevel"/>
    <w:tmpl w:val="18007025"/>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196B488D"/>
    <w:multiLevelType w:val="multilevel"/>
    <w:tmpl w:val="196B488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199E6F5A"/>
    <w:multiLevelType w:val="multilevel"/>
    <w:tmpl w:val="199E6F5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19F92002"/>
    <w:multiLevelType w:val="multilevel"/>
    <w:tmpl w:val="19F92002"/>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1AFE2992"/>
    <w:multiLevelType w:val="multilevel"/>
    <w:tmpl w:val="1AFE299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1D7E2C94"/>
    <w:multiLevelType w:val="multilevel"/>
    <w:tmpl w:val="1D7E2C9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1FC914C4"/>
    <w:multiLevelType w:val="multilevel"/>
    <w:tmpl w:val="1FC914C4"/>
    <w:lvl w:ilvl="0">
      <w:start w:val="1"/>
      <w:numFmt w:val="bullet"/>
      <w:lvlText w:val=""/>
      <w:lvlJc w:val="left"/>
      <w:pPr>
        <w:ind w:left="363" w:hanging="360"/>
      </w:pPr>
      <w:rPr>
        <w:rFonts w:ascii="Wingdings" w:hAnsi="Wingdings" w:hint="default"/>
      </w:rPr>
    </w:lvl>
    <w:lvl w:ilvl="1">
      <w:start w:val="1"/>
      <w:numFmt w:val="bullet"/>
      <w:lvlText w:val="o"/>
      <w:lvlJc w:val="left"/>
      <w:pPr>
        <w:ind w:left="1083" w:hanging="360"/>
      </w:pPr>
      <w:rPr>
        <w:rFonts w:ascii="Courier New" w:hAnsi="Courier New" w:cs="Courier New" w:hint="default"/>
      </w:rPr>
    </w:lvl>
    <w:lvl w:ilvl="2">
      <w:start w:val="1"/>
      <w:numFmt w:val="bullet"/>
      <w:lvlText w:val=""/>
      <w:lvlJc w:val="left"/>
      <w:pPr>
        <w:ind w:left="1803" w:hanging="360"/>
      </w:pPr>
      <w:rPr>
        <w:rFonts w:ascii="Wingdings" w:hAnsi="Wingdings" w:hint="default"/>
      </w:rPr>
    </w:lvl>
    <w:lvl w:ilvl="3">
      <w:start w:val="1"/>
      <w:numFmt w:val="bullet"/>
      <w:lvlText w:val=""/>
      <w:lvlJc w:val="left"/>
      <w:pPr>
        <w:ind w:left="2523" w:hanging="360"/>
      </w:pPr>
      <w:rPr>
        <w:rFonts w:ascii="Symbol" w:hAnsi="Symbol" w:hint="default"/>
      </w:rPr>
    </w:lvl>
    <w:lvl w:ilvl="4">
      <w:start w:val="1"/>
      <w:numFmt w:val="bullet"/>
      <w:lvlText w:val="o"/>
      <w:lvlJc w:val="left"/>
      <w:pPr>
        <w:ind w:left="3243" w:hanging="360"/>
      </w:pPr>
      <w:rPr>
        <w:rFonts w:ascii="Courier New" w:hAnsi="Courier New" w:cs="Courier New" w:hint="default"/>
      </w:rPr>
    </w:lvl>
    <w:lvl w:ilvl="5">
      <w:start w:val="1"/>
      <w:numFmt w:val="bullet"/>
      <w:lvlText w:val=""/>
      <w:lvlJc w:val="left"/>
      <w:pPr>
        <w:ind w:left="3963" w:hanging="360"/>
      </w:pPr>
      <w:rPr>
        <w:rFonts w:ascii="Wingdings" w:hAnsi="Wingdings" w:hint="default"/>
      </w:rPr>
    </w:lvl>
    <w:lvl w:ilvl="6">
      <w:start w:val="1"/>
      <w:numFmt w:val="bullet"/>
      <w:lvlText w:val=""/>
      <w:lvlJc w:val="left"/>
      <w:pPr>
        <w:ind w:left="4683" w:hanging="360"/>
      </w:pPr>
      <w:rPr>
        <w:rFonts w:ascii="Symbol" w:hAnsi="Symbol" w:hint="default"/>
      </w:rPr>
    </w:lvl>
    <w:lvl w:ilvl="7">
      <w:start w:val="1"/>
      <w:numFmt w:val="bullet"/>
      <w:lvlText w:val="o"/>
      <w:lvlJc w:val="left"/>
      <w:pPr>
        <w:ind w:left="5403" w:hanging="360"/>
      </w:pPr>
      <w:rPr>
        <w:rFonts w:ascii="Courier New" w:hAnsi="Courier New" w:cs="Courier New" w:hint="default"/>
      </w:rPr>
    </w:lvl>
    <w:lvl w:ilvl="8">
      <w:start w:val="1"/>
      <w:numFmt w:val="bullet"/>
      <w:lvlText w:val=""/>
      <w:lvlJc w:val="left"/>
      <w:pPr>
        <w:ind w:left="6123" w:hanging="360"/>
      </w:pPr>
      <w:rPr>
        <w:rFonts w:ascii="Wingdings" w:hAnsi="Wingdings" w:hint="default"/>
      </w:rPr>
    </w:lvl>
  </w:abstractNum>
  <w:abstractNum w:abstractNumId="27" w15:restartNumberingAfterBreak="0">
    <w:nsid w:val="22F3756D"/>
    <w:multiLevelType w:val="multilevel"/>
    <w:tmpl w:val="22F3756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24B73EFE"/>
    <w:multiLevelType w:val="multilevel"/>
    <w:tmpl w:val="24B73EFE"/>
    <w:lvl w:ilvl="0">
      <w:start w:val="1"/>
      <w:numFmt w:val="bullet"/>
      <w:lvlText w:val=""/>
      <w:lvlJc w:val="left"/>
      <w:pPr>
        <w:tabs>
          <w:tab w:val="left" w:pos="357"/>
        </w:tabs>
        <w:ind w:left="340" w:hanging="340"/>
      </w:pPr>
      <w:rPr>
        <w:rFonts w:ascii="Symbol" w:hAnsi="Symbol" w:hint="default"/>
        <w:strike w:val="0"/>
        <w:dstrike w:val="0"/>
        <w:outline w:val="0"/>
        <w:shadow w:val="0"/>
        <w:emboss w:val="0"/>
        <w:imprint w:val="0"/>
        <w:color w:val="auto"/>
        <w:vertAlign w:val="baseline"/>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9" w15:restartNumberingAfterBreak="0">
    <w:nsid w:val="26037912"/>
    <w:multiLevelType w:val="multilevel"/>
    <w:tmpl w:val="26037912"/>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0" w15:restartNumberingAfterBreak="0">
    <w:nsid w:val="275B7E83"/>
    <w:multiLevelType w:val="multilevel"/>
    <w:tmpl w:val="275B7E83"/>
    <w:lvl w:ilvl="0">
      <w:start w:val="1"/>
      <w:numFmt w:val="bullet"/>
      <w:lvlText w:val=""/>
      <w:lvlJc w:val="left"/>
      <w:pPr>
        <w:tabs>
          <w:tab w:val="left" w:pos="357"/>
        </w:tabs>
        <w:ind w:left="340" w:hanging="340"/>
      </w:pPr>
      <w:rPr>
        <w:rFonts w:ascii="Symbol" w:hAnsi="Symbol" w:hint="default"/>
        <w:caps w:val="0"/>
        <w:strike w:val="0"/>
        <w:dstrike w:val="0"/>
        <w:outline w:val="0"/>
        <w:shadow w:val="0"/>
        <w:emboss w:val="0"/>
        <w:imprint w:val="0"/>
        <w:vanish w:val="0"/>
        <w:color w:val="auto"/>
        <w:vertAlign w:val="baseline"/>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1" w15:restartNumberingAfterBreak="0">
    <w:nsid w:val="278B33DE"/>
    <w:multiLevelType w:val="multilevel"/>
    <w:tmpl w:val="278B33DE"/>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2" w15:restartNumberingAfterBreak="0">
    <w:nsid w:val="2FA458F0"/>
    <w:multiLevelType w:val="multilevel"/>
    <w:tmpl w:val="2FA458F0"/>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3" w15:restartNumberingAfterBreak="0">
    <w:nsid w:val="33797858"/>
    <w:multiLevelType w:val="multilevel"/>
    <w:tmpl w:val="33797858"/>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4" w15:restartNumberingAfterBreak="0">
    <w:nsid w:val="366458EF"/>
    <w:multiLevelType w:val="multilevel"/>
    <w:tmpl w:val="366458E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3A737C35"/>
    <w:multiLevelType w:val="multilevel"/>
    <w:tmpl w:val="3A737C35"/>
    <w:lvl w:ilvl="0">
      <w:start w:val="1"/>
      <w:numFmt w:val="bullet"/>
      <w:lvlText w:val=""/>
      <w:lvlJc w:val="left"/>
      <w:pPr>
        <w:tabs>
          <w:tab w:val="left" w:pos="357"/>
        </w:tabs>
        <w:ind w:left="340" w:hanging="340"/>
      </w:pPr>
      <w:rPr>
        <w:rFonts w:ascii="Symbol" w:hAnsi="Symbol" w:hint="default"/>
        <w:strike w:val="0"/>
        <w:dstrike w:val="0"/>
        <w:outline w:val="0"/>
        <w:shadow w:val="0"/>
        <w:emboss w:val="0"/>
        <w:imprint w:val="0"/>
        <w:color w:val="auto"/>
        <w:vertAlign w:val="baseline"/>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6" w15:restartNumberingAfterBreak="0">
    <w:nsid w:val="3F4D393A"/>
    <w:multiLevelType w:val="multilevel"/>
    <w:tmpl w:val="3F4D393A"/>
    <w:lvl w:ilvl="0">
      <w:start w:val="1"/>
      <w:numFmt w:val="bullet"/>
      <w:lvlText w:val=""/>
      <w:lvlJc w:val="left"/>
      <w:pPr>
        <w:ind w:left="360" w:hanging="360"/>
      </w:pPr>
      <w:rPr>
        <w:rFonts w:ascii="Wingdings" w:hAnsi="Wingdings" w:hint="default"/>
        <w:color w:val="404040" w:themeColor="text1" w:themeTint="BF"/>
      </w:rPr>
    </w:lvl>
    <w:lvl w:ilvl="1">
      <w:start w:val="1"/>
      <w:numFmt w:val="bullet"/>
      <w:lvlText w:val="o"/>
      <w:lvlJc w:val="left"/>
      <w:pPr>
        <w:ind w:left="1014" w:hanging="360"/>
      </w:pPr>
      <w:rPr>
        <w:rFonts w:ascii="Courier New" w:hAnsi="Courier New" w:cs="Courier New" w:hint="default"/>
      </w:rPr>
    </w:lvl>
    <w:lvl w:ilvl="2">
      <w:start w:val="1"/>
      <w:numFmt w:val="bullet"/>
      <w:lvlText w:val=""/>
      <w:lvlJc w:val="left"/>
      <w:pPr>
        <w:ind w:left="1734" w:hanging="360"/>
      </w:pPr>
      <w:rPr>
        <w:rFonts w:ascii="Wingdings" w:hAnsi="Wingdings" w:hint="default"/>
      </w:rPr>
    </w:lvl>
    <w:lvl w:ilvl="3">
      <w:start w:val="1"/>
      <w:numFmt w:val="bullet"/>
      <w:lvlText w:val=""/>
      <w:lvlJc w:val="left"/>
      <w:pPr>
        <w:ind w:left="2454" w:hanging="360"/>
      </w:pPr>
      <w:rPr>
        <w:rFonts w:ascii="Symbol" w:hAnsi="Symbol" w:hint="default"/>
      </w:rPr>
    </w:lvl>
    <w:lvl w:ilvl="4">
      <w:start w:val="1"/>
      <w:numFmt w:val="bullet"/>
      <w:lvlText w:val="o"/>
      <w:lvlJc w:val="left"/>
      <w:pPr>
        <w:ind w:left="3174" w:hanging="360"/>
      </w:pPr>
      <w:rPr>
        <w:rFonts w:ascii="Courier New" w:hAnsi="Courier New" w:cs="Courier New" w:hint="default"/>
      </w:rPr>
    </w:lvl>
    <w:lvl w:ilvl="5">
      <w:start w:val="1"/>
      <w:numFmt w:val="bullet"/>
      <w:lvlText w:val=""/>
      <w:lvlJc w:val="left"/>
      <w:pPr>
        <w:ind w:left="3894" w:hanging="360"/>
      </w:pPr>
      <w:rPr>
        <w:rFonts w:ascii="Wingdings" w:hAnsi="Wingdings" w:hint="default"/>
      </w:rPr>
    </w:lvl>
    <w:lvl w:ilvl="6">
      <w:start w:val="1"/>
      <w:numFmt w:val="bullet"/>
      <w:lvlText w:val=""/>
      <w:lvlJc w:val="left"/>
      <w:pPr>
        <w:ind w:left="4614" w:hanging="360"/>
      </w:pPr>
      <w:rPr>
        <w:rFonts w:ascii="Symbol" w:hAnsi="Symbol" w:hint="default"/>
      </w:rPr>
    </w:lvl>
    <w:lvl w:ilvl="7">
      <w:start w:val="1"/>
      <w:numFmt w:val="bullet"/>
      <w:lvlText w:val="o"/>
      <w:lvlJc w:val="left"/>
      <w:pPr>
        <w:ind w:left="5334" w:hanging="360"/>
      </w:pPr>
      <w:rPr>
        <w:rFonts w:ascii="Courier New" w:hAnsi="Courier New" w:cs="Courier New" w:hint="default"/>
      </w:rPr>
    </w:lvl>
    <w:lvl w:ilvl="8">
      <w:start w:val="1"/>
      <w:numFmt w:val="bullet"/>
      <w:lvlText w:val=""/>
      <w:lvlJc w:val="left"/>
      <w:pPr>
        <w:ind w:left="6054" w:hanging="360"/>
      </w:pPr>
      <w:rPr>
        <w:rFonts w:ascii="Wingdings" w:hAnsi="Wingdings" w:hint="default"/>
      </w:rPr>
    </w:lvl>
  </w:abstractNum>
  <w:abstractNum w:abstractNumId="37" w15:restartNumberingAfterBreak="0">
    <w:nsid w:val="400F50CA"/>
    <w:multiLevelType w:val="multilevel"/>
    <w:tmpl w:val="400F50CA"/>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15:restartNumberingAfterBreak="0">
    <w:nsid w:val="42B5686B"/>
    <w:multiLevelType w:val="multilevel"/>
    <w:tmpl w:val="42B5686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9" w15:restartNumberingAfterBreak="0">
    <w:nsid w:val="455C2232"/>
    <w:multiLevelType w:val="multilevel"/>
    <w:tmpl w:val="455C2232"/>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0" w15:restartNumberingAfterBreak="0">
    <w:nsid w:val="45773A9D"/>
    <w:multiLevelType w:val="multilevel"/>
    <w:tmpl w:val="45773A9D"/>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45A049E3"/>
    <w:multiLevelType w:val="multilevel"/>
    <w:tmpl w:val="45A049E3"/>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2" w15:restartNumberingAfterBreak="0">
    <w:nsid w:val="45F0401D"/>
    <w:multiLevelType w:val="multilevel"/>
    <w:tmpl w:val="45F0401D"/>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3" w15:restartNumberingAfterBreak="0">
    <w:nsid w:val="4D0616EB"/>
    <w:multiLevelType w:val="multilevel"/>
    <w:tmpl w:val="4D0616EB"/>
    <w:lvl w:ilvl="0">
      <w:start w:val="1"/>
      <w:numFmt w:val="bullet"/>
      <w:lvlText w:val=""/>
      <w:lvlJc w:val="left"/>
      <w:pPr>
        <w:tabs>
          <w:tab w:val="left" w:pos="357"/>
        </w:tabs>
        <w:ind w:left="340" w:hanging="340"/>
      </w:pPr>
      <w:rPr>
        <w:rFonts w:ascii="Symbol" w:hAnsi="Symbol" w:hint="default"/>
        <w:caps w:val="0"/>
        <w:strike w:val="0"/>
        <w:dstrike w:val="0"/>
        <w:outline w:val="0"/>
        <w:shadow w:val="0"/>
        <w:emboss w:val="0"/>
        <w:imprint w:val="0"/>
        <w:vanish w:val="0"/>
        <w:color w:val="auto"/>
        <w:vertAlign w:val="baseline"/>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4" w15:restartNumberingAfterBreak="0">
    <w:nsid w:val="4D3A7E49"/>
    <w:multiLevelType w:val="multilevel"/>
    <w:tmpl w:val="4D3A7E49"/>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5" w15:restartNumberingAfterBreak="0">
    <w:nsid w:val="4E380D6D"/>
    <w:multiLevelType w:val="multilevel"/>
    <w:tmpl w:val="4E380D6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4E5B404B"/>
    <w:multiLevelType w:val="multilevel"/>
    <w:tmpl w:val="4E5B404B"/>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15:restartNumberingAfterBreak="0">
    <w:nsid w:val="4E5E1FF3"/>
    <w:multiLevelType w:val="multilevel"/>
    <w:tmpl w:val="4E5E1FF3"/>
    <w:lvl w:ilvl="0">
      <w:start w:val="1"/>
      <w:numFmt w:val="bullet"/>
      <w:lvlText w:val=""/>
      <w:lvlJc w:val="left"/>
      <w:pPr>
        <w:tabs>
          <w:tab w:val="left" w:pos="357"/>
        </w:tabs>
        <w:ind w:left="340" w:hanging="340"/>
      </w:pPr>
      <w:rPr>
        <w:rFonts w:ascii="Symbol" w:hAnsi="Symbol" w:hint="default"/>
        <w:strike w:val="0"/>
        <w:dstrike w:val="0"/>
        <w:outline w:val="0"/>
        <w:shadow w:val="0"/>
        <w:emboss w:val="0"/>
        <w:imprint w:val="0"/>
        <w:color w:val="auto"/>
        <w:vertAlign w:val="baseline"/>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8" w15:restartNumberingAfterBreak="0">
    <w:nsid w:val="4F7B7ACA"/>
    <w:multiLevelType w:val="multilevel"/>
    <w:tmpl w:val="4F7B7ACA"/>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9" w15:restartNumberingAfterBreak="0">
    <w:nsid w:val="53E11F5F"/>
    <w:multiLevelType w:val="multilevel"/>
    <w:tmpl w:val="53E11F5F"/>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0" w15:restartNumberingAfterBreak="0">
    <w:nsid w:val="56EB458B"/>
    <w:multiLevelType w:val="multilevel"/>
    <w:tmpl w:val="56EB458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1" w15:restartNumberingAfterBreak="0">
    <w:nsid w:val="572F7291"/>
    <w:multiLevelType w:val="multilevel"/>
    <w:tmpl w:val="572F7291"/>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2" w15:restartNumberingAfterBreak="0">
    <w:nsid w:val="59304A57"/>
    <w:multiLevelType w:val="multilevel"/>
    <w:tmpl w:val="59304A57"/>
    <w:lvl w:ilvl="0">
      <w:start w:val="1"/>
      <w:numFmt w:val="bullet"/>
      <w:lvlText w:val=""/>
      <w:lvlJc w:val="left"/>
      <w:pPr>
        <w:tabs>
          <w:tab w:val="left" w:pos="357"/>
        </w:tabs>
        <w:ind w:left="340" w:hanging="340"/>
      </w:pPr>
      <w:rPr>
        <w:rFonts w:ascii="Symbol" w:hAnsi="Symbol" w:hint="default"/>
        <w:strike w:val="0"/>
        <w:dstrike w:val="0"/>
        <w:outline w:val="0"/>
        <w:shadow w:val="0"/>
        <w:emboss w:val="0"/>
        <w:imprint w:val="0"/>
        <w:color w:val="auto"/>
        <w:vertAlign w:val="baseline"/>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3" w15:restartNumberingAfterBreak="0">
    <w:nsid w:val="5B2F6669"/>
    <w:multiLevelType w:val="multilevel"/>
    <w:tmpl w:val="5B2F666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4" w15:restartNumberingAfterBreak="0">
    <w:nsid w:val="600C0383"/>
    <w:multiLevelType w:val="multilevel"/>
    <w:tmpl w:val="600C0383"/>
    <w:lvl w:ilvl="0">
      <w:start w:val="1"/>
      <w:numFmt w:val="bullet"/>
      <w:lvlText w:val=""/>
      <w:lvlJc w:val="left"/>
      <w:pPr>
        <w:tabs>
          <w:tab w:val="left" w:pos="357"/>
        </w:tabs>
        <w:ind w:left="340" w:hanging="340"/>
      </w:pPr>
      <w:rPr>
        <w:rFonts w:ascii="Symbol" w:hAnsi="Symbol" w:hint="default"/>
        <w:strike w:val="0"/>
        <w:dstrike w:val="0"/>
        <w:outline w:val="0"/>
        <w:shadow w:val="0"/>
        <w:emboss w:val="0"/>
        <w:imprint w:val="0"/>
        <w:color w:val="auto"/>
        <w:vertAlign w:val="baseline"/>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5" w15:restartNumberingAfterBreak="0">
    <w:nsid w:val="6035230C"/>
    <w:multiLevelType w:val="multilevel"/>
    <w:tmpl w:val="6035230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6" w15:restartNumberingAfterBreak="0">
    <w:nsid w:val="60EF7E6F"/>
    <w:multiLevelType w:val="multilevel"/>
    <w:tmpl w:val="60EF7E6F"/>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7" w15:restartNumberingAfterBreak="0">
    <w:nsid w:val="61A5453F"/>
    <w:multiLevelType w:val="multilevel"/>
    <w:tmpl w:val="61A5453F"/>
    <w:lvl w:ilvl="0">
      <w:start w:val="1"/>
      <w:numFmt w:val="bullet"/>
      <w:lvlText w:val=""/>
      <w:lvlJc w:val="left"/>
      <w:pPr>
        <w:tabs>
          <w:tab w:val="left" w:pos="357"/>
        </w:tabs>
        <w:ind w:left="340" w:hanging="340"/>
      </w:pPr>
      <w:rPr>
        <w:rFonts w:ascii="Symbol" w:hAnsi="Symbol" w:hint="default"/>
        <w:caps w:val="0"/>
        <w:strike w:val="0"/>
        <w:dstrike w:val="0"/>
        <w:outline w:val="0"/>
        <w:shadow w:val="0"/>
        <w:emboss w:val="0"/>
        <w:imprint w:val="0"/>
        <w:vanish w:val="0"/>
        <w:color w:val="auto"/>
        <w:vertAlign w:val="baseline"/>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8" w15:restartNumberingAfterBreak="0">
    <w:nsid w:val="62813A3C"/>
    <w:multiLevelType w:val="multilevel"/>
    <w:tmpl w:val="62813A3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9" w15:restartNumberingAfterBreak="0">
    <w:nsid w:val="63F85F53"/>
    <w:multiLevelType w:val="multilevel"/>
    <w:tmpl w:val="63F85F5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0" w15:restartNumberingAfterBreak="0">
    <w:nsid w:val="642E1304"/>
    <w:multiLevelType w:val="multilevel"/>
    <w:tmpl w:val="642E1304"/>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 w15:restartNumberingAfterBreak="0">
    <w:nsid w:val="64B2420B"/>
    <w:multiLevelType w:val="multilevel"/>
    <w:tmpl w:val="64B2420B"/>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2" w15:restartNumberingAfterBreak="0">
    <w:nsid w:val="64E1613E"/>
    <w:multiLevelType w:val="multilevel"/>
    <w:tmpl w:val="64E161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67224C0B"/>
    <w:multiLevelType w:val="multilevel"/>
    <w:tmpl w:val="67224C0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4" w15:restartNumberingAfterBreak="0">
    <w:nsid w:val="68BD726F"/>
    <w:multiLevelType w:val="multilevel"/>
    <w:tmpl w:val="68BD726F"/>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5" w15:restartNumberingAfterBreak="0">
    <w:nsid w:val="69DD7EA1"/>
    <w:multiLevelType w:val="multilevel"/>
    <w:tmpl w:val="69DD7EA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6" w15:restartNumberingAfterBreak="0">
    <w:nsid w:val="6DAA5394"/>
    <w:multiLevelType w:val="multilevel"/>
    <w:tmpl w:val="6DAA539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7" w15:restartNumberingAfterBreak="0">
    <w:nsid w:val="6F502FA1"/>
    <w:multiLevelType w:val="multilevel"/>
    <w:tmpl w:val="6F502FA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8" w15:restartNumberingAfterBreak="0">
    <w:nsid w:val="6F5555E2"/>
    <w:multiLevelType w:val="multilevel"/>
    <w:tmpl w:val="6F5555E2"/>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9" w15:restartNumberingAfterBreak="0">
    <w:nsid w:val="70A40BCA"/>
    <w:multiLevelType w:val="multilevel"/>
    <w:tmpl w:val="70A40BCA"/>
    <w:lvl w:ilvl="0">
      <w:start w:val="1"/>
      <w:numFmt w:val="bullet"/>
      <w:lvlText w:val=""/>
      <w:lvlJc w:val="left"/>
      <w:pPr>
        <w:tabs>
          <w:tab w:val="left" w:pos="357"/>
        </w:tabs>
        <w:ind w:left="340" w:hanging="340"/>
      </w:pPr>
      <w:rPr>
        <w:rFonts w:ascii="Symbol" w:hAnsi="Symbol" w:hint="default"/>
        <w:caps w:val="0"/>
        <w:strike w:val="0"/>
        <w:dstrike w:val="0"/>
        <w:outline w:val="0"/>
        <w:shadow w:val="0"/>
        <w:emboss w:val="0"/>
        <w:imprint w:val="0"/>
        <w:vanish w:val="0"/>
        <w:color w:val="auto"/>
        <w:vertAlign w:val="baseline"/>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0" w15:restartNumberingAfterBreak="0">
    <w:nsid w:val="72A15F57"/>
    <w:multiLevelType w:val="multilevel"/>
    <w:tmpl w:val="72A15F57"/>
    <w:lvl w:ilvl="0">
      <w:start w:val="1"/>
      <w:numFmt w:val="bullet"/>
      <w:lvlText w:val=""/>
      <w:lvlJc w:val="left"/>
      <w:pPr>
        <w:ind w:left="-45" w:hanging="360"/>
      </w:pPr>
      <w:rPr>
        <w:rFonts w:ascii="Symbol" w:hAnsi="Symbol" w:hint="default"/>
      </w:rPr>
    </w:lvl>
    <w:lvl w:ilvl="1">
      <w:start w:val="1"/>
      <w:numFmt w:val="bullet"/>
      <w:lvlText w:val=""/>
      <w:lvlJc w:val="left"/>
      <w:pPr>
        <w:ind w:left="675" w:hanging="360"/>
      </w:pPr>
      <w:rPr>
        <w:rFonts w:ascii="Symbol" w:hAnsi="Symbol" w:hint="default"/>
      </w:rPr>
    </w:lvl>
    <w:lvl w:ilvl="2">
      <w:start w:val="1"/>
      <w:numFmt w:val="bullet"/>
      <w:lvlText w:val=""/>
      <w:lvlJc w:val="left"/>
      <w:pPr>
        <w:ind w:left="1395" w:hanging="360"/>
      </w:pPr>
      <w:rPr>
        <w:rFonts w:ascii="Wingdings" w:hAnsi="Wingdings" w:hint="default"/>
      </w:rPr>
    </w:lvl>
    <w:lvl w:ilvl="3">
      <w:start w:val="1"/>
      <w:numFmt w:val="bullet"/>
      <w:lvlText w:val=""/>
      <w:lvlJc w:val="left"/>
      <w:pPr>
        <w:ind w:left="2115" w:hanging="360"/>
      </w:pPr>
      <w:rPr>
        <w:rFonts w:ascii="Symbol" w:hAnsi="Symbol" w:hint="default"/>
      </w:rPr>
    </w:lvl>
    <w:lvl w:ilvl="4">
      <w:start w:val="1"/>
      <w:numFmt w:val="bullet"/>
      <w:lvlText w:val="o"/>
      <w:lvlJc w:val="left"/>
      <w:pPr>
        <w:ind w:left="2835" w:hanging="360"/>
      </w:pPr>
      <w:rPr>
        <w:rFonts w:ascii="Courier New" w:hAnsi="Courier New" w:cs="Courier New" w:hint="default"/>
      </w:rPr>
    </w:lvl>
    <w:lvl w:ilvl="5">
      <w:start w:val="1"/>
      <w:numFmt w:val="bullet"/>
      <w:lvlText w:val=""/>
      <w:lvlJc w:val="left"/>
      <w:pPr>
        <w:ind w:left="3555" w:hanging="360"/>
      </w:pPr>
      <w:rPr>
        <w:rFonts w:ascii="Wingdings" w:hAnsi="Wingdings" w:hint="default"/>
      </w:rPr>
    </w:lvl>
    <w:lvl w:ilvl="6">
      <w:start w:val="1"/>
      <w:numFmt w:val="bullet"/>
      <w:lvlText w:val=""/>
      <w:lvlJc w:val="left"/>
      <w:pPr>
        <w:ind w:left="4275" w:hanging="360"/>
      </w:pPr>
      <w:rPr>
        <w:rFonts w:ascii="Symbol" w:hAnsi="Symbol" w:hint="default"/>
      </w:rPr>
    </w:lvl>
    <w:lvl w:ilvl="7">
      <w:start w:val="1"/>
      <w:numFmt w:val="bullet"/>
      <w:lvlText w:val="o"/>
      <w:lvlJc w:val="left"/>
      <w:pPr>
        <w:ind w:left="4995" w:hanging="360"/>
      </w:pPr>
      <w:rPr>
        <w:rFonts w:ascii="Courier New" w:hAnsi="Courier New" w:cs="Courier New" w:hint="default"/>
      </w:rPr>
    </w:lvl>
    <w:lvl w:ilvl="8">
      <w:start w:val="1"/>
      <w:numFmt w:val="bullet"/>
      <w:lvlText w:val=""/>
      <w:lvlJc w:val="left"/>
      <w:pPr>
        <w:ind w:left="5715" w:hanging="360"/>
      </w:pPr>
      <w:rPr>
        <w:rFonts w:ascii="Wingdings" w:hAnsi="Wingdings" w:hint="default"/>
      </w:rPr>
    </w:lvl>
  </w:abstractNum>
  <w:abstractNum w:abstractNumId="71" w15:restartNumberingAfterBreak="0">
    <w:nsid w:val="745F4060"/>
    <w:multiLevelType w:val="multilevel"/>
    <w:tmpl w:val="745F4060"/>
    <w:lvl w:ilvl="0">
      <w:start w:val="1"/>
      <w:numFmt w:val="bullet"/>
      <w:lvlText w:val=""/>
      <w:lvlJc w:val="left"/>
      <w:pPr>
        <w:tabs>
          <w:tab w:val="left" w:pos="357"/>
        </w:tabs>
        <w:ind w:left="340" w:hanging="340"/>
      </w:pPr>
      <w:rPr>
        <w:rFonts w:ascii="Symbol" w:hAnsi="Symbol" w:hint="default"/>
        <w:caps w:val="0"/>
        <w:strike w:val="0"/>
        <w:dstrike w:val="0"/>
        <w:outline w:val="0"/>
        <w:shadow w:val="0"/>
        <w:emboss w:val="0"/>
        <w:imprint w:val="0"/>
        <w:vanish w:val="0"/>
        <w:color w:val="auto"/>
        <w:vertAlign w:val="baseline"/>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2" w15:restartNumberingAfterBreak="0">
    <w:nsid w:val="74CC0814"/>
    <w:multiLevelType w:val="multilevel"/>
    <w:tmpl w:val="74CC0814"/>
    <w:lvl w:ilvl="0">
      <w:start w:val="1"/>
      <w:numFmt w:val="bullet"/>
      <w:lvlText w:val=""/>
      <w:lvlJc w:val="left"/>
      <w:pPr>
        <w:tabs>
          <w:tab w:val="left" w:pos="357"/>
        </w:tabs>
        <w:ind w:left="340" w:hanging="340"/>
      </w:pPr>
      <w:rPr>
        <w:rFonts w:ascii="Symbol" w:hAnsi="Symbol" w:hint="default"/>
        <w:caps w:val="0"/>
        <w:strike w:val="0"/>
        <w:dstrike w:val="0"/>
        <w:outline w:val="0"/>
        <w:shadow w:val="0"/>
        <w:emboss w:val="0"/>
        <w:imprint w:val="0"/>
        <w:vanish w:val="0"/>
        <w:color w:val="auto"/>
        <w:vertAlign w:val="baseline"/>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3" w15:restartNumberingAfterBreak="0">
    <w:nsid w:val="7B6D4F76"/>
    <w:multiLevelType w:val="multilevel"/>
    <w:tmpl w:val="7B6D4F7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42"/>
  </w:num>
  <w:num w:numId="2">
    <w:abstractNumId w:val="60"/>
  </w:num>
  <w:num w:numId="3">
    <w:abstractNumId w:val="61"/>
  </w:num>
  <w:num w:numId="4">
    <w:abstractNumId w:val="70"/>
  </w:num>
  <w:num w:numId="5">
    <w:abstractNumId w:val="36"/>
  </w:num>
  <w:num w:numId="6">
    <w:abstractNumId w:val="62"/>
  </w:num>
  <w:num w:numId="7">
    <w:abstractNumId w:val="10"/>
  </w:num>
  <w:num w:numId="8">
    <w:abstractNumId w:val="8"/>
  </w:num>
  <w:num w:numId="9">
    <w:abstractNumId w:val="23"/>
  </w:num>
  <w:num w:numId="10">
    <w:abstractNumId w:val="34"/>
  </w:num>
  <w:num w:numId="11">
    <w:abstractNumId w:val="1"/>
  </w:num>
  <w:num w:numId="12">
    <w:abstractNumId w:val="47"/>
  </w:num>
  <w:num w:numId="13">
    <w:abstractNumId w:val="54"/>
  </w:num>
  <w:num w:numId="14">
    <w:abstractNumId w:val="52"/>
  </w:num>
  <w:num w:numId="15">
    <w:abstractNumId w:val="28"/>
  </w:num>
  <w:num w:numId="16">
    <w:abstractNumId w:val="17"/>
  </w:num>
  <w:num w:numId="17">
    <w:abstractNumId w:val="35"/>
  </w:num>
  <w:num w:numId="18">
    <w:abstractNumId w:val="4"/>
  </w:num>
  <w:num w:numId="19">
    <w:abstractNumId w:val="49"/>
  </w:num>
  <w:num w:numId="20">
    <w:abstractNumId w:val="65"/>
  </w:num>
  <w:num w:numId="21">
    <w:abstractNumId w:val="66"/>
  </w:num>
  <w:num w:numId="22">
    <w:abstractNumId w:val="59"/>
  </w:num>
  <w:num w:numId="23">
    <w:abstractNumId w:val="64"/>
  </w:num>
  <w:num w:numId="24">
    <w:abstractNumId w:val="37"/>
  </w:num>
  <w:num w:numId="25">
    <w:abstractNumId w:val="3"/>
  </w:num>
  <w:num w:numId="26">
    <w:abstractNumId w:val="27"/>
  </w:num>
  <w:num w:numId="27">
    <w:abstractNumId w:val="40"/>
  </w:num>
  <w:num w:numId="28">
    <w:abstractNumId w:val="24"/>
  </w:num>
  <w:num w:numId="29">
    <w:abstractNumId w:val="33"/>
  </w:num>
  <w:num w:numId="30">
    <w:abstractNumId w:val="15"/>
  </w:num>
  <w:num w:numId="31">
    <w:abstractNumId w:val="56"/>
  </w:num>
  <w:num w:numId="32">
    <w:abstractNumId w:val="41"/>
  </w:num>
  <w:num w:numId="33">
    <w:abstractNumId w:val="16"/>
  </w:num>
  <w:num w:numId="34">
    <w:abstractNumId w:val="32"/>
  </w:num>
  <w:num w:numId="35">
    <w:abstractNumId w:val="46"/>
  </w:num>
  <w:num w:numId="36">
    <w:abstractNumId w:val="13"/>
  </w:num>
  <w:num w:numId="37">
    <w:abstractNumId w:val="20"/>
  </w:num>
  <w:num w:numId="38">
    <w:abstractNumId w:val="12"/>
  </w:num>
  <w:num w:numId="39">
    <w:abstractNumId w:val="14"/>
  </w:num>
  <w:num w:numId="40">
    <w:abstractNumId w:val="44"/>
  </w:num>
  <w:num w:numId="41">
    <w:abstractNumId w:val="73"/>
  </w:num>
  <w:num w:numId="42">
    <w:abstractNumId w:val="5"/>
  </w:num>
  <w:num w:numId="43">
    <w:abstractNumId w:val="58"/>
  </w:num>
  <w:num w:numId="44">
    <w:abstractNumId w:val="0"/>
  </w:num>
  <w:num w:numId="45">
    <w:abstractNumId w:val="19"/>
  </w:num>
  <w:num w:numId="46">
    <w:abstractNumId w:val="67"/>
  </w:num>
  <w:num w:numId="47">
    <w:abstractNumId w:val="25"/>
  </w:num>
  <w:num w:numId="48">
    <w:abstractNumId w:val="51"/>
  </w:num>
  <w:num w:numId="49">
    <w:abstractNumId w:val="63"/>
  </w:num>
  <w:num w:numId="50">
    <w:abstractNumId w:val="22"/>
  </w:num>
  <w:num w:numId="51">
    <w:abstractNumId w:val="50"/>
  </w:num>
  <w:num w:numId="52">
    <w:abstractNumId w:val="39"/>
  </w:num>
  <w:num w:numId="53">
    <w:abstractNumId w:val="53"/>
  </w:num>
  <w:num w:numId="54">
    <w:abstractNumId w:val="68"/>
  </w:num>
  <w:num w:numId="55">
    <w:abstractNumId w:val="55"/>
  </w:num>
  <w:num w:numId="56">
    <w:abstractNumId w:val="48"/>
  </w:num>
  <w:num w:numId="57">
    <w:abstractNumId w:val="21"/>
  </w:num>
  <w:num w:numId="58">
    <w:abstractNumId w:val="6"/>
  </w:num>
  <w:num w:numId="59">
    <w:abstractNumId w:val="45"/>
  </w:num>
  <w:num w:numId="60">
    <w:abstractNumId w:val="57"/>
  </w:num>
  <w:num w:numId="61">
    <w:abstractNumId w:val="43"/>
  </w:num>
  <w:num w:numId="62">
    <w:abstractNumId w:val="30"/>
  </w:num>
  <w:num w:numId="63">
    <w:abstractNumId w:val="7"/>
  </w:num>
  <w:num w:numId="64">
    <w:abstractNumId w:val="72"/>
  </w:num>
  <w:num w:numId="65">
    <w:abstractNumId w:val="69"/>
  </w:num>
  <w:num w:numId="66">
    <w:abstractNumId w:val="71"/>
  </w:num>
  <w:num w:numId="67">
    <w:abstractNumId w:val="9"/>
  </w:num>
  <w:num w:numId="68">
    <w:abstractNumId w:val="26"/>
  </w:num>
  <w:num w:numId="69">
    <w:abstractNumId w:val="11"/>
  </w:num>
  <w:num w:numId="70">
    <w:abstractNumId w:val="2"/>
  </w:num>
  <w:num w:numId="71">
    <w:abstractNumId w:val="31"/>
  </w:num>
  <w:num w:numId="72">
    <w:abstractNumId w:val="38"/>
  </w:num>
  <w:num w:numId="73">
    <w:abstractNumId w:val="18"/>
  </w:num>
  <w:num w:numId="74">
    <w:abstractNumId w:val="29"/>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AD7"/>
    <w:rsid w:val="00001C67"/>
    <w:rsid w:val="00002129"/>
    <w:rsid w:val="000035E8"/>
    <w:rsid w:val="0000397B"/>
    <w:rsid w:val="000102D9"/>
    <w:rsid w:val="0001264C"/>
    <w:rsid w:val="00012992"/>
    <w:rsid w:val="00014911"/>
    <w:rsid w:val="00016107"/>
    <w:rsid w:val="0002062E"/>
    <w:rsid w:val="00020ED8"/>
    <w:rsid w:val="0002116F"/>
    <w:rsid w:val="0002195E"/>
    <w:rsid w:val="000249AB"/>
    <w:rsid w:val="00024A92"/>
    <w:rsid w:val="00026308"/>
    <w:rsid w:val="0002698D"/>
    <w:rsid w:val="00026B5B"/>
    <w:rsid w:val="00027E3E"/>
    <w:rsid w:val="00030ECC"/>
    <w:rsid w:val="00032D00"/>
    <w:rsid w:val="00032D2C"/>
    <w:rsid w:val="00032E48"/>
    <w:rsid w:val="00035AFD"/>
    <w:rsid w:val="000365B5"/>
    <w:rsid w:val="0003694F"/>
    <w:rsid w:val="00036CA1"/>
    <w:rsid w:val="00041CBC"/>
    <w:rsid w:val="000421E8"/>
    <w:rsid w:val="00044253"/>
    <w:rsid w:val="000444F1"/>
    <w:rsid w:val="00044A87"/>
    <w:rsid w:val="00045148"/>
    <w:rsid w:val="000455FB"/>
    <w:rsid w:val="00051C34"/>
    <w:rsid w:val="000525A4"/>
    <w:rsid w:val="000547EF"/>
    <w:rsid w:val="000611DC"/>
    <w:rsid w:val="0007449D"/>
    <w:rsid w:val="00077626"/>
    <w:rsid w:val="000804E8"/>
    <w:rsid w:val="00081D8E"/>
    <w:rsid w:val="00082CD0"/>
    <w:rsid w:val="00083486"/>
    <w:rsid w:val="00083A0E"/>
    <w:rsid w:val="00085EDD"/>
    <w:rsid w:val="0008698B"/>
    <w:rsid w:val="000925CF"/>
    <w:rsid w:val="000942BA"/>
    <w:rsid w:val="00095DFB"/>
    <w:rsid w:val="00097BAD"/>
    <w:rsid w:val="000A01DE"/>
    <w:rsid w:val="000A06EB"/>
    <w:rsid w:val="000A44C1"/>
    <w:rsid w:val="000A6886"/>
    <w:rsid w:val="000A7C07"/>
    <w:rsid w:val="000B433C"/>
    <w:rsid w:val="000B5CA9"/>
    <w:rsid w:val="000B610C"/>
    <w:rsid w:val="000B7EAC"/>
    <w:rsid w:val="000C0769"/>
    <w:rsid w:val="000C26F1"/>
    <w:rsid w:val="000C445F"/>
    <w:rsid w:val="000C467C"/>
    <w:rsid w:val="000C4A59"/>
    <w:rsid w:val="000C4FC2"/>
    <w:rsid w:val="000C637F"/>
    <w:rsid w:val="000D016A"/>
    <w:rsid w:val="000D1120"/>
    <w:rsid w:val="000D2C55"/>
    <w:rsid w:val="000D2F0E"/>
    <w:rsid w:val="000D4D21"/>
    <w:rsid w:val="000D4F6C"/>
    <w:rsid w:val="000D6BFA"/>
    <w:rsid w:val="000D6F76"/>
    <w:rsid w:val="000D7742"/>
    <w:rsid w:val="000E0F71"/>
    <w:rsid w:val="000E259D"/>
    <w:rsid w:val="000E260D"/>
    <w:rsid w:val="000E3131"/>
    <w:rsid w:val="000E6986"/>
    <w:rsid w:val="000E7A4D"/>
    <w:rsid w:val="000E7C08"/>
    <w:rsid w:val="000F0566"/>
    <w:rsid w:val="000F09CD"/>
    <w:rsid w:val="000F200D"/>
    <w:rsid w:val="000F2D66"/>
    <w:rsid w:val="000F3256"/>
    <w:rsid w:val="000F342B"/>
    <w:rsid w:val="000F46CA"/>
    <w:rsid w:val="00100B75"/>
    <w:rsid w:val="00101F2C"/>
    <w:rsid w:val="00103B02"/>
    <w:rsid w:val="00107EC1"/>
    <w:rsid w:val="00110752"/>
    <w:rsid w:val="00110768"/>
    <w:rsid w:val="00112A96"/>
    <w:rsid w:val="00125767"/>
    <w:rsid w:val="0012612A"/>
    <w:rsid w:val="001311CD"/>
    <w:rsid w:val="00132930"/>
    <w:rsid w:val="001347DD"/>
    <w:rsid w:val="00140016"/>
    <w:rsid w:val="00140498"/>
    <w:rsid w:val="0014114D"/>
    <w:rsid w:val="00143663"/>
    <w:rsid w:val="00146BE4"/>
    <w:rsid w:val="001504B5"/>
    <w:rsid w:val="0015198A"/>
    <w:rsid w:val="00152F8F"/>
    <w:rsid w:val="0015706B"/>
    <w:rsid w:val="00157306"/>
    <w:rsid w:val="00157D46"/>
    <w:rsid w:val="0016256F"/>
    <w:rsid w:val="0017111E"/>
    <w:rsid w:val="00172215"/>
    <w:rsid w:val="00173500"/>
    <w:rsid w:val="00174C10"/>
    <w:rsid w:val="0017631B"/>
    <w:rsid w:val="00176BD5"/>
    <w:rsid w:val="001776B1"/>
    <w:rsid w:val="001802D5"/>
    <w:rsid w:val="00180956"/>
    <w:rsid w:val="00180BBF"/>
    <w:rsid w:val="001828BC"/>
    <w:rsid w:val="00183910"/>
    <w:rsid w:val="00184E9D"/>
    <w:rsid w:val="00191FE4"/>
    <w:rsid w:val="0019501F"/>
    <w:rsid w:val="0019769E"/>
    <w:rsid w:val="001A189D"/>
    <w:rsid w:val="001A1DE3"/>
    <w:rsid w:val="001A4014"/>
    <w:rsid w:val="001A4997"/>
    <w:rsid w:val="001A4FE0"/>
    <w:rsid w:val="001B4CAA"/>
    <w:rsid w:val="001B6206"/>
    <w:rsid w:val="001B7A5A"/>
    <w:rsid w:val="001C133E"/>
    <w:rsid w:val="001C2ABB"/>
    <w:rsid w:val="001C4701"/>
    <w:rsid w:val="001C6FD9"/>
    <w:rsid w:val="001D2F2A"/>
    <w:rsid w:val="001D6439"/>
    <w:rsid w:val="001D700C"/>
    <w:rsid w:val="001E4A3E"/>
    <w:rsid w:val="001E6A28"/>
    <w:rsid w:val="001E77FF"/>
    <w:rsid w:val="001F0D0A"/>
    <w:rsid w:val="001F2320"/>
    <w:rsid w:val="001F28C0"/>
    <w:rsid w:val="001F48C2"/>
    <w:rsid w:val="001F4BE7"/>
    <w:rsid w:val="00201E53"/>
    <w:rsid w:val="00201F08"/>
    <w:rsid w:val="0020225C"/>
    <w:rsid w:val="00205ACD"/>
    <w:rsid w:val="00207A34"/>
    <w:rsid w:val="002100BD"/>
    <w:rsid w:val="00211B80"/>
    <w:rsid w:val="002132BF"/>
    <w:rsid w:val="00214C9F"/>
    <w:rsid w:val="0021546F"/>
    <w:rsid w:val="00216564"/>
    <w:rsid w:val="00216E96"/>
    <w:rsid w:val="0021716D"/>
    <w:rsid w:val="00217364"/>
    <w:rsid w:val="00217BA1"/>
    <w:rsid w:val="00224CE1"/>
    <w:rsid w:val="00224E44"/>
    <w:rsid w:val="00226204"/>
    <w:rsid w:val="002266EC"/>
    <w:rsid w:val="002277A1"/>
    <w:rsid w:val="002306D9"/>
    <w:rsid w:val="002310F2"/>
    <w:rsid w:val="0023390D"/>
    <w:rsid w:val="0023467C"/>
    <w:rsid w:val="002372E9"/>
    <w:rsid w:val="00240A5E"/>
    <w:rsid w:val="00240D80"/>
    <w:rsid w:val="002418E0"/>
    <w:rsid w:val="00242BA0"/>
    <w:rsid w:val="00242BDC"/>
    <w:rsid w:val="00245796"/>
    <w:rsid w:val="00251637"/>
    <w:rsid w:val="0025181E"/>
    <w:rsid w:val="002537F2"/>
    <w:rsid w:val="0025482A"/>
    <w:rsid w:val="00255DD9"/>
    <w:rsid w:val="00256215"/>
    <w:rsid w:val="002616B9"/>
    <w:rsid w:val="0026208D"/>
    <w:rsid w:val="00263060"/>
    <w:rsid w:val="0026400B"/>
    <w:rsid w:val="00264F6C"/>
    <w:rsid w:val="00265CF6"/>
    <w:rsid w:val="002662C9"/>
    <w:rsid w:val="00266CDE"/>
    <w:rsid w:val="00271B5F"/>
    <w:rsid w:val="002724A9"/>
    <w:rsid w:val="00273C28"/>
    <w:rsid w:val="00277110"/>
    <w:rsid w:val="00277A56"/>
    <w:rsid w:val="00277D83"/>
    <w:rsid w:val="00281642"/>
    <w:rsid w:val="002828A3"/>
    <w:rsid w:val="002851AA"/>
    <w:rsid w:val="0028683C"/>
    <w:rsid w:val="00286B32"/>
    <w:rsid w:val="00290889"/>
    <w:rsid w:val="002948EE"/>
    <w:rsid w:val="00296F19"/>
    <w:rsid w:val="00297603"/>
    <w:rsid w:val="002A07FB"/>
    <w:rsid w:val="002A1094"/>
    <w:rsid w:val="002A203F"/>
    <w:rsid w:val="002A238C"/>
    <w:rsid w:val="002A50AF"/>
    <w:rsid w:val="002A5A09"/>
    <w:rsid w:val="002B05CE"/>
    <w:rsid w:val="002B632D"/>
    <w:rsid w:val="002B77D2"/>
    <w:rsid w:val="002C13F1"/>
    <w:rsid w:val="002C303B"/>
    <w:rsid w:val="002C4D02"/>
    <w:rsid w:val="002C5977"/>
    <w:rsid w:val="002C5F22"/>
    <w:rsid w:val="002D03BC"/>
    <w:rsid w:val="002D06F9"/>
    <w:rsid w:val="002D37B3"/>
    <w:rsid w:val="002D3C17"/>
    <w:rsid w:val="002D50E0"/>
    <w:rsid w:val="002D59B0"/>
    <w:rsid w:val="002D60FC"/>
    <w:rsid w:val="002D61F3"/>
    <w:rsid w:val="002E058B"/>
    <w:rsid w:val="002E1515"/>
    <w:rsid w:val="002E2BEF"/>
    <w:rsid w:val="002E3B6F"/>
    <w:rsid w:val="002E52FC"/>
    <w:rsid w:val="002E5C9F"/>
    <w:rsid w:val="002F2C70"/>
    <w:rsid w:val="002F4971"/>
    <w:rsid w:val="003019A5"/>
    <w:rsid w:val="00305F14"/>
    <w:rsid w:val="003109FD"/>
    <w:rsid w:val="0031152E"/>
    <w:rsid w:val="00312B09"/>
    <w:rsid w:val="00314F61"/>
    <w:rsid w:val="0031570B"/>
    <w:rsid w:val="00322535"/>
    <w:rsid w:val="00322958"/>
    <w:rsid w:val="003272B6"/>
    <w:rsid w:val="00332A4C"/>
    <w:rsid w:val="00332EBA"/>
    <w:rsid w:val="00333C5E"/>
    <w:rsid w:val="00334A9C"/>
    <w:rsid w:val="00335179"/>
    <w:rsid w:val="0033681C"/>
    <w:rsid w:val="00336CB1"/>
    <w:rsid w:val="00341DE0"/>
    <w:rsid w:val="0034220F"/>
    <w:rsid w:val="003423CC"/>
    <w:rsid w:val="00342FC6"/>
    <w:rsid w:val="00343A69"/>
    <w:rsid w:val="00347A64"/>
    <w:rsid w:val="0035098E"/>
    <w:rsid w:val="00352050"/>
    <w:rsid w:val="00353654"/>
    <w:rsid w:val="00356BF7"/>
    <w:rsid w:val="00356E54"/>
    <w:rsid w:val="003614F2"/>
    <w:rsid w:val="003655B1"/>
    <w:rsid w:val="0037079D"/>
    <w:rsid w:val="00374EA8"/>
    <w:rsid w:val="00375544"/>
    <w:rsid w:val="00376CC2"/>
    <w:rsid w:val="00382341"/>
    <w:rsid w:val="00383FF6"/>
    <w:rsid w:val="0038686F"/>
    <w:rsid w:val="00391D53"/>
    <w:rsid w:val="00392BB2"/>
    <w:rsid w:val="00393E70"/>
    <w:rsid w:val="00394360"/>
    <w:rsid w:val="00397344"/>
    <w:rsid w:val="00397564"/>
    <w:rsid w:val="003A000E"/>
    <w:rsid w:val="003A401A"/>
    <w:rsid w:val="003A657D"/>
    <w:rsid w:val="003B4156"/>
    <w:rsid w:val="003B58C7"/>
    <w:rsid w:val="003B5CE0"/>
    <w:rsid w:val="003B77D0"/>
    <w:rsid w:val="003B7B27"/>
    <w:rsid w:val="003C1A0B"/>
    <w:rsid w:val="003C231A"/>
    <w:rsid w:val="003C37A7"/>
    <w:rsid w:val="003C7DB7"/>
    <w:rsid w:val="003D3D83"/>
    <w:rsid w:val="003D600C"/>
    <w:rsid w:val="003D7773"/>
    <w:rsid w:val="003E4246"/>
    <w:rsid w:val="003E4F26"/>
    <w:rsid w:val="003F0554"/>
    <w:rsid w:val="003F3C3F"/>
    <w:rsid w:val="003F6677"/>
    <w:rsid w:val="00400828"/>
    <w:rsid w:val="0040383B"/>
    <w:rsid w:val="0040473A"/>
    <w:rsid w:val="00404BE5"/>
    <w:rsid w:val="00405BD0"/>
    <w:rsid w:val="00411320"/>
    <w:rsid w:val="00416B20"/>
    <w:rsid w:val="0042138E"/>
    <w:rsid w:val="004226D4"/>
    <w:rsid w:val="00423361"/>
    <w:rsid w:val="00424410"/>
    <w:rsid w:val="00426037"/>
    <w:rsid w:val="00427D8D"/>
    <w:rsid w:val="004305E7"/>
    <w:rsid w:val="00437127"/>
    <w:rsid w:val="00441597"/>
    <w:rsid w:val="00441B59"/>
    <w:rsid w:val="00442A48"/>
    <w:rsid w:val="00442CB3"/>
    <w:rsid w:val="0044325D"/>
    <w:rsid w:val="004437BC"/>
    <w:rsid w:val="00443CDB"/>
    <w:rsid w:val="004445E8"/>
    <w:rsid w:val="00450112"/>
    <w:rsid w:val="00450587"/>
    <w:rsid w:val="004537C8"/>
    <w:rsid w:val="004537FB"/>
    <w:rsid w:val="00453F67"/>
    <w:rsid w:val="00462DDC"/>
    <w:rsid w:val="00465128"/>
    <w:rsid w:val="004651DC"/>
    <w:rsid w:val="004656F6"/>
    <w:rsid w:val="00465725"/>
    <w:rsid w:val="00467630"/>
    <w:rsid w:val="004678F1"/>
    <w:rsid w:val="00470218"/>
    <w:rsid w:val="0047033C"/>
    <w:rsid w:val="0047203D"/>
    <w:rsid w:val="004727F7"/>
    <w:rsid w:val="0047509F"/>
    <w:rsid w:val="00475944"/>
    <w:rsid w:val="00475BCE"/>
    <w:rsid w:val="00476EAD"/>
    <w:rsid w:val="00477171"/>
    <w:rsid w:val="00480337"/>
    <w:rsid w:val="00480E23"/>
    <w:rsid w:val="00482873"/>
    <w:rsid w:val="00483DB8"/>
    <w:rsid w:val="00484986"/>
    <w:rsid w:val="0049106A"/>
    <w:rsid w:val="004914DC"/>
    <w:rsid w:val="004921EA"/>
    <w:rsid w:val="0049292F"/>
    <w:rsid w:val="004954A2"/>
    <w:rsid w:val="004968C5"/>
    <w:rsid w:val="00497ED5"/>
    <w:rsid w:val="004A14C4"/>
    <w:rsid w:val="004A507D"/>
    <w:rsid w:val="004A5619"/>
    <w:rsid w:val="004A6A75"/>
    <w:rsid w:val="004A6BCC"/>
    <w:rsid w:val="004B01E0"/>
    <w:rsid w:val="004B12D1"/>
    <w:rsid w:val="004B2888"/>
    <w:rsid w:val="004B4DF4"/>
    <w:rsid w:val="004B62BE"/>
    <w:rsid w:val="004B7322"/>
    <w:rsid w:val="004C0F6D"/>
    <w:rsid w:val="004C256B"/>
    <w:rsid w:val="004C2F9F"/>
    <w:rsid w:val="004C67F9"/>
    <w:rsid w:val="004C6CB4"/>
    <w:rsid w:val="004D181B"/>
    <w:rsid w:val="004D3285"/>
    <w:rsid w:val="004D7006"/>
    <w:rsid w:val="004D7DFC"/>
    <w:rsid w:val="004E0507"/>
    <w:rsid w:val="004E2E62"/>
    <w:rsid w:val="004E4A0D"/>
    <w:rsid w:val="004F02B6"/>
    <w:rsid w:val="004F0FE9"/>
    <w:rsid w:val="004F3243"/>
    <w:rsid w:val="004F490E"/>
    <w:rsid w:val="004F4986"/>
    <w:rsid w:val="004F615B"/>
    <w:rsid w:val="004F6B9D"/>
    <w:rsid w:val="0050064C"/>
    <w:rsid w:val="00504A64"/>
    <w:rsid w:val="00504CA9"/>
    <w:rsid w:val="0051010B"/>
    <w:rsid w:val="00510AED"/>
    <w:rsid w:val="00513C3C"/>
    <w:rsid w:val="0051525A"/>
    <w:rsid w:val="005159F0"/>
    <w:rsid w:val="005165F8"/>
    <w:rsid w:val="00517E41"/>
    <w:rsid w:val="00520E48"/>
    <w:rsid w:val="00522F14"/>
    <w:rsid w:val="00523AB5"/>
    <w:rsid w:val="00524141"/>
    <w:rsid w:val="005241C4"/>
    <w:rsid w:val="00531099"/>
    <w:rsid w:val="00537ACF"/>
    <w:rsid w:val="00537EEC"/>
    <w:rsid w:val="00541B1C"/>
    <w:rsid w:val="00543029"/>
    <w:rsid w:val="00543723"/>
    <w:rsid w:val="00543D5D"/>
    <w:rsid w:val="00545FF2"/>
    <w:rsid w:val="0054636D"/>
    <w:rsid w:val="00553392"/>
    <w:rsid w:val="00553901"/>
    <w:rsid w:val="00556455"/>
    <w:rsid w:val="0056470F"/>
    <w:rsid w:val="005659C3"/>
    <w:rsid w:val="00566E53"/>
    <w:rsid w:val="00567845"/>
    <w:rsid w:val="0057227F"/>
    <w:rsid w:val="00574660"/>
    <w:rsid w:val="00577972"/>
    <w:rsid w:val="00582062"/>
    <w:rsid w:val="005828E0"/>
    <w:rsid w:val="005831E0"/>
    <w:rsid w:val="005849F7"/>
    <w:rsid w:val="00586C91"/>
    <w:rsid w:val="00590686"/>
    <w:rsid w:val="005917C8"/>
    <w:rsid w:val="00593772"/>
    <w:rsid w:val="005954C8"/>
    <w:rsid w:val="00595BB8"/>
    <w:rsid w:val="005A4695"/>
    <w:rsid w:val="005A4E81"/>
    <w:rsid w:val="005A5654"/>
    <w:rsid w:val="005A5A5F"/>
    <w:rsid w:val="005A5D65"/>
    <w:rsid w:val="005A70AE"/>
    <w:rsid w:val="005A77B4"/>
    <w:rsid w:val="005B14C0"/>
    <w:rsid w:val="005B25B8"/>
    <w:rsid w:val="005B4548"/>
    <w:rsid w:val="005B4851"/>
    <w:rsid w:val="005B530B"/>
    <w:rsid w:val="005B730E"/>
    <w:rsid w:val="005B777A"/>
    <w:rsid w:val="005C00E9"/>
    <w:rsid w:val="005C1005"/>
    <w:rsid w:val="005C14CF"/>
    <w:rsid w:val="005C1506"/>
    <w:rsid w:val="005C32A9"/>
    <w:rsid w:val="005D0682"/>
    <w:rsid w:val="005D13B1"/>
    <w:rsid w:val="005D1916"/>
    <w:rsid w:val="005D1A2F"/>
    <w:rsid w:val="005D798E"/>
    <w:rsid w:val="005D7CF8"/>
    <w:rsid w:val="005E0C4B"/>
    <w:rsid w:val="005E72AD"/>
    <w:rsid w:val="005F1626"/>
    <w:rsid w:val="005F1861"/>
    <w:rsid w:val="005F3064"/>
    <w:rsid w:val="005F3B8D"/>
    <w:rsid w:val="00600D23"/>
    <w:rsid w:val="00601F76"/>
    <w:rsid w:val="00602FBE"/>
    <w:rsid w:val="006056EF"/>
    <w:rsid w:val="00607F46"/>
    <w:rsid w:val="0061340F"/>
    <w:rsid w:val="00614809"/>
    <w:rsid w:val="00615943"/>
    <w:rsid w:val="00621B41"/>
    <w:rsid w:val="006226C5"/>
    <w:rsid w:val="00623540"/>
    <w:rsid w:val="0062519D"/>
    <w:rsid w:val="00625918"/>
    <w:rsid w:val="00633564"/>
    <w:rsid w:val="00635534"/>
    <w:rsid w:val="00636D33"/>
    <w:rsid w:val="0064783D"/>
    <w:rsid w:val="00650726"/>
    <w:rsid w:val="00653CF7"/>
    <w:rsid w:val="00653EB0"/>
    <w:rsid w:val="0065454C"/>
    <w:rsid w:val="00655836"/>
    <w:rsid w:val="0065644D"/>
    <w:rsid w:val="0066000F"/>
    <w:rsid w:val="00660E35"/>
    <w:rsid w:val="0066217D"/>
    <w:rsid w:val="0066726B"/>
    <w:rsid w:val="00670479"/>
    <w:rsid w:val="0067098B"/>
    <w:rsid w:val="00672B4D"/>
    <w:rsid w:val="0067485C"/>
    <w:rsid w:val="00676EA9"/>
    <w:rsid w:val="006845D2"/>
    <w:rsid w:val="00690AB3"/>
    <w:rsid w:val="00691F0A"/>
    <w:rsid w:val="00692BE0"/>
    <w:rsid w:val="006935CA"/>
    <w:rsid w:val="00693BD0"/>
    <w:rsid w:val="0069618C"/>
    <w:rsid w:val="006A0FEB"/>
    <w:rsid w:val="006A1F3D"/>
    <w:rsid w:val="006A23F6"/>
    <w:rsid w:val="006A27A5"/>
    <w:rsid w:val="006A3633"/>
    <w:rsid w:val="006A3ACD"/>
    <w:rsid w:val="006A40E0"/>
    <w:rsid w:val="006A49A6"/>
    <w:rsid w:val="006A6651"/>
    <w:rsid w:val="006A7083"/>
    <w:rsid w:val="006A758A"/>
    <w:rsid w:val="006B1E56"/>
    <w:rsid w:val="006B7D08"/>
    <w:rsid w:val="006C0262"/>
    <w:rsid w:val="006C144E"/>
    <w:rsid w:val="006C414E"/>
    <w:rsid w:val="006C58D6"/>
    <w:rsid w:val="006C5CF3"/>
    <w:rsid w:val="006C7743"/>
    <w:rsid w:val="006C7A56"/>
    <w:rsid w:val="006D1D84"/>
    <w:rsid w:val="006D28FF"/>
    <w:rsid w:val="006D2E87"/>
    <w:rsid w:val="006D42EA"/>
    <w:rsid w:val="006D6B9B"/>
    <w:rsid w:val="006D7F24"/>
    <w:rsid w:val="006E158A"/>
    <w:rsid w:val="006E1A89"/>
    <w:rsid w:val="006E25FD"/>
    <w:rsid w:val="006E2AE4"/>
    <w:rsid w:val="006E365D"/>
    <w:rsid w:val="006E78EA"/>
    <w:rsid w:val="006F0745"/>
    <w:rsid w:val="006F5300"/>
    <w:rsid w:val="006F6154"/>
    <w:rsid w:val="007020C6"/>
    <w:rsid w:val="00702191"/>
    <w:rsid w:val="007025F4"/>
    <w:rsid w:val="00703ABF"/>
    <w:rsid w:val="00704F53"/>
    <w:rsid w:val="007054B5"/>
    <w:rsid w:val="00705B8B"/>
    <w:rsid w:val="00707698"/>
    <w:rsid w:val="007079EA"/>
    <w:rsid w:val="00711B59"/>
    <w:rsid w:val="00712C43"/>
    <w:rsid w:val="0071378F"/>
    <w:rsid w:val="00714BBA"/>
    <w:rsid w:val="00714F94"/>
    <w:rsid w:val="0072031C"/>
    <w:rsid w:val="007204A3"/>
    <w:rsid w:val="00720B00"/>
    <w:rsid w:val="00720F73"/>
    <w:rsid w:val="007215A2"/>
    <w:rsid w:val="00722BD1"/>
    <w:rsid w:val="00722FE6"/>
    <w:rsid w:val="00725A72"/>
    <w:rsid w:val="0073243F"/>
    <w:rsid w:val="00734631"/>
    <w:rsid w:val="0074687D"/>
    <w:rsid w:val="00746A90"/>
    <w:rsid w:val="0074758F"/>
    <w:rsid w:val="00750207"/>
    <w:rsid w:val="00751A60"/>
    <w:rsid w:val="007544AB"/>
    <w:rsid w:val="0075501F"/>
    <w:rsid w:val="00755AB1"/>
    <w:rsid w:val="00760846"/>
    <w:rsid w:val="007612E7"/>
    <w:rsid w:val="0076237A"/>
    <w:rsid w:val="00762632"/>
    <w:rsid w:val="00763231"/>
    <w:rsid w:val="00763413"/>
    <w:rsid w:val="00763DD6"/>
    <w:rsid w:val="00766801"/>
    <w:rsid w:val="007707C9"/>
    <w:rsid w:val="007758B6"/>
    <w:rsid w:val="0077727D"/>
    <w:rsid w:val="00780776"/>
    <w:rsid w:val="00781BC3"/>
    <w:rsid w:val="00785F1D"/>
    <w:rsid w:val="00786F9B"/>
    <w:rsid w:val="007923C3"/>
    <w:rsid w:val="00793D8A"/>
    <w:rsid w:val="007A6271"/>
    <w:rsid w:val="007B00B0"/>
    <w:rsid w:val="007B2528"/>
    <w:rsid w:val="007B46B0"/>
    <w:rsid w:val="007B688E"/>
    <w:rsid w:val="007B78FC"/>
    <w:rsid w:val="007C00B0"/>
    <w:rsid w:val="007C0CB5"/>
    <w:rsid w:val="007C26D7"/>
    <w:rsid w:val="007D0CBB"/>
    <w:rsid w:val="007D6214"/>
    <w:rsid w:val="007D7560"/>
    <w:rsid w:val="007E2192"/>
    <w:rsid w:val="007E2F44"/>
    <w:rsid w:val="007E32A7"/>
    <w:rsid w:val="007E7425"/>
    <w:rsid w:val="007F1894"/>
    <w:rsid w:val="007F2069"/>
    <w:rsid w:val="007F2D37"/>
    <w:rsid w:val="007F3F21"/>
    <w:rsid w:val="007F7A49"/>
    <w:rsid w:val="008008ED"/>
    <w:rsid w:val="00801BFB"/>
    <w:rsid w:val="00802263"/>
    <w:rsid w:val="00804873"/>
    <w:rsid w:val="00805230"/>
    <w:rsid w:val="008066B8"/>
    <w:rsid w:val="008069BA"/>
    <w:rsid w:val="00810720"/>
    <w:rsid w:val="00810763"/>
    <w:rsid w:val="00811898"/>
    <w:rsid w:val="00816626"/>
    <w:rsid w:val="00817821"/>
    <w:rsid w:val="00817F8E"/>
    <w:rsid w:val="00820B35"/>
    <w:rsid w:val="008222EC"/>
    <w:rsid w:val="00824F30"/>
    <w:rsid w:val="00831046"/>
    <w:rsid w:val="00832D37"/>
    <w:rsid w:val="00835AEA"/>
    <w:rsid w:val="00841037"/>
    <w:rsid w:val="00841C81"/>
    <w:rsid w:val="008430EF"/>
    <w:rsid w:val="00843C75"/>
    <w:rsid w:val="00845572"/>
    <w:rsid w:val="008461B0"/>
    <w:rsid w:val="00847805"/>
    <w:rsid w:val="008505C7"/>
    <w:rsid w:val="0085343B"/>
    <w:rsid w:val="00857DDF"/>
    <w:rsid w:val="00861BD3"/>
    <w:rsid w:val="008628DF"/>
    <w:rsid w:val="00863E2B"/>
    <w:rsid w:val="0086410A"/>
    <w:rsid w:val="00864A02"/>
    <w:rsid w:val="00866268"/>
    <w:rsid w:val="0086649D"/>
    <w:rsid w:val="00866BF2"/>
    <w:rsid w:val="00871680"/>
    <w:rsid w:val="008755B0"/>
    <w:rsid w:val="008764D8"/>
    <w:rsid w:val="008805B5"/>
    <w:rsid w:val="0088198F"/>
    <w:rsid w:val="00882056"/>
    <w:rsid w:val="00882CEA"/>
    <w:rsid w:val="00883C60"/>
    <w:rsid w:val="00886060"/>
    <w:rsid w:val="008861A5"/>
    <w:rsid w:val="00890C4B"/>
    <w:rsid w:val="00892164"/>
    <w:rsid w:val="00893492"/>
    <w:rsid w:val="00894EDC"/>
    <w:rsid w:val="0089501E"/>
    <w:rsid w:val="008A03AB"/>
    <w:rsid w:val="008A080B"/>
    <w:rsid w:val="008A70EC"/>
    <w:rsid w:val="008B1CCD"/>
    <w:rsid w:val="008B2E43"/>
    <w:rsid w:val="008B2FCE"/>
    <w:rsid w:val="008B77AA"/>
    <w:rsid w:val="008C0FEF"/>
    <w:rsid w:val="008C1762"/>
    <w:rsid w:val="008C5179"/>
    <w:rsid w:val="008C5317"/>
    <w:rsid w:val="008C574E"/>
    <w:rsid w:val="008D0BCA"/>
    <w:rsid w:val="008D5212"/>
    <w:rsid w:val="008D570C"/>
    <w:rsid w:val="008D5E86"/>
    <w:rsid w:val="008D6A8B"/>
    <w:rsid w:val="008E20BE"/>
    <w:rsid w:val="008E6AE0"/>
    <w:rsid w:val="008F08E0"/>
    <w:rsid w:val="008F1AA3"/>
    <w:rsid w:val="008F3713"/>
    <w:rsid w:val="008F3AB5"/>
    <w:rsid w:val="008F3E49"/>
    <w:rsid w:val="008F4A6A"/>
    <w:rsid w:val="008F524D"/>
    <w:rsid w:val="008F649F"/>
    <w:rsid w:val="00900AF4"/>
    <w:rsid w:val="00902B52"/>
    <w:rsid w:val="00906061"/>
    <w:rsid w:val="00914564"/>
    <w:rsid w:val="00915040"/>
    <w:rsid w:val="009169CC"/>
    <w:rsid w:val="00924339"/>
    <w:rsid w:val="00924BF2"/>
    <w:rsid w:val="009257A9"/>
    <w:rsid w:val="00926671"/>
    <w:rsid w:val="00926FC5"/>
    <w:rsid w:val="00932584"/>
    <w:rsid w:val="00936264"/>
    <w:rsid w:val="00936ECA"/>
    <w:rsid w:val="009376AF"/>
    <w:rsid w:val="00940AD2"/>
    <w:rsid w:val="009415C1"/>
    <w:rsid w:val="00945D12"/>
    <w:rsid w:val="0094697C"/>
    <w:rsid w:val="00946DD9"/>
    <w:rsid w:val="0095083D"/>
    <w:rsid w:val="00951C7D"/>
    <w:rsid w:val="00953B2C"/>
    <w:rsid w:val="00953FDD"/>
    <w:rsid w:val="00955822"/>
    <w:rsid w:val="00956C5B"/>
    <w:rsid w:val="0095747A"/>
    <w:rsid w:val="009633D0"/>
    <w:rsid w:val="00967195"/>
    <w:rsid w:val="0097092C"/>
    <w:rsid w:val="00973AD3"/>
    <w:rsid w:val="0097530C"/>
    <w:rsid w:val="0097595D"/>
    <w:rsid w:val="00977200"/>
    <w:rsid w:val="009800DC"/>
    <w:rsid w:val="00983335"/>
    <w:rsid w:val="00984C23"/>
    <w:rsid w:val="00990B81"/>
    <w:rsid w:val="009919F9"/>
    <w:rsid w:val="009A5EE2"/>
    <w:rsid w:val="009A68EE"/>
    <w:rsid w:val="009A69AE"/>
    <w:rsid w:val="009A7465"/>
    <w:rsid w:val="009A76DB"/>
    <w:rsid w:val="009B0CD7"/>
    <w:rsid w:val="009B1E3A"/>
    <w:rsid w:val="009B23F0"/>
    <w:rsid w:val="009B2B20"/>
    <w:rsid w:val="009B4536"/>
    <w:rsid w:val="009B5886"/>
    <w:rsid w:val="009B74B8"/>
    <w:rsid w:val="009C07B1"/>
    <w:rsid w:val="009C40AC"/>
    <w:rsid w:val="009C5361"/>
    <w:rsid w:val="009D4696"/>
    <w:rsid w:val="009E1E91"/>
    <w:rsid w:val="009E241F"/>
    <w:rsid w:val="009E571B"/>
    <w:rsid w:val="009F24CC"/>
    <w:rsid w:val="009F3375"/>
    <w:rsid w:val="009F3899"/>
    <w:rsid w:val="009F4BEB"/>
    <w:rsid w:val="009F556A"/>
    <w:rsid w:val="009F6F75"/>
    <w:rsid w:val="009F77BE"/>
    <w:rsid w:val="009F7A47"/>
    <w:rsid w:val="00A01B36"/>
    <w:rsid w:val="00A043E6"/>
    <w:rsid w:val="00A05BEB"/>
    <w:rsid w:val="00A077B2"/>
    <w:rsid w:val="00A10340"/>
    <w:rsid w:val="00A12C80"/>
    <w:rsid w:val="00A14CA8"/>
    <w:rsid w:val="00A158E9"/>
    <w:rsid w:val="00A16297"/>
    <w:rsid w:val="00A1747F"/>
    <w:rsid w:val="00A24FD0"/>
    <w:rsid w:val="00A3491E"/>
    <w:rsid w:val="00A3713B"/>
    <w:rsid w:val="00A40849"/>
    <w:rsid w:val="00A42EC6"/>
    <w:rsid w:val="00A43091"/>
    <w:rsid w:val="00A4353B"/>
    <w:rsid w:val="00A43CC5"/>
    <w:rsid w:val="00A45CA7"/>
    <w:rsid w:val="00A45F16"/>
    <w:rsid w:val="00A468D0"/>
    <w:rsid w:val="00A50946"/>
    <w:rsid w:val="00A54C53"/>
    <w:rsid w:val="00A55BC7"/>
    <w:rsid w:val="00A56386"/>
    <w:rsid w:val="00A60E06"/>
    <w:rsid w:val="00A644B1"/>
    <w:rsid w:val="00A652A9"/>
    <w:rsid w:val="00A653B5"/>
    <w:rsid w:val="00A6555B"/>
    <w:rsid w:val="00A65E79"/>
    <w:rsid w:val="00A70CE5"/>
    <w:rsid w:val="00A710FE"/>
    <w:rsid w:val="00A7130A"/>
    <w:rsid w:val="00A713B2"/>
    <w:rsid w:val="00A71908"/>
    <w:rsid w:val="00A745D4"/>
    <w:rsid w:val="00A762DB"/>
    <w:rsid w:val="00A80261"/>
    <w:rsid w:val="00A815CC"/>
    <w:rsid w:val="00A8253E"/>
    <w:rsid w:val="00A82655"/>
    <w:rsid w:val="00A847B1"/>
    <w:rsid w:val="00A86135"/>
    <w:rsid w:val="00A864E3"/>
    <w:rsid w:val="00A86A77"/>
    <w:rsid w:val="00A9117A"/>
    <w:rsid w:val="00A97D2C"/>
    <w:rsid w:val="00AA1B94"/>
    <w:rsid w:val="00AA1C0A"/>
    <w:rsid w:val="00AA22A8"/>
    <w:rsid w:val="00AA4B68"/>
    <w:rsid w:val="00AB0947"/>
    <w:rsid w:val="00AD7DCF"/>
    <w:rsid w:val="00AE064A"/>
    <w:rsid w:val="00AE1670"/>
    <w:rsid w:val="00AE2390"/>
    <w:rsid w:val="00AE3098"/>
    <w:rsid w:val="00AE367C"/>
    <w:rsid w:val="00AE6063"/>
    <w:rsid w:val="00AE6B06"/>
    <w:rsid w:val="00AE6DD9"/>
    <w:rsid w:val="00AF29D1"/>
    <w:rsid w:val="00B00CB7"/>
    <w:rsid w:val="00B00F70"/>
    <w:rsid w:val="00B04FEC"/>
    <w:rsid w:val="00B0692E"/>
    <w:rsid w:val="00B11942"/>
    <w:rsid w:val="00B11B35"/>
    <w:rsid w:val="00B11DD9"/>
    <w:rsid w:val="00B14993"/>
    <w:rsid w:val="00B17975"/>
    <w:rsid w:val="00B21273"/>
    <w:rsid w:val="00B21FB8"/>
    <w:rsid w:val="00B223B0"/>
    <w:rsid w:val="00B22A85"/>
    <w:rsid w:val="00B22DA6"/>
    <w:rsid w:val="00B26953"/>
    <w:rsid w:val="00B2759C"/>
    <w:rsid w:val="00B27F04"/>
    <w:rsid w:val="00B31122"/>
    <w:rsid w:val="00B34174"/>
    <w:rsid w:val="00B3689D"/>
    <w:rsid w:val="00B4045A"/>
    <w:rsid w:val="00B40BD6"/>
    <w:rsid w:val="00B43D2A"/>
    <w:rsid w:val="00B45361"/>
    <w:rsid w:val="00B4693F"/>
    <w:rsid w:val="00B529E1"/>
    <w:rsid w:val="00B536B0"/>
    <w:rsid w:val="00B61701"/>
    <w:rsid w:val="00B66FEF"/>
    <w:rsid w:val="00B70169"/>
    <w:rsid w:val="00B75AB9"/>
    <w:rsid w:val="00B77AAC"/>
    <w:rsid w:val="00B80C48"/>
    <w:rsid w:val="00B859A9"/>
    <w:rsid w:val="00B87FC8"/>
    <w:rsid w:val="00B90984"/>
    <w:rsid w:val="00B909E5"/>
    <w:rsid w:val="00B90A0E"/>
    <w:rsid w:val="00B90E4A"/>
    <w:rsid w:val="00B92725"/>
    <w:rsid w:val="00B93AF4"/>
    <w:rsid w:val="00B94E54"/>
    <w:rsid w:val="00B9559C"/>
    <w:rsid w:val="00BA31FF"/>
    <w:rsid w:val="00BA363B"/>
    <w:rsid w:val="00BA781C"/>
    <w:rsid w:val="00BA7F77"/>
    <w:rsid w:val="00BB0BFA"/>
    <w:rsid w:val="00BB3233"/>
    <w:rsid w:val="00BB5FCA"/>
    <w:rsid w:val="00BB7731"/>
    <w:rsid w:val="00BB7BC6"/>
    <w:rsid w:val="00BC149F"/>
    <w:rsid w:val="00BC261A"/>
    <w:rsid w:val="00BC66DD"/>
    <w:rsid w:val="00BC72D8"/>
    <w:rsid w:val="00BD20A1"/>
    <w:rsid w:val="00BD4594"/>
    <w:rsid w:val="00BD5A27"/>
    <w:rsid w:val="00BD6ADD"/>
    <w:rsid w:val="00BE0F89"/>
    <w:rsid w:val="00BE135F"/>
    <w:rsid w:val="00BE56D6"/>
    <w:rsid w:val="00BE7221"/>
    <w:rsid w:val="00BF3EC4"/>
    <w:rsid w:val="00C00B5E"/>
    <w:rsid w:val="00C0169E"/>
    <w:rsid w:val="00C028AF"/>
    <w:rsid w:val="00C038D4"/>
    <w:rsid w:val="00C078D1"/>
    <w:rsid w:val="00C17A1F"/>
    <w:rsid w:val="00C223A0"/>
    <w:rsid w:val="00C250E6"/>
    <w:rsid w:val="00C27AE7"/>
    <w:rsid w:val="00C327EB"/>
    <w:rsid w:val="00C348DD"/>
    <w:rsid w:val="00C4006C"/>
    <w:rsid w:val="00C419E0"/>
    <w:rsid w:val="00C43543"/>
    <w:rsid w:val="00C46CEA"/>
    <w:rsid w:val="00C529F5"/>
    <w:rsid w:val="00C52F63"/>
    <w:rsid w:val="00C534CE"/>
    <w:rsid w:val="00C54634"/>
    <w:rsid w:val="00C549F9"/>
    <w:rsid w:val="00C552E0"/>
    <w:rsid w:val="00C559EA"/>
    <w:rsid w:val="00C609E9"/>
    <w:rsid w:val="00C63538"/>
    <w:rsid w:val="00C65900"/>
    <w:rsid w:val="00C70210"/>
    <w:rsid w:val="00C7105D"/>
    <w:rsid w:val="00C7475D"/>
    <w:rsid w:val="00C8123A"/>
    <w:rsid w:val="00C8275F"/>
    <w:rsid w:val="00C83085"/>
    <w:rsid w:val="00C8347C"/>
    <w:rsid w:val="00C83A95"/>
    <w:rsid w:val="00C840A1"/>
    <w:rsid w:val="00C8614C"/>
    <w:rsid w:val="00C865AE"/>
    <w:rsid w:val="00C9210E"/>
    <w:rsid w:val="00C92DE8"/>
    <w:rsid w:val="00C972D9"/>
    <w:rsid w:val="00C97F78"/>
    <w:rsid w:val="00CA3A3D"/>
    <w:rsid w:val="00CA6625"/>
    <w:rsid w:val="00CA7643"/>
    <w:rsid w:val="00CB08D3"/>
    <w:rsid w:val="00CB0B61"/>
    <w:rsid w:val="00CB10C6"/>
    <w:rsid w:val="00CB2ED5"/>
    <w:rsid w:val="00CB46C9"/>
    <w:rsid w:val="00CB5293"/>
    <w:rsid w:val="00CB7858"/>
    <w:rsid w:val="00CC191F"/>
    <w:rsid w:val="00CC1BE6"/>
    <w:rsid w:val="00CC6453"/>
    <w:rsid w:val="00CC7553"/>
    <w:rsid w:val="00CC769A"/>
    <w:rsid w:val="00CD3684"/>
    <w:rsid w:val="00CD6248"/>
    <w:rsid w:val="00CD65C2"/>
    <w:rsid w:val="00CD6CB1"/>
    <w:rsid w:val="00CE2F46"/>
    <w:rsid w:val="00CE4180"/>
    <w:rsid w:val="00CE4D7A"/>
    <w:rsid w:val="00CE6E79"/>
    <w:rsid w:val="00CE7B1A"/>
    <w:rsid w:val="00CF1BC9"/>
    <w:rsid w:val="00CF1C08"/>
    <w:rsid w:val="00CF3E6D"/>
    <w:rsid w:val="00CF5EA2"/>
    <w:rsid w:val="00CF62EA"/>
    <w:rsid w:val="00CF67B0"/>
    <w:rsid w:val="00CF6E95"/>
    <w:rsid w:val="00D000A5"/>
    <w:rsid w:val="00D018E8"/>
    <w:rsid w:val="00D03B3F"/>
    <w:rsid w:val="00D03DDF"/>
    <w:rsid w:val="00D03EA1"/>
    <w:rsid w:val="00D06361"/>
    <w:rsid w:val="00D11554"/>
    <w:rsid w:val="00D130F0"/>
    <w:rsid w:val="00D13A89"/>
    <w:rsid w:val="00D13B77"/>
    <w:rsid w:val="00D1428E"/>
    <w:rsid w:val="00D142F5"/>
    <w:rsid w:val="00D14477"/>
    <w:rsid w:val="00D14ADC"/>
    <w:rsid w:val="00D1531B"/>
    <w:rsid w:val="00D1711D"/>
    <w:rsid w:val="00D22120"/>
    <w:rsid w:val="00D243AE"/>
    <w:rsid w:val="00D26D96"/>
    <w:rsid w:val="00D32086"/>
    <w:rsid w:val="00D342E1"/>
    <w:rsid w:val="00D3700D"/>
    <w:rsid w:val="00D42ACC"/>
    <w:rsid w:val="00D44362"/>
    <w:rsid w:val="00D47682"/>
    <w:rsid w:val="00D54111"/>
    <w:rsid w:val="00D545C0"/>
    <w:rsid w:val="00D57506"/>
    <w:rsid w:val="00D5764D"/>
    <w:rsid w:val="00D5792A"/>
    <w:rsid w:val="00D63BB3"/>
    <w:rsid w:val="00D66094"/>
    <w:rsid w:val="00D67FAC"/>
    <w:rsid w:val="00D765A1"/>
    <w:rsid w:val="00D76CB3"/>
    <w:rsid w:val="00D7716A"/>
    <w:rsid w:val="00D77C28"/>
    <w:rsid w:val="00D81F35"/>
    <w:rsid w:val="00D82149"/>
    <w:rsid w:val="00D84397"/>
    <w:rsid w:val="00D84B76"/>
    <w:rsid w:val="00D907B7"/>
    <w:rsid w:val="00D91D48"/>
    <w:rsid w:val="00D93CB2"/>
    <w:rsid w:val="00D93CF4"/>
    <w:rsid w:val="00D943DF"/>
    <w:rsid w:val="00D94C49"/>
    <w:rsid w:val="00D9515D"/>
    <w:rsid w:val="00D955EB"/>
    <w:rsid w:val="00D97ECF"/>
    <w:rsid w:val="00DA2797"/>
    <w:rsid w:val="00DA2833"/>
    <w:rsid w:val="00DA3CF0"/>
    <w:rsid w:val="00DA51FE"/>
    <w:rsid w:val="00DB2C07"/>
    <w:rsid w:val="00DB4564"/>
    <w:rsid w:val="00DB60CA"/>
    <w:rsid w:val="00DC04A9"/>
    <w:rsid w:val="00DC0645"/>
    <w:rsid w:val="00DC0B7C"/>
    <w:rsid w:val="00DC28B5"/>
    <w:rsid w:val="00DC292F"/>
    <w:rsid w:val="00DD1C19"/>
    <w:rsid w:val="00DD4AD7"/>
    <w:rsid w:val="00DD54DA"/>
    <w:rsid w:val="00DD5641"/>
    <w:rsid w:val="00DE0940"/>
    <w:rsid w:val="00DE1050"/>
    <w:rsid w:val="00DE24C2"/>
    <w:rsid w:val="00DE3954"/>
    <w:rsid w:val="00DE5295"/>
    <w:rsid w:val="00DF145F"/>
    <w:rsid w:val="00DF27BE"/>
    <w:rsid w:val="00DF46E6"/>
    <w:rsid w:val="00DF5F24"/>
    <w:rsid w:val="00E015DC"/>
    <w:rsid w:val="00E0629E"/>
    <w:rsid w:val="00E10A63"/>
    <w:rsid w:val="00E11518"/>
    <w:rsid w:val="00E120DD"/>
    <w:rsid w:val="00E14611"/>
    <w:rsid w:val="00E21997"/>
    <w:rsid w:val="00E25415"/>
    <w:rsid w:val="00E25B41"/>
    <w:rsid w:val="00E26467"/>
    <w:rsid w:val="00E309E4"/>
    <w:rsid w:val="00E32F09"/>
    <w:rsid w:val="00E34B56"/>
    <w:rsid w:val="00E36951"/>
    <w:rsid w:val="00E40611"/>
    <w:rsid w:val="00E40C9A"/>
    <w:rsid w:val="00E421C8"/>
    <w:rsid w:val="00E4304D"/>
    <w:rsid w:val="00E464A5"/>
    <w:rsid w:val="00E53344"/>
    <w:rsid w:val="00E5375C"/>
    <w:rsid w:val="00E555C5"/>
    <w:rsid w:val="00E55697"/>
    <w:rsid w:val="00E56571"/>
    <w:rsid w:val="00E56807"/>
    <w:rsid w:val="00E57297"/>
    <w:rsid w:val="00E57485"/>
    <w:rsid w:val="00E576CA"/>
    <w:rsid w:val="00E6169C"/>
    <w:rsid w:val="00E638EC"/>
    <w:rsid w:val="00E64958"/>
    <w:rsid w:val="00E676BF"/>
    <w:rsid w:val="00E70F07"/>
    <w:rsid w:val="00E70F80"/>
    <w:rsid w:val="00E7159F"/>
    <w:rsid w:val="00E735FE"/>
    <w:rsid w:val="00E73E94"/>
    <w:rsid w:val="00E75F80"/>
    <w:rsid w:val="00E770B2"/>
    <w:rsid w:val="00E7797C"/>
    <w:rsid w:val="00E81A27"/>
    <w:rsid w:val="00E82667"/>
    <w:rsid w:val="00E82DA3"/>
    <w:rsid w:val="00E83659"/>
    <w:rsid w:val="00E85C2C"/>
    <w:rsid w:val="00E91061"/>
    <w:rsid w:val="00E91F73"/>
    <w:rsid w:val="00E929CD"/>
    <w:rsid w:val="00E938FA"/>
    <w:rsid w:val="00E9440A"/>
    <w:rsid w:val="00E975FA"/>
    <w:rsid w:val="00EA1062"/>
    <w:rsid w:val="00EA317C"/>
    <w:rsid w:val="00EA3AEC"/>
    <w:rsid w:val="00EA4AAA"/>
    <w:rsid w:val="00EA63EF"/>
    <w:rsid w:val="00EA710F"/>
    <w:rsid w:val="00EA7450"/>
    <w:rsid w:val="00EA77E3"/>
    <w:rsid w:val="00EB05DB"/>
    <w:rsid w:val="00EB0F22"/>
    <w:rsid w:val="00EB1545"/>
    <w:rsid w:val="00EB3F8F"/>
    <w:rsid w:val="00EB65F8"/>
    <w:rsid w:val="00EC5026"/>
    <w:rsid w:val="00EC6BC9"/>
    <w:rsid w:val="00ED2CB5"/>
    <w:rsid w:val="00ED6F6D"/>
    <w:rsid w:val="00ED7760"/>
    <w:rsid w:val="00EE0F52"/>
    <w:rsid w:val="00EE108A"/>
    <w:rsid w:val="00EE1162"/>
    <w:rsid w:val="00EE12A1"/>
    <w:rsid w:val="00EE2A84"/>
    <w:rsid w:val="00EF238D"/>
    <w:rsid w:val="00EF24DE"/>
    <w:rsid w:val="00EF33A3"/>
    <w:rsid w:val="00EF3D22"/>
    <w:rsid w:val="00EF4736"/>
    <w:rsid w:val="00EF4DC5"/>
    <w:rsid w:val="00EF5BB4"/>
    <w:rsid w:val="00EF5ECE"/>
    <w:rsid w:val="00EF6525"/>
    <w:rsid w:val="00F02BBA"/>
    <w:rsid w:val="00F03A35"/>
    <w:rsid w:val="00F042FC"/>
    <w:rsid w:val="00F06F0F"/>
    <w:rsid w:val="00F10373"/>
    <w:rsid w:val="00F126AF"/>
    <w:rsid w:val="00F138EC"/>
    <w:rsid w:val="00F14D5A"/>
    <w:rsid w:val="00F14DA5"/>
    <w:rsid w:val="00F2156E"/>
    <w:rsid w:val="00F23461"/>
    <w:rsid w:val="00F25853"/>
    <w:rsid w:val="00F25AE5"/>
    <w:rsid w:val="00F26FB9"/>
    <w:rsid w:val="00F3063B"/>
    <w:rsid w:val="00F322A9"/>
    <w:rsid w:val="00F32B56"/>
    <w:rsid w:val="00F34A47"/>
    <w:rsid w:val="00F35F11"/>
    <w:rsid w:val="00F3794D"/>
    <w:rsid w:val="00F416D0"/>
    <w:rsid w:val="00F43CD1"/>
    <w:rsid w:val="00F44C81"/>
    <w:rsid w:val="00F46E9A"/>
    <w:rsid w:val="00F5038D"/>
    <w:rsid w:val="00F51696"/>
    <w:rsid w:val="00F51B9B"/>
    <w:rsid w:val="00F51D73"/>
    <w:rsid w:val="00F54607"/>
    <w:rsid w:val="00F552D0"/>
    <w:rsid w:val="00F56E78"/>
    <w:rsid w:val="00F57EAB"/>
    <w:rsid w:val="00F62D86"/>
    <w:rsid w:val="00F637F2"/>
    <w:rsid w:val="00F65552"/>
    <w:rsid w:val="00F668F0"/>
    <w:rsid w:val="00F67962"/>
    <w:rsid w:val="00F70202"/>
    <w:rsid w:val="00F74831"/>
    <w:rsid w:val="00F752F0"/>
    <w:rsid w:val="00F764DC"/>
    <w:rsid w:val="00F764E4"/>
    <w:rsid w:val="00F76E80"/>
    <w:rsid w:val="00F824C6"/>
    <w:rsid w:val="00F82CB3"/>
    <w:rsid w:val="00F83A39"/>
    <w:rsid w:val="00F8543F"/>
    <w:rsid w:val="00F863B1"/>
    <w:rsid w:val="00F86886"/>
    <w:rsid w:val="00F86F42"/>
    <w:rsid w:val="00F86F8F"/>
    <w:rsid w:val="00F909F8"/>
    <w:rsid w:val="00F930ED"/>
    <w:rsid w:val="00F9311A"/>
    <w:rsid w:val="00F93D43"/>
    <w:rsid w:val="00F94DC6"/>
    <w:rsid w:val="00F9606A"/>
    <w:rsid w:val="00FA05F0"/>
    <w:rsid w:val="00FA0E06"/>
    <w:rsid w:val="00FA167E"/>
    <w:rsid w:val="00FA1B56"/>
    <w:rsid w:val="00FA29DD"/>
    <w:rsid w:val="00FA41FC"/>
    <w:rsid w:val="00FA475B"/>
    <w:rsid w:val="00FB0478"/>
    <w:rsid w:val="00FB1BB0"/>
    <w:rsid w:val="00FB2CE8"/>
    <w:rsid w:val="00FB4DA0"/>
    <w:rsid w:val="00FB51B8"/>
    <w:rsid w:val="00FB7A2C"/>
    <w:rsid w:val="00FB7A57"/>
    <w:rsid w:val="00FC4041"/>
    <w:rsid w:val="00FC58BF"/>
    <w:rsid w:val="00FC7C27"/>
    <w:rsid w:val="00FD1BCF"/>
    <w:rsid w:val="00FD38C7"/>
    <w:rsid w:val="00FD3B84"/>
    <w:rsid w:val="00FD4232"/>
    <w:rsid w:val="00FD502D"/>
    <w:rsid w:val="00FD55B1"/>
    <w:rsid w:val="00FD71E6"/>
    <w:rsid w:val="00FD789C"/>
    <w:rsid w:val="00FE3C9F"/>
    <w:rsid w:val="00FE4AA4"/>
    <w:rsid w:val="00FE6202"/>
    <w:rsid w:val="00FE76EC"/>
    <w:rsid w:val="00FF1114"/>
    <w:rsid w:val="00FF1F7D"/>
    <w:rsid w:val="00FF4F7D"/>
    <w:rsid w:val="00FF680C"/>
    <w:rsid w:val="00FF6976"/>
    <w:rsid w:val="06A90370"/>
    <w:rsid w:val="09466655"/>
    <w:rsid w:val="0BC26BA4"/>
    <w:rsid w:val="27A877A0"/>
    <w:rsid w:val="28850C90"/>
    <w:rsid w:val="29A656F7"/>
    <w:rsid w:val="29B03B64"/>
    <w:rsid w:val="2B357971"/>
    <w:rsid w:val="3BAE1BDB"/>
    <w:rsid w:val="52BF714B"/>
    <w:rsid w:val="53C76390"/>
    <w:rsid w:val="55770A92"/>
    <w:rsid w:val="59E330F2"/>
    <w:rsid w:val="61E24A7E"/>
    <w:rsid w:val="6CA837AD"/>
    <w:rsid w:val="6CE81868"/>
    <w:rsid w:val="6E0A604B"/>
    <w:rsid w:val="71E56599"/>
    <w:rsid w:val="71F75576"/>
    <w:rsid w:val="775739BD"/>
    <w:rsid w:val="7DBE02B8"/>
    <w:rsid w:val="7EF127D4"/>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A66A84D4-DDCF-4A2A-80A4-28148332E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uiPriority="60" w:qFormat="1"/>
    <w:lsdException w:name="Light List" w:uiPriority="61"/>
    <w:lsdException w:name="Light Grid" w:uiPriority="62" w:qFormat="1"/>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qFormat="1"/>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har"/>
    <w:uiPriority w:val="9"/>
    <w:qFormat/>
    <w:pPr>
      <w:keepNext/>
      <w:keepLines/>
      <w:spacing w:before="240" w:after="0"/>
      <w:outlineLvl w:val="0"/>
    </w:pPr>
    <w:rPr>
      <w:rFonts w:ascii="Swis721 Th BT" w:eastAsiaTheme="majorEastAsia" w:hAnsi="Swis721 Th BT" w:cstheme="majorBidi"/>
      <w:b/>
      <w:color w:val="00B050"/>
      <w:sz w:val="60"/>
      <w:szCs w:val="32"/>
    </w:rPr>
  </w:style>
  <w:style w:type="paragraph" w:styleId="Ttulo2">
    <w:name w:val="heading 2"/>
    <w:basedOn w:val="Normal"/>
    <w:next w:val="Normal"/>
    <w:link w:val="Ttulo2Char"/>
    <w:uiPriority w:val="9"/>
    <w:unhideWhenUsed/>
    <w:qFormat/>
    <w:pPr>
      <w:keepNext/>
      <w:keepLines/>
      <w:spacing w:before="40" w:after="0"/>
      <w:jc w:val="center"/>
      <w:outlineLvl w:val="1"/>
    </w:pPr>
    <w:rPr>
      <w:rFonts w:ascii="Swis721 Th BT" w:eastAsiaTheme="majorEastAsia" w:hAnsi="Swis721 Th BT" w:cstheme="majorBidi"/>
      <w:b/>
      <w:color w:val="0070C0"/>
      <w:sz w:val="40"/>
      <w:szCs w:val="26"/>
    </w:rPr>
  </w:style>
  <w:style w:type="paragraph" w:styleId="Ttulo3">
    <w:name w:val="heading 3"/>
    <w:basedOn w:val="Normal"/>
    <w:next w:val="Normal"/>
    <w:link w:val="Ttulo3Char"/>
    <w:uiPriority w:val="9"/>
    <w:semiHidden/>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Ttulo4">
    <w:name w:val="heading 4"/>
    <w:basedOn w:val="Normal"/>
    <w:next w:val="Normal"/>
    <w:link w:val="Ttulo4Char"/>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qFormat/>
    <w:pPr>
      <w:spacing w:after="0" w:line="240" w:lineRule="auto"/>
    </w:pPr>
    <w:rPr>
      <w:rFonts w:ascii="Segoe UI" w:hAnsi="Segoe UI" w:cs="Segoe UI"/>
      <w:sz w:val="18"/>
      <w:szCs w:val="18"/>
    </w:rPr>
  </w:style>
  <w:style w:type="paragraph" w:styleId="Corpodetexto">
    <w:name w:val="Body Text"/>
    <w:basedOn w:val="Normal"/>
    <w:link w:val="CorpodetextoChar"/>
    <w:semiHidden/>
    <w:qFormat/>
    <w:pPr>
      <w:keepNext/>
      <w:spacing w:after="0" w:line="240" w:lineRule="auto"/>
      <w:jc w:val="both"/>
    </w:pPr>
    <w:rPr>
      <w:rFonts w:ascii="Verdana" w:eastAsia="Times New Roman" w:hAnsi="Verdana" w:cs="Times New Roman"/>
      <w:sz w:val="20"/>
      <w:szCs w:val="24"/>
      <w:lang w:eastAsia="pt-BR"/>
    </w:rPr>
  </w:style>
  <w:style w:type="paragraph" w:styleId="Corpodetexto2">
    <w:name w:val="Body Text 2"/>
    <w:basedOn w:val="Normal"/>
    <w:link w:val="Corpodetexto2Char"/>
    <w:semiHidden/>
    <w:qFormat/>
    <w:pPr>
      <w:spacing w:after="0" w:line="240" w:lineRule="auto"/>
      <w:jc w:val="both"/>
    </w:pPr>
    <w:rPr>
      <w:rFonts w:ascii="Verdana" w:eastAsia="Times New Roman" w:hAnsi="Verdana" w:cs="Times New Roman"/>
      <w:b/>
      <w:bCs/>
      <w:i/>
      <w:iCs/>
      <w:szCs w:val="24"/>
      <w:lang w:eastAsia="pt-BR"/>
    </w:rPr>
  </w:style>
  <w:style w:type="character" w:styleId="Refdecomentrio">
    <w:name w:val="annotation reference"/>
    <w:basedOn w:val="Fontepargpadro"/>
    <w:autoRedefine/>
    <w:uiPriority w:val="99"/>
    <w:semiHidden/>
    <w:unhideWhenUsed/>
    <w:qFormat/>
    <w:rPr>
      <w:sz w:val="16"/>
      <w:szCs w:val="16"/>
    </w:rPr>
  </w:style>
  <w:style w:type="paragraph" w:styleId="Textodecomentrio">
    <w:name w:val="annotation text"/>
    <w:basedOn w:val="Normal"/>
    <w:autoRedefine/>
    <w:uiPriority w:val="99"/>
    <w:semiHidden/>
    <w:unhideWhenUsed/>
    <w:qFormat/>
  </w:style>
  <w:style w:type="character" w:styleId="nfase">
    <w:name w:val="Emphasis"/>
    <w:basedOn w:val="Fontepargpadro"/>
    <w:autoRedefine/>
    <w:uiPriority w:val="20"/>
    <w:qFormat/>
    <w:rPr>
      <w:i/>
      <w:iCs/>
    </w:rPr>
  </w:style>
  <w:style w:type="paragraph" w:styleId="Rodap">
    <w:name w:val="footer"/>
    <w:basedOn w:val="Normal"/>
    <w:link w:val="RodapChar"/>
    <w:autoRedefine/>
    <w:uiPriority w:val="99"/>
    <w:unhideWhenUsed/>
    <w:qFormat/>
    <w:pPr>
      <w:tabs>
        <w:tab w:val="center" w:pos="4252"/>
        <w:tab w:val="right" w:pos="8504"/>
      </w:tabs>
      <w:spacing w:after="0" w:line="240" w:lineRule="auto"/>
    </w:pPr>
  </w:style>
  <w:style w:type="paragraph" w:styleId="Cabealho">
    <w:name w:val="header"/>
    <w:basedOn w:val="Normal"/>
    <w:link w:val="CabealhoChar"/>
    <w:autoRedefine/>
    <w:unhideWhenUsed/>
    <w:qFormat/>
    <w:pPr>
      <w:tabs>
        <w:tab w:val="center" w:pos="4252"/>
        <w:tab w:val="right" w:pos="8504"/>
      </w:tabs>
      <w:spacing w:after="0" w:line="240" w:lineRule="auto"/>
    </w:pPr>
  </w:style>
  <w:style w:type="character" w:styleId="Hyperlink">
    <w:name w:val="Hyperlink"/>
    <w:basedOn w:val="Fontepargpadro"/>
    <w:autoRedefine/>
    <w:uiPriority w:val="99"/>
    <w:unhideWhenUsed/>
    <w:qFormat/>
    <w:rPr>
      <w:color w:val="0563C1" w:themeColor="hyperlink"/>
      <w:u w:val="single"/>
    </w:rPr>
  </w:style>
  <w:style w:type="paragraph" w:styleId="NormalWeb">
    <w:name w:val="Normal (Web)"/>
    <w:basedOn w:val="Normal"/>
    <w:autoRedefine/>
    <w:uiPriority w:val="99"/>
    <w:qFormat/>
    <w:pPr>
      <w:spacing w:before="100" w:beforeAutospacing="1" w:after="100" w:afterAutospacing="1" w:line="240" w:lineRule="auto"/>
    </w:pPr>
    <w:rPr>
      <w:rFonts w:ascii="Arial Unicode MS" w:eastAsia="Arial Unicode MS" w:hAnsi="Arial Unicode MS" w:cs="Arial Unicode MS"/>
      <w:sz w:val="20"/>
      <w:szCs w:val="20"/>
      <w:lang w:eastAsia="ja-JP"/>
    </w:rPr>
  </w:style>
  <w:style w:type="character" w:styleId="Forte">
    <w:name w:val="Strong"/>
    <w:basedOn w:val="Fontepargpadro"/>
    <w:autoRedefine/>
    <w:qFormat/>
    <w:rPr>
      <w:b/>
      <w:bCs/>
    </w:rPr>
  </w:style>
  <w:style w:type="paragraph" w:styleId="Subttulo">
    <w:name w:val="Subtitle"/>
    <w:basedOn w:val="Normal"/>
    <w:next w:val="Normal"/>
    <w:link w:val="SubttuloChar"/>
    <w:autoRedefine/>
    <w:uiPriority w:val="11"/>
    <w:qFormat/>
    <w:pPr>
      <w:spacing w:after="200" w:line="276" w:lineRule="auto"/>
    </w:pPr>
    <w:rPr>
      <w:rFonts w:ascii="Futura Md BT" w:eastAsiaTheme="majorEastAsia" w:hAnsi="Futura Md BT" w:cstheme="majorBidi"/>
      <w:b/>
      <w:iCs/>
      <w:color w:val="28623E"/>
      <w:spacing w:val="15"/>
      <w:sz w:val="24"/>
      <w:szCs w:val="24"/>
    </w:rPr>
  </w:style>
  <w:style w:type="table" w:styleId="Tabelacomgrade">
    <w:name w:val="Table Grid"/>
    <w:basedOn w:val="Tabelanormal"/>
    <w:autoRedefine/>
    <w:uiPriority w:val="59"/>
    <w:qFormat/>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har"/>
    <w:autoRedefine/>
    <w:uiPriority w:val="10"/>
    <w:qFormat/>
    <w:pPr>
      <w:spacing w:after="0" w:line="240" w:lineRule="auto"/>
      <w:contextualSpacing/>
    </w:pPr>
    <w:rPr>
      <w:rFonts w:ascii="Swis721 Th BT" w:eastAsiaTheme="majorEastAsia" w:hAnsi="Swis721 Th BT" w:cstheme="majorBidi"/>
      <w:color w:val="00B050"/>
      <w:spacing w:val="-10"/>
      <w:kern w:val="28"/>
      <w:sz w:val="60"/>
      <w:szCs w:val="56"/>
    </w:rPr>
  </w:style>
  <w:style w:type="paragraph" w:styleId="Sumrio1">
    <w:name w:val="toc 1"/>
    <w:basedOn w:val="Normal"/>
    <w:next w:val="Normal"/>
    <w:autoRedefine/>
    <w:uiPriority w:val="39"/>
    <w:unhideWhenUsed/>
    <w:qFormat/>
    <w:pPr>
      <w:spacing w:after="100"/>
    </w:pPr>
  </w:style>
  <w:style w:type="paragraph" w:styleId="Sumrio2">
    <w:name w:val="toc 2"/>
    <w:basedOn w:val="Normal"/>
    <w:next w:val="Normal"/>
    <w:autoRedefine/>
    <w:uiPriority w:val="39"/>
    <w:unhideWhenUsed/>
    <w:qFormat/>
    <w:pPr>
      <w:spacing w:after="100"/>
      <w:ind w:left="220"/>
    </w:pPr>
  </w:style>
  <w:style w:type="paragraph" w:styleId="Sumrio3">
    <w:name w:val="toc 3"/>
    <w:basedOn w:val="Normal"/>
    <w:next w:val="Normal"/>
    <w:autoRedefine/>
    <w:uiPriority w:val="39"/>
    <w:unhideWhenUsed/>
    <w:qFormat/>
    <w:pPr>
      <w:spacing w:after="100"/>
      <w:ind w:left="440"/>
    </w:pPr>
    <w:rPr>
      <w:rFonts w:eastAsiaTheme="minorEastAsia"/>
      <w:lang w:eastAsia="pt-BR"/>
    </w:rPr>
  </w:style>
  <w:style w:type="paragraph" w:styleId="Sumrio4">
    <w:name w:val="toc 4"/>
    <w:basedOn w:val="Normal"/>
    <w:next w:val="Normal"/>
    <w:autoRedefine/>
    <w:uiPriority w:val="39"/>
    <w:unhideWhenUsed/>
    <w:qFormat/>
    <w:pPr>
      <w:spacing w:after="100"/>
      <w:ind w:left="660"/>
    </w:pPr>
    <w:rPr>
      <w:rFonts w:eastAsiaTheme="minorEastAsia"/>
      <w:lang w:eastAsia="pt-BR"/>
    </w:rPr>
  </w:style>
  <w:style w:type="paragraph" w:styleId="Sumrio5">
    <w:name w:val="toc 5"/>
    <w:basedOn w:val="Normal"/>
    <w:next w:val="Normal"/>
    <w:autoRedefine/>
    <w:uiPriority w:val="39"/>
    <w:unhideWhenUsed/>
    <w:qFormat/>
    <w:pPr>
      <w:spacing w:after="100"/>
      <w:ind w:left="880"/>
    </w:pPr>
    <w:rPr>
      <w:rFonts w:eastAsiaTheme="minorEastAsia"/>
      <w:lang w:eastAsia="pt-BR"/>
    </w:rPr>
  </w:style>
  <w:style w:type="paragraph" w:styleId="Sumrio6">
    <w:name w:val="toc 6"/>
    <w:basedOn w:val="Normal"/>
    <w:next w:val="Normal"/>
    <w:autoRedefine/>
    <w:uiPriority w:val="39"/>
    <w:unhideWhenUsed/>
    <w:qFormat/>
    <w:pPr>
      <w:spacing w:after="100"/>
      <w:ind w:left="1100"/>
    </w:pPr>
    <w:rPr>
      <w:rFonts w:eastAsiaTheme="minorEastAsia"/>
      <w:lang w:eastAsia="pt-BR"/>
    </w:rPr>
  </w:style>
  <w:style w:type="paragraph" w:styleId="Sumrio7">
    <w:name w:val="toc 7"/>
    <w:basedOn w:val="Normal"/>
    <w:next w:val="Normal"/>
    <w:autoRedefine/>
    <w:uiPriority w:val="39"/>
    <w:unhideWhenUsed/>
    <w:qFormat/>
    <w:pPr>
      <w:spacing w:after="100"/>
      <w:ind w:left="1320"/>
    </w:pPr>
    <w:rPr>
      <w:rFonts w:eastAsiaTheme="minorEastAsia"/>
      <w:lang w:eastAsia="pt-BR"/>
    </w:rPr>
  </w:style>
  <w:style w:type="paragraph" w:styleId="Sumrio8">
    <w:name w:val="toc 8"/>
    <w:basedOn w:val="Normal"/>
    <w:next w:val="Normal"/>
    <w:autoRedefine/>
    <w:uiPriority w:val="39"/>
    <w:unhideWhenUsed/>
    <w:qFormat/>
    <w:pPr>
      <w:spacing w:after="100"/>
      <w:ind w:left="1540"/>
    </w:pPr>
    <w:rPr>
      <w:rFonts w:eastAsiaTheme="minorEastAsia"/>
      <w:lang w:eastAsia="pt-BR"/>
    </w:rPr>
  </w:style>
  <w:style w:type="paragraph" w:styleId="Sumrio9">
    <w:name w:val="toc 9"/>
    <w:basedOn w:val="Normal"/>
    <w:next w:val="Normal"/>
    <w:autoRedefine/>
    <w:uiPriority w:val="39"/>
    <w:unhideWhenUsed/>
    <w:qFormat/>
    <w:pPr>
      <w:spacing w:after="100"/>
      <w:ind w:left="1760"/>
    </w:pPr>
    <w:rPr>
      <w:rFonts w:eastAsiaTheme="minorEastAsia"/>
      <w:lang w:eastAsia="pt-BR"/>
    </w:rPr>
  </w:style>
  <w:style w:type="table" w:styleId="SombreamentoClaro">
    <w:name w:val="Light Shading"/>
    <w:basedOn w:val="Tabelanormal"/>
    <w:autoRedefine/>
    <w:uiPriority w:val="60"/>
    <w:qFormat/>
    <w:rPr>
      <w:rFonts w:eastAsia="MS Mincho"/>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radeClara">
    <w:name w:val="Light Grid"/>
    <w:basedOn w:val="Tabelanormal"/>
    <w:autoRedefine/>
    <w:uiPriority w:val="62"/>
    <w:qFormat/>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SombreamentoMdio1-nfase1">
    <w:name w:val="Medium Shading 1 Accent 1"/>
    <w:basedOn w:val="Tabelanormal"/>
    <w:autoRedefine/>
    <w:uiPriority w:val="63"/>
    <w:qFormat/>
    <w:tblPr>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character" w:customStyle="1" w:styleId="Ttulo1Char">
    <w:name w:val="Título 1 Char"/>
    <w:basedOn w:val="Fontepargpadro"/>
    <w:link w:val="Ttulo1"/>
    <w:uiPriority w:val="9"/>
    <w:qFormat/>
    <w:rPr>
      <w:rFonts w:ascii="Swis721 Th BT" w:eastAsiaTheme="majorEastAsia" w:hAnsi="Swis721 Th BT" w:cstheme="majorBidi"/>
      <w:b/>
      <w:color w:val="00B050"/>
      <w:sz w:val="60"/>
      <w:szCs w:val="32"/>
    </w:rPr>
  </w:style>
  <w:style w:type="character" w:customStyle="1" w:styleId="Ttulo2Char">
    <w:name w:val="Título 2 Char"/>
    <w:basedOn w:val="Fontepargpadro"/>
    <w:link w:val="Ttulo2"/>
    <w:uiPriority w:val="9"/>
    <w:qFormat/>
    <w:rPr>
      <w:rFonts w:ascii="Swis721 Th BT" w:eastAsiaTheme="majorEastAsia" w:hAnsi="Swis721 Th BT" w:cstheme="majorBidi"/>
      <w:b/>
      <w:color w:val="0070C0"/>
      <w:sz w:val="40"/>
      <w:szCs w:val="26"/>
    </w:rPr>
  </w:style>
  <w:style w:type="paragraph" w:customStyle="1" w:styleId="Subtitulocorpo">
    <w:name w:val="Subtitulo_corpo"/>
    <w:basedOn w:val="Normal"/>
    <w:link w:val="SubtitulocorpoChar"/>
    <w:qFormat/>
    <w:pPr>
      <w:spacing w:after="0" w:line="240" w:lineRule="auto"/>
      <w:jc w:val="center"/>
    </w:pPr>
    <w:rPr>
      <w:rFonts w:ascii="Swis721 Th BT" w:eastAsia="MS Mincho" w:hAnsi="Swis721 Th BT"/>
      <w:b/>
      <w:color w:val="0070C0"/>
      <w:sz w:val="40"/>
    </w:rPr>
  </w:style>
  <w:style w:type="character" w:customStyle="1" w:styleId="SubtitulocorpoChar">
    <w:name w:val="Subtitulo_corpo Char"/>
    <w:basedOn w:val="Fontepargpadro"/>
    <w:link w:val="Subtitulocorpo"/>
    <w:qFormat/>
    <w:rPr>
      <w:rFonts w:ascii="Swis721 Th BT" w:eastAsia="MS Mincho" w:hAnsi="Swis721 Th BT"/>
      <w:b/>
      <w:color w:val="0070C0"/>
      <w:sz w:val="40"/>
    </w:rPr>
  </w:style>
  <w:style w:type="paragraph" w:customStyle="1" w:styleId="Corpo">
    <w:name w:val="Corpo"/>
    <w:basedOn w:val="Normal"/>
    <w:link w:val="CorpoChar"/>
    <w:qFormat/>
    <w:pPr>
      <w:spacing w:after="20" w:line="240" w:lineRule="auto"/>
      <w:jc w:val="both"/>
    </w:pPr>
    <w:rPr>
      <w:rFonts w:ascii="Swis721 Th BT" w:eastAsia="MS Mincho" w:hAnsi="Swis721 Th BT"/>
      <w:color w:val="404040" w:themeColor="text1" w:themeTint="BF"/>
      <w:sz w:val="23"/>
      <w:szCs w:val="24"/>
    </w:rPr>
  </w:style>
  <w:style w:type="character" w:customStyle="1" w:styleId="CorpoChar">
    <w:name w:val="Corpo Char"/>
    <w:basedOn w:val="Fontepargpadro"/>
    <w:link w:val="Corpo"/>
    <w:qFormat/>
    <w:rPr>
      <w:rFonts w:ascii="Swis721 Th BT" w:eastAsia="MS Mincho" w:hAnsi="Swis721 Th BT"/>
      <w:color w:val="404040" w:themeColor="text1" w:themeTint="BF"/>
      <w:sz w:val="23"/>
      <w:szCs w:val="24"/>
    </w:rPr>
  </w:style>
  <w:style w:type="paragraph" w:customStyle="1" w:styleId="CabealhodoSumrio1">
    <w:name w:val="Cabeçalho do Sumário1"/>
    <w:basedOn w:val="Ttulo1"/>
    <w:next w:val="Normal"/>
    <w:uiPriority w:val="39"/>
    <w:unhideWhenUsed/>
    <w:qFormat/>
    <w:pPr>
      <w:outlineLvl w:val="9"/>
    </w:pPr>
    <w:rPr>
      <w:lang w:eastAsia="pt-BR"/>
    </w:rPr>
  </w:style>
  <w:style w:type="paragraph" w:styleId="PargrafodaLista">
    <w:name w:val="List Paragraph"/>
    <w:basedOn w:val="Normal"/>
    <w:uiPriority w:val="34"/>
    <w:qFormat/>
    <w:pPr>
      <w:ind w:left="720"/>
      <w:contextualSpacing/>
    </w:p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qFormat/>
  </w:style>
  <w:style w:type="paragraph" w:customStyle="1" w:styleId="referencias">
    <w:name w:val="referencias"/>
    <w:basedOn w:val="Normal"/>
    <w:link w:val="referenciasChar"/>
    <w:qFormat/>
    <w:pPr>
      <w:spacing w:after="200" w:line="276" w:lineRule="auto"/>
    </w:pPr>
    <w:rPr>
      <w:rFonts w:ascii="Swis721 Th BT" w:eastAsia="MS Mincho" w:hAnsi="Swis721 Th BT"/>
      <w:b/>
      <w:color w:val="339966"/>
      <w:sz w:val="12"/>
      <w:szCs w:val="12"/>
    </w:rPr>
  </w:style>
  <w:style w:type="character" w:customStyle="1" w:styleId="referenciasChar">
    <w:name w:val="referencias Char"/>
    <w:basedOn w:val="Fontepargpadro"/>
    <w:link w:val="referencias"/>
    <w:qFormat/>
    <w:rPr>
      <w:rFonts w:ascii="Swis721 Th BT" w:eastAsia="MS Mincho" w:hAnsi="Swis721 Th BT"/>
      <w:b/>
      <w:color w:val="339966"/>
      <w:sz w:val="12"/>
      <w:szCs w:val="12"/>
    </w:rPr>
  </w:style>
  <w:style w:type="paragraph" w:customStyle="1" w:styleId="formulas">
    <w:name w:val="formulas"/>
    <w:basedOn w:val="Normal"/>
    <w:link w:val="formulasChar"/>
    <w:qFormat/>
    <w:pPr>
      <w:tabs>
        <w:tab w:val="right" w:leader="dot" w:pos="3715"/>
      </w:tabs>
      <w:spacing w:after="20" w:line="240" w:lineRule="auto"/>
      <w:jc w:val="both"/>
    </w:pPr>
    <w:rPr>
      <w:rFonts w:ascii="Futura Md BT" w:eastAsia="MS Mincho" w:hAnsi="Futura Md BT"/>
      <w:b/>
      <w:color w:val="404040" w:themeColor="text1" w:themeTint="BF"/>
      <w:sz w:val="23"/>
      <w:szCs w:val="24"/>
    </w:rPr>
  </w:style>
  <w:style w:type="character" w:customStyle="1" w:styleId="formulasChar">
    <w:name w:val="formulas Char"/>
    <w:basedOn w:val="Fontepargpadro"/>
    <w:link w:val="formulas"/>
    <w:qFormat/>
    <w:rPr>
      <w:rFonts w:ascii="Futura Md BT" w:eastAsia="MS Mincho" w:hAnsi="Futura Md BT"/>
      <w:b/>
      <w:color w:val="404040" w:themeColor="text1" w:themeTint="BF"/>
      <w:sz w:val="23"/>
      <w:szCs w:val="24"/>
    </w:rPr>
  </w:style>
  <w:style w:type="table" w:customStyle="1" w:styleId="SombreamentoClaro-nfase14">
    <w:name w:val="Sombreamento Claro - Ênfase 14"/>
    <w:basedOn w:val="Tabelanormal"/>
    <w:uiPriority w:val="60"/>
    <w:qFormat/>
    <w:rPr>
      <w:rFonts w:eastAsia="MS Mincho"/>
      <w:color w:val="2E74B5" w:themeColor="accent1" w:themeShade="BF"/>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Titulo">
    <w:name w:val="Titulo"/>
    <w:basedOn w:val="Normal"/>
    <w:link w:val="TituloChar"/>
    <w:qFormat/>
    <w:pPr>
      <w:spacing w:after="40" w:line="240" w:lineRule="auto"/>
    </w:pPr>
    <w:rPr>
      <w:rFonts w:ascii="Swis721 Th BT" w:eastAsia="MS Mincho" w:hAnsi="Swis721 Th BT"/>
      <w:color w:val="339966"/>
      <w:sz w:val="60"/>
    </w:rPr>
  </w:style>
  <w:style w:type="character" w:customStyle="1" w:styleId="TituloChar">
    <w:name w:val="Titulo Char"/>
    <w:basedOn w:val="Fontepargpadro"/>
    <w:link w:val="Titulo"/>
    <w:qFormat/>
    <w:rPr>
      <w:rFonts w:ascii="Swis721 Th BT" w:eastAsia="MS Mincho" w:hAnsi="Swis721 Th BT"/>
      <w:color w:val="339966"/>
      <w:sz w:val="60"/>
    </w:rPr>
  </w:style>
  <w:style w:type="character" w:customStyle="1" w:styleId="SubttuloChar">
    <w:name w:val="Subtítulo Char"/>
    <w:basedOn w:val="Fontepargpadro"/>
    <w:link w:val="Subttulo"/>
    <w:uiPriority w:val="11"/>
    <w:qFormat/>
    <w:rPr>
      <w:rFonts w:ascii="Futura Md BT" w:eastAsiaTheme="majorEastAsia" w:hAnsi="Futura Md BT" w:cstheme="majorBidi"/>
      <w:b/>
      <w:iCs/>
      <w:color w:val="28623E"/>
      <w:spacing w:val="15"/>
      <w:sz w:val="24"/>
      <w:szCs w:val="24"/>
    </w:rPr>
  </w:style>
  <w:style w:type="character" w:customStyle="1" w:styleId="apple-converted-space">
    <w:name w:val="apple-converted-space"/>
    <w:basedOn w:val="Fontepargpadro"/>
    <w:qFormat/>
  </w:style>
  <w:style w:type="paragraph" w:styleId="SemEspaamento">
    <w:name w:val="No Spacing"/>
    <w:uiPriority w:val="1"/>
    <w:qFormat/>
    <w:rPr>
      <w:rFonts w:asciiTheme="minorHAnsi" w:eastAsiaTheme="minorHAnsi" w:hAnsiTheme="minorHAnsi" w:cstheme="minorBidi"/>
      <w:sz w:val="22"/>
      <w:szCs w:val="22"/>
      <w:lang w:eastAsia="en-US"/>
    </w:rPr>
  </w:style>
  <w:style w:type="table" w:customStyle="1" w:styleId="TabelaSimples51">
    <w:name w:val="Tabela Simples 51"/>
    <w:basedOn w:val="Tabelanormal"/>
    <w:uiPriority w:val="45"/>
    <w:qFormat/>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bibliografia">
    <w:name w:val="bibliografia"/>
    <w:basedOn w:val="formulas"/>
    <w:link w:val="bibliografiaChar"/>
    <w:qFormat/>
    <w:rPr>
      <w:rFonts w:ascii="Swis721 Th BT" w:hAnsi="Swis721 Th BT"/>
      <w:b w:val="0"/>
      <w:color w:val="595959" w:themeColor="text1" w:themeTint="A6"/>
      <w:sz w:val="12"/>
      <w:szCs w:val="16"/>
      <w:lang w:val="en-US"/>
    </w:rPr>
  </w:style>
  <w:style w:type="character" w:customStyle="1" w:styleId="bibliografiaChar">
    <w:name w:val="bibliografia Char"/>
    <w:basedOn w:val="formulasChar"/>
    <w:link w:val="bibliografia"/>
    <w:rPr>
      <w:rFonts w:ascii="Swis721 Th BT" w:eastAsia="MS Mincho" w:hAnsi="Swis721 Th BT"/>
      <w:b w:val="0"/>
      <w:color w:val="595959" w:themeColor="text1" w:themeTint="A6"/>
      <w:sz w:val="12"/>
      <w:szCs w:val="16"/>
      <w:lang w:val="en-US"/>
    </w:rPr>
  </w:style>
  <w:style w:type="paragraph" w:customStyle="1" w:styleId="subsubtitulo">
    <w:name w:val="sub subtitulo"/>
    <w:basedOn w:val="Normal"/>
    <w:link w:val="subsubtituloChar"/>
    <w:qFormat/>
    <w:pPr>
      <w:spacing w:after="200" w:line="276" w:lineRule="auto"/>
    </w:pPr>
    <w:rPr>
      <w:color w:val="457B57"/>
    </w:rPr>
  </w:style>
  <w:style w:type="character" w:customStyle="1" w:styleId="subsubtituloChar">
    <w:name w:val="sub subtitulo Char"/>
    <w:basedOn w:val="Fontepargpadro"/>
    <w:link w:val="subsubtitulo"/>
    <w:qFormat/>
    <w:rPr>
      <w:color w:val="457B57"/>
    </w:rPr>
  </w:style>
  <w:style w:type="table" w:customStyle="1" w:styleId="TabeladeGradeClara1">
    <w:name w:val="Tabela de Grade Clara1"/>
    <w:basedOn w:val="Tabelanormal"/>
    <w:uiPriority w:val="40"/>
    <w:qFormat/>
    <w:rPr>
      <w:rFonts w:eastAsia="MS Minch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ombreamentoClaro-nfase12">
    <w:name w:val="Sombreamento Claro - Ênfase 12"/>
    <w:basedOn w:val="Tabelanormal"/>
    <w:uiPriority w:val="60"/>
    <w:qFormat/>
    <w:rPr>
      <w:color w:val="2E74B5" w:themeColor="accent1" w:themeShade="BF"/>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mo">
    <w:name w:val="mo"/>
    <w:basedOn w:val="Fontepargpadro"/>
  </w:style>
  <w:style w:type="character" w:customStyle="1" w:styleId="TextodebaloChar">
    <w:name w:val="Texto de balão Char"/>
    <w:basedOn w:val="Fontepargpadro"/>
    <w:link w:val="Textodebalo"/>
    <w:uiPriority w:val="99"/>
    <w:semiHidden/>
    <w:rPr>
      <w:rFonts w:ascii="Segoe UI" w:hAnsi="Segoe UI" w:cs="Segoe UI"/>
      <w:sz w:val="18"/>
      <w:szCs w:val="18"/>
    </w:rPr>
  </w:style>
  <w:style w:type="character" w:customStyle="1" w:styleId="Ttulo4Char">
    <w:name w:val="Título 4 Char"/>
    <w:basedOn w:val="Fontepargpadro"/>
    <w:link w:val="Ttulo4"/>
    <w:uiPriority w:val="9"/>
    <w:semiHidden/>
    <w:rPr>
      <w:rFonts w:asciiTheme="majorHAnsi" w:eastAsiaTheme="majorEastAsia" w:hAnsiTheme="majorHAnsi" w:cstheme="majorBidi"/>
      <w:i/>
      <w:iCs/>
      <w:color w:val="2E74B5" w:themeColor="accent1" w:themeShade="BF"/>
    </w:rPr>
  </w:style>
  <w:style w:type="paragraph" w:customStyle="1" w:styleId="Datacapa">
    <w:name w:val="Data_capa"/>
    <w:basedOn w:val="Normal"/>
    <w:link w:val="DatacapaChar"/>
    <w:pPr>
      <w:spacing w:after="200" w:line="276" w:lineRule="auto"/>
    </w:pPr>
    <w:rPr>
      <w:rFonts w:ascii="Zurich Lt BT" w:eastAsia="MS Mincho" w:hAnsi="Zurich Lt BT"/>
      <w:color w:val="7F7F7F" w:themeColor="text1" w:themeTint="80"/>
      <w:sz w:val="16"/>
      <w:szCs w:val="16"/>
    </w:rPr>
  </w:style>
  <w:style w:type="character" w:customStyle="1" w:styleId="DatacapaChar">
    <w:name w:val="Data_capa Char"/>
    <w:basedOn w:val="Fontepargpadro"/>
    <w:link w:val="Datacapa"/>
    <w:rPr>
      <w:rFonts w:ascii="Zurich Lt BT" w:eastAsia="MS Mincho" w:hAnsi="Zurich Lt BT"/>
      <w:color w:val="7F7F7F" w:themeColor="text1" w:themeTint="80"/>
      <w:sz w:val="16"/>
      <w:szCs w:val="16"/>
    </w:rPr>
  </w:style>
  <w:style w:type="table" w:customStyle="1" w:styleId="TabelaSimples11">
    <w:name w:val="Tabela Simples 11"/>
    <w:basedOn w:val="Tabelanormal"/>
    <w:uiPriority w:val="4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mples21">
    <w:name w:val="Tabela Simples 21"/>
    <w:basedOn w:val="Tabelanormal"/>
    <w:uiPriority w:val="42"/>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ombreamentoClaro-nfase11">
    <w:name w:val="Sombreamento Claro - Ênfase 11"/>
    <w:basedOn w:val="Tabelanormal"/>
    <w:uiPriority w:val="60"/>
    <w:rPr>
      <w:rFonts w:eastAsia="MS Mincho"/>
      <w:color w:val="2E74B5" w:themeColor="accent1" w:themeShade="BF"/>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EndNoteBibliography">
    <w:name w:val="EndNote Bibliography"/>
    <w:basedOn w:val="Normal"/>
    <w:link w:val="EndNoteBibliographyChar"/>
    <w:qFormat/>
    <w:pPr>
      <w:spacing w:line="240" w:lineRule="auto"/>
      <w:jc w:val="both"/>
    </w:pPr>
    <w:rPr>
      <w:rFonts w:ascii="Swis721 Th BT" w:eastAsia="MS Mincho" w:hAnsi="Swis721 Th BT"/>
      <w:color w:val="404040" w:themeColor="text1" w:themeTint="BF"/>
      <w:sz w:val="23"/>
      <w:szCs w:val="24"/>
      <w:lang w:val="en-US"/>
    </w:rPr>
  </w:style>
  <w:style w:type="character" w:customStyle="1" w:styleId="EndNoteBibliographyChar">
    <w:name w:val="EndNote Bibliography Char"/>
    <w:basedOn w:val="CorpoChar"/>
    <w:link w:val="EndNoteBibliography"/>
    <w:qFormat/>
    <w:rPr>
      <w:rFonts w:ascii="Swis721 Th BT" w:eastAsia="MS Mincho" w:hAnsi="Swis721 Th BT"/>
      <w:color w:val="404040" w:themeColor="text1" w:themeTint="BF"/>
      <w:sz w:val="23"/>
      <w:szCs w:val="24"/>
      <w:lang w:val="en-US"/>
    </w:rPr>
  </w:style>
  <w:style w:type="character" w:customStyle="1" w:styleId="MenoPendente1">
    <w:name w:val="Menção Pendente1"/>
    <w:basedOn w:val="Fontepargpadro"/>
    <w:uiPriority w:val="99"/>
    <w:semiHidden/>
    <w:unhideWhenUsed/>
    <w:rPr>
      <w:color w:val="605E5C"/>
      <w:shd w:val="clear" w:color="auto" w:fill="E1DFDD"/>
    </w:rPr>
  </w:style>
  <w:style w:type="table" w:customStyle="1" w:styleId="TabelaSimples41">
    <w:name w:val="Tabela Simples 41"/>
    <w:basedOn w:val="Tabelanormal"/>
    <w:autoRedefine/>
    <w:uiPriority w:val="44"/>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aClara-nfase11">
    <w:name w:val="Lista Clara - Ênfase 11"/>
    <w:basedOn w:val="Tabelanormal"/>
    <w:uiPriority w:val="61"/>
    <w:rPr>
      <w:rFonts w:eastAsia="MS Mincho"/>
    </w:rPr>
    <w:tblPr>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EndNoteBibliographyCarter">
    <w:name w:val="EndNote Bibliography Caráter"/>
    <w:basedOn w:val="Fontepargpadro"/>
    <w:qFormat/>
    <w:locked/>
    <w:rPr>
      <w:rFonts w:ascii="Swis721 Th BT" w:hAnsi="Swis721 Th BT"/>
      <w:lang w:val="en-US"/>
    </w:rPr>
  </w:style>
  <w:style w:type="table" w:customStyle="1" w:styleId="Tabelacomgrade24">
    <w:name w:val="Tabela com grade24"/>
    <w:basedOn w:val="Tabelanormal"/>
    <w:uiPriority w:val="59"/>
    <w:qFormat/>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4-nfase11">
    <w:name w:val="Tabela de Grade 4 - Ênfase 11"/>
    <w:basedOn w:val="Tabelanormal"/>
    <w:uiPriority w:val="49"/>
    <w:rPr>
      <w:rFonts w:eastAsia="MS Mincho"/>
    </w:rPr>
    <w:tblPr>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SombreamentoMdio1-nfase12">
    <w:name w:val="Sombreamento Médio 1 - Ênfase 12"/>
    <w:basedOn w:val="Tabelanormal"/>
    <w:uiPriority w:val="63"/>
    <w:tblPr>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deGrade4-nfase31">
    <w:name w:val="Tabela de Grade 4 - Ênfase 31"/>
    <w:basedOn w:val="Tabelanormal"/>
    <w:uiPriority w:val="49"/>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Contedodoquadro">
    <w:name w:val="Conteúdo do quadro"/>
    <w:basedOn w:val="Normal"/>
    <w:qFormat/>
    <w:pPr>
      <w:suppressAutoHyphens/>
    </w:pPr>
  </w:style>
  <w:style w:type="table" w:customStyle="1" w:styleId="Tabelacomgrade17">
    <w:name w:val="Tabela com grade17"/>
    <w:basedOn w:val="Tabelanormal"/>
    <w:uiPriority w:val="5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31">
    <w:name w:val="Tabela de Grade 1 Clara - Ênfase 31"/>
    <w:basedOn w:val="Tabelanormal"/>
    <w:uiPriority w:val="46"/>
    <w:tblPr>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TtuloChar">
    <w:name w:val="Título Char"/>
    <w:basedOn w:val="Fontepargpadro"/>
    <w:link w:val="Ttulo"/>
    <w:uiPriority w:val="10"/>
    <w:rPr>
      <w:rFonts w:ascii="Swis721 Th BT" w:eastAsiaTheme="majorEastAsia" w:hAnsi="Swis721 Th BT" w:cstheme="majorBidi"/>
      <w:color w:val="00B050"/>
      <w:spacing w:val="-10"/>
      <w:kern w:val="28"/>
      <w:sz w:val="60"/>
      <w:szCs w:val="56"/>
      <w:lang w:eastAsia="en-US"/>
    </w:rPr>
  </w:style>
  <w:style w:type="paragraph" w:customStyle="1" w:styleId="TITULO2">
    <w:name w:val="TITULO 2"/>
    <w:basedOn w:val="Ttulo"/>
    <w:link w:val="TITULO2Char"/>
  </w:style>
  <w:style w:type="character" w:customStyle="1" w:styleId="TITULO2Char">
    <w:name w:val="TITULO 2 Char"/>
    <w:basedOn w:val="TtuloChar"/>
    <w:link w:val="TITULO2"/>
    <w:rPr>
      <w:rFonts w:ascii="Swis721 Th BT" w:eastAsiaTheme="majorEastAsia" w:hAnsi="Swis721 Th BT" w:cstheme="majorBidi"/>
      <w:color w:val="00B050"/>
      <w:spacing w:val="-10"/>
      <w:kern w:val="28"/>
      <w:sz w:val="60"/>
      <w:szCs w:val="56"/>
      <w:lang w:eastAsia="en-US"/>
    </w:rPr>
  </w:style>
  <w:style w:type="paragraph" w:customStyle="1" w:styleId="CabealhodoSumrio2">
    <w:name w:val="Cabeçalho do Sumário2"/>
    <w:basedOn w:val="Ttulo1"/>
    <w:next w:val="Normal"/>
    <w:uiPriority w:val="39"/>
    <w:unhideWhenUsed/>
    <w:qFormat/>
    <w:pPr>
      <w:outlineLvl w:val="9"/>
    </w:pPr>
    <w:rPr>
      <w:b w:val="0"/>
      <w:lang w:eastAsia="pt-BR"/>
    </w:rPr>
  </w:style>
  <w:style w:type="table" w:customStyle="1" w:styleId="SombreamentoClaro-nfase15">
    <w:name w:val="Sombreamento Claro - Ênfase 15"/>
    <w:basedOn w:val="Tabelanormal"/>
    <w:uiPriority w:val="60"/>
    <w:rPr>
      <w:rFonts w:asciiTheme="minorHAnsi" w:eastAsiaTheme="minorHAnsi" w:hAnsiTheme="minorHAnsi" w:cstheme="minorBidi"/>
      <w:color w:val="2E74B5" w:themeColor="accent1" w:themeShade="BF"/>
      <w:sz w:val="22"/>
      <w:szCs w:val="22"/>
      <w:lang w:eastAsia="en-US"/>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elaSimples22">
    <w:name w:val="Tabela Simples 22"/>
    <w:basedOn w:val="Tabelanormal"/>
    <w:uiPriority w:val="42"/>
    <w:rPr>
      <w:rFonts w:asciiTheme="minorHAnsi" w:eastAsiaTheme="minorHAnsi" w:hAnsiTheme="minorHAnsi" w:cstheme="minorBidi"/>
      <w:sz w:val="22"/>
      <w:szCs w:val="22"/>
      <w:lang w:eastAsia="en-US"/>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mples52">
    <w:name w:val="Tabela Simples 52"/>
    <w:basedOn w:val="Tabelanormal"/>
    <w:uiPriority w:val="45"/>
    <w:rPr>
      <w:rFonts w:asciiTheme="minorHAnsi" w:eastAsiaTheme="minorHAnsi" w:hAnsiTheme="minorHAnsi" w:cstheme="minorBidi"/>
      <w:sz w:val="22"/>
      <w:szCs w:val="22"/>
      <w:lang w:eastAsia="en-US"/>
    </w:rP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comgrade22">
    <w:name w:val="Tabela com grade22"/>
    <w:basedOn w:val="Tabelanormal"/>
    <w:uiPriority w:val="59"/>
    <w:rPr>
      <w:rFonts w:asciiTheme="minorHAnsi" w:eastAsia="MS Mincho"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12">
    <w:name w:val="Tabela Simples 12"/>
    <w:basedOn w:val="Tabelanormal"/>
    <w:uiPriority w:val="41"/>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deGrade2-nfase11">
    <w:name w:val="Tabela de Grade 2 - Ênfase 11"/>
    <w:basedOn w:val="Tabelanormal"/>
    <w:uiPriority w:val="47"/>
    <w:rPr>
      <w:rFonts w:asciiTheme="minorHAnsi" w:eastAsiaTheme="minorHAnsi" w:hAnsiTheme="minorHAnsi" w:cstheme="minorBidi"/>
      <w:sz w:val="22"/>
      <w:szCs w:val="22"/>
      <w:lang w:eastAsia="en-US"/>
    </w:rPr>
    <w:tblPr>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comgrade2">
    <w:name w:val="Tabela com grade2"/>
    <w:basedOn w:val="Tabelanormal"/>
    <w:uiPriority w:val="59"/>
    <w:rPr>
      <w:rFonts w:ascii="Calibri" w:eastAsia="MS Mincho"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6Colorida-nfase31">
    <w:name w:val="Tabela de Grade 6 Colorida - Ênfase 31"/>
    <w:basedOn w:val="Tabelanormal"/>
    <w:uiPriority w:val="51"/>
    <w:rPr>
      <w:rFonts w:asciiTheme="minorHAnsi" w:eastAsiaTheme="minorHAnsi" w:hAnsiTheme="minorHAnsi" w:cstheme="minorBidi"/>
      <w:color w:val="7B7B7B" w:themeColor="accent3" w:themeShade="BF"/>
      <w:sz w:val="22"/>
      <w:szCs w:val="22"/>
      <w:lang w:eastAsia="en-US"/>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aSimples42">
    <w:name w:val="Tabela Simples 42"/>
    <w:basedOn w:val="Tabelanormal"/>
    <w:uiPriority w:val="44"/>
    <w:rPr>
      <w:rFonts w:asciiTheme="minorHAnsi" w:eastAsiaTheme="minorHAnsi" w:hAnsiTheme="minorHAnsi" w:cstheme="minorBidi"/>
      <w:sz w:val="22"/>
      <w:szCs w:val="22"/>
      <w:lang w:eastAsia="en-US"/>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deLista2-nfase31">
    <w:name w:val="Tabela de Lista 2 - Ênfase 31"/>
    <w:basedOn w:val="Tabelanormal"/>
    <w:autoRedefine/>
    <w:uiPriority w:val="47"/>
    <w:qFormat/>
    <w:rPr>
      <w:rFonts w:asciiTheme="minorHAnsi" w:eastAsiaTheme="minorHAnsi" w:hAnsiTheme="minorHAnsi" w:cstheme="minorBidi"/>
      <w:sz w:val="22"/>
      <w:szCs w:val="22"/>
      <w:lang w:eastAsia="en-US"/>
    </w:rPr>
    <w:tblPr>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acomgrade16">
    <w:name w:val="Tabela com grade16"/>
    <w:basedOn w:val="Tabelanormal"/>
    <w:autoRedefine/>
    <w:uiPriority w:val="59"/>
    <w:qFormat/>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3">
    <w:name w:val="Tabela com grade13"/>
    <w:basedOn w:val="Tabelanormal"/>
    <w:autoRedefine/>
    <w:uiPriority w:val="59"/>
    <w:qFormat/>
    <w:rPr>
      <w:rFonts w:asciiTheme="minorHAnsi" w:eastAsia="MS Mincho"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
    <w:name w:val="Título 3 Char"/>
    <w:basedOn w:val="Fontepargpadro"/>
    <w:link w:val="Ttulo3"/>
    <w:autoRedefine/>
    <w:uiPriority w:val="9"/>
    <w:semiHidden/>
    <w:qFormat/>
    <w:rPr>
      <w:rFonts w:asciiTheme="majorHAnsi" w:eastAsiaTheme="majorEastAsia" w:hAnsiTheme="majorHAnsi" w:cstheme="majorBidi"/>
      <w:color w:val="1F4E79" w:themeColor="accent1" w:themeShade="80"/>
      <w:sz w:val="24"/>
      <w:szCs w:val="24"/>
      <w:lang w:eastAsia="en-US"/>
    </w:rPr>
  </w:style>
  <w:style w:type="character" w:customStyle="1" w:styleId="CorpodetextoChar">
    <w:name w:val="Corpo de texto Char"/>
    <w:basedOn w:val="Fontepargpadro"/>
    <w:link w:val="Corpodetexto"/>
    <w:autoRedefine/>
    <w:semiHidden/>
    <w:qFormat/>
    <w:rPr>
      <w:rFonts w:ascii="Verdana" w:eastAsia="Times New Roman" w:hAnsi="Verdana"/>
      <w:szCs w:val="24"/>
    </w:rPr>
  </w:style>
  <w:style w:type="character" w:customStyle="1" w:styleId="Corpodetexto2Char">
    <w:name w:val="Corpo de texto 2 Char"/>
    <w:basedOn w:val="Fontepargpadro"/>
    <w:link w:val="Corpodetexto2"/>
    <w:semiHidden/>
    <w:rPr>
      <w:rFonts w:ascii="Verdana" w:eastAsia="Times New Roman" w:hAnsi="Verdana"/>
      <w:b/>
      <w:bCs/>
      <w:i/>
      <w:iC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4446B9-45CA-4B21-86AD-7F17239DC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203</Pages>
  <Words>33608</Words>
  <Characters>181487</Characters>
  <Application>Microsoft Office Word</Application>
  <DocSecurity>0</DocSecurity>
  <Lines>1512</Lines>
  <Paragraphs>429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Joao Ruiz</dc:creator>
  <cp:lastModifiedBy>Conta da Microsoft</cp:lastModifiedBy>
  <cp:revision>125</cp:revision>
  <cp:lastPrinted>2020-01-22T11:36:00Z</cp:lastPrinted>
  <dcterms:created xsi:type="dcterms:W3CDTF">2023-10-10T19:32:00Z</dcterms:created>
  <dcterms:modified xsi:type="dcterms:W3CDTF">2024-05-02T13:17:00Z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77F3A31030CC49FD9C207312888B0C67_12</vt:lpwstr>
  </property>
</Properties>
</file>