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D" w:rsidRDefault="00D000FB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-899269</wp:posOffset>
            </wp:positionV>
            <wp:extent cx="7542410" cy="1067325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10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lastRenderedPageBreak/>
        <w:t>Descritivo do Conteúdo</w:t>
      </w:r>
    </w:p>
    <w:p w:rsidR="0071543C" w:rsidRPr="00315013" w:rsidRDefault="0071543C" w:rsidP="0071543C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315013">
        <w:rPr>
          <w:rFonts w:ascii="Swis721 Th BT" w:hAnsi="Swis721 Th BT"/>
          <w:b/>
          <w:color w:val="FF3399"/>
          <w:sz w:val="60"/>
          <w:szCs w:val="60"/>
        </w:rPr>
        <w:t xml:space="preserve">Formulário de </w:t>
      </w:r>
      <w:r w:rsidR="0062693F" w:rsidRPr="00315013">
        <w:rPr>
          <w:rFonts w:ascii="Swis721 Th BT" w:hAnsi="Swis721 Th BT"/>
          <w:b/>
          <w:color w:val="FF3399"/>
          <w:sz w:val="60"/>
          <w:szCs w:val="60"/>
        </w:rPr>
        <w:t xml:space="preserve">Antioxidantes e Clareadores Cutâneos </w:t>
      </w:r>
    </w:p>
    <w:p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71543C" w:rsidRPr="009919FC" w:rsidRDefault="00DF356A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177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71543C" w:rsidRPr="00156C91" w:rsidRDefault="00CD7C87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80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  <w:r w:rsidR="00DF356A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</w:p>
    <w:p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71543C" w:rsidRPr="00156C91" w:rsidRDefault="00E84B53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DF356A">
        <w:rPr>
          <w:rFonts w:ascii="Swis721 Th BT" w:hAnsi="Swis721 Th BT" w:cs="Arial"/>
          <w:color w:val="404040" w:themeColor="text1" w:themeTint="BF"/>
          <w:sz w:val="23"/>
          <w:szCs w:val="23"/>
        </w:rPr>
        <w:t>50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71543C" w:rsidRDefault="0071543C"/>
    <w:p w:rsidR="0071543C" w:rsidRDefault="0071543C"/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FF3399"/>
          <w:sz w:val="60"/>
          <w:szCs w:val="60"/>
        </w:rPr>
        <w:lastRenderedPageBreak/>
        <w:t>Sumário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125267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C212B" w:rsidRPr="006E5236" w:rsidRDefault="000C212B" w:rsidP="000C212B">
          <w:pPr>
            <w:pStyle w:val="CabealhodoSumrio"/>
            <w:rPr>
              <w:rFonts w:ascii="Swis721 Th BT" w:hAnsi="Swis721 Th BT"/>
            </w:rPr>
          </w:pPr>
        </w:p>
        <w:p w:rsidR="000C212B" w:rsidRPr="00A2311E" w:rsidRDefault="000C212B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r w:rsidRPr="006E5236">
            <w:rPr>
              <w:rFonts w:ascii="Swis721 Th BT" w:hAnsi="Swis721 Th BT"/>
              <w:b/>
              <w:bCs/>
            </w:rPr>
            <w:fldChar w:fldCharType="begin"/>
          </w:r>
          <w:r w:rsidRPr="006E5236">
            <w:rPr>
              <w:rFonts w:ascii="Swis721 Th BT" w:hAnsi="Swis721 Th BT"/>
              <w:b/>
              <w:bCs/>
            </w:rPr>
            <w:instrText xml:space="preserve"> TOC \o "1-3" \h \z \u </w:instrText>
          </w:r>
          <w:r w:rsidRPr="006E5236">
            <w:rPr>
              <w:rFonts w:ascii="Swis721 Th BT" w:hAnsi="Swis721 Th BT"/>
              <w:b/>
              <w:bCs/>
            </w:rPr>
            <w:fldChar w:fldCharType="separate"/>
          </w:r>
          <w:hyperlink w:anchor="_Toc104301066" w:history="1">
            <w:r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INTRODUÇÃO</w:t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_Toc104301066 \h </w:instrText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</w:t>
            </w:r>
            <w:r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6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 Pele Como Órgão Protetor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_Toc104301067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6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Classificação da Pele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_Toc104301068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69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Síntese da Melanina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_Toc104301069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Etapas do Processo de Melanogênese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Melanogênese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 Importância da Síntese de Melanina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12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Homogeneidade da Coloração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Efeitos Negativos da Luz Azul sobre a Pele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5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Ação da Luz Visível nos Processos de Pigmentação da Pele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Potencial dos Materiais Particulados PM2,5 na Melanogênese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Hipercromias Abordadas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Melasma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79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Melasma e Epigenética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_Toc104301079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Melasma em Gestantes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Hiperpigmentação Pós-Inflamatória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Hiperpigmentação Periorbital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22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Tratamento das Hipercromias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Clareadores Cutâneos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5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FORMULAÇÕES CLAREADORAS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Tranexâmico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26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Cisteamina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35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Flutamida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41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89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Mediatone™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_Toc104301089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43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Retinóico e Niacinamida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46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HentoWhite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48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Antipollon HT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Niacinamide PC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52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Combinação de Ativos na Hiperpigmentação Causada pela Acne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5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Combinação de Ativos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Combinação do Tratamento do Melasma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Biowhite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59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Biolumin White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61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099" w:history="1">
            <w:r w:rsidR="000C212B" w:rsidRPr="00A2311E">
              <w:rPr>
                <w:rStyle w:val="Hyperlink"/>
                <w:rFonts w:ascii="Calibri" w:hAnsi="Calibri" w:cs="Calibri"/>
                <w:noProof/>
                <w:sz w:val="23"/>
                <w:szCs w:val="23"/>
              </w:rPr>
              <w:t>β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-White™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_Toc104301099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63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Evenskin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 A3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65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Inaclear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67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Melavoid™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Whitonyl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72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Azeoglicina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5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Aqua Licore Extract PT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NUTRICOSMÉTICOS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Glutationa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79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Glutationa Oral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81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09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Oli-Ola™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_Toc104301109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84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Bio-Arct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86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Red Orange Complex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88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Ácido Kójico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91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Combinação Tópica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94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FORMULAÇÕES DE ORIGEM NATURAL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97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5" w:history="1">
            <w:r w:rsidR="000C212B" w:rsidRPr="00A2311E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Polypodium leucotomos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98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Picnogenol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101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Silimarina Tópica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103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Suplementação Simbiótica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105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19" w:history="1">
            <w:r w:rsidR="000C212B" w:rsidRPr="00A2311E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 xml:space="preserve">Aloe vera 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no Melasma em Gestantes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_Toc104301119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107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PROTOCOLO VITAMINA C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109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Vitamina C e a Pele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DermaSpheres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 C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Nikkol VC-IP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Estabilize C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5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ET-VC™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PROTEÇÃO DA RADIAÇÃO UV, LUZ VISÍVEL, LUZ AZUL E POLUIÇÃO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119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BlueLutein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120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Pomegranate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123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29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Proshield MDC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_Toc104301129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126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ClariAge™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128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Tratamento Antipoluição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131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EPS White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133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Outros Ativos Antipoluição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135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TRATAMENTOS PRÉ E PÓS LASER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137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5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Neurolight™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138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6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Propionato de Clobetasol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140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TRATAMENTOS PARA A HIPERPIGMENTAÇÃO PERIORBITAL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142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Nano Thioglycolic Acid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143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39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Dermochlorella D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_Toc104301139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146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0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Regu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-Age PF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_Toc104301140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148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1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MeiYanol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vertAlign w:val="superscript"/>
              </w:rPr>
              <w:t>®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_Toc104301141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150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2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Eyelifit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_Toc104301142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152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3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OUTRAS FORMULAÇÕES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_Toc104301143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154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4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Delentigo no Lentigo Senil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_Toc104301144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155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5" w:history="1">
            <w:r w:rsidR="000C212B" w:rsidRPr="00A2311E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PEELINGS</w:t>
            </w:r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 xml:space="preserve"> QUÍMICOS CLAREADORES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_Toc104301145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159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6" w:history="1">
            <w:r w:rsidR="000C212B" w:rsidRPr="00A2311E">
              <w:rPr>
                <w:rStyle w:val="Hyperlink"/>
                <w:rFonts w:ascii="Swis721 Th BT" w:hAnsi="Swis721 Th BT"/>
                <w:i/>
                <w:noProof/>
                <w:sz w:val="23"/>
                <w:szCs w:val="23"/>
              </w:rPr>
              <w:t>Peelings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_Toc104301146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160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Pr="00A2311E" w:rsidRDefault="00A61F4A" w:rsidP="000C212B">
          <w:pPr>
            <w:pStyle w:val="Sumrio1"/>
            <w:tabs>
              <w:tab w:val="right" w:leader="dot" w:pos="9061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04301147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FOTOPROTETORES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_Toc104301147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167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Default="00A61F4A" w:rsidP="000C212B">
          <w:pPr>
            <w:pStyle w:val="Sumrio1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104301148" w:history="1">
            <w:r w:rsidR="000C212B" w:rsidRPr="00A2311E">
              <w:rPr>
                <w:rStyle w:val="Hyperlink"/>
                <w:rFonts w:ascii="Swis721 Th BT" w:hAnsi="Swis721 Th BT"/>
                <w:noProof/>
                <w:sz w:val="23"/>
                <w:szCs w:val="23"/>
                <w:lang w:val="en-US"/>
              </w:rPr>
              <w:t>REFERÊNCIAS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_Toc104301148 \h </w:instrTex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t>171</w:t>
            </w:r>
            <w:r w:rsidR="000C212B" w:rsidRPr="00A2311E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0C212B" w:rsidRDefault="000C212B" w:rsidP="000C212B">
          <w:r w:rsidRPr="006E5236">
            <w:rPr>
              <w:rFonts w:ascii="Swis721 Th BT" w:hAnsi="Swis721 Th BT"/>
              <w:b/>
              <w:bCs/>
            </w:rPr>
            <w:fldChar w:fldCharType="end"/>
          </w:r>
        </w:p>
      </w:sdtContent>
    </w:sdt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0C212B" w:rsidRDefault="000C212B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Pr="0040510E" w:rsidRDefault="006822D8" w:rsidP="006822D8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40510E">
        <w:rPr>
          <w:rFonts w:ascii="Swis721 Th BT" w:hAnsi="Swis721 Th BT"/>
          <w:b/>
          <w:color w:val="FF3399"/>
          <w:sz w:val="60"/>
          <w:szCs w:val="60"/>
        </w:rPr>
        <w:lastRenderedPageBreak/>
        <w:t>Ativos Abordados</w:t>
      </w:r>
    </w:p>
    <w:p w:rsidR="007871E9" w:rsidRPr="002261B6" w:rsidRDefault="007871E9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Alfalipóico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Glicólico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Kójico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lático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retinoico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Salicílico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Tranexâmico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Ácido tricloroacético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</w:rPr>
      </w:pPr>
      <w:r w:rsidRPr="00926909">
        <w:rPr>
          <w:rFonts w:ascii="Swis721 Th BT" w:hAnsi="Swis721 Th BT"/>
          <w:i/>
          <w:sz w:val="23"/>
          <w:szCs w:val="23"/>
        </w:rPr>
        <w:t>Aloe vera</w:t>
      </w:r>
      <w:r w:rsidRPr="00926909">
        <w:rPr>
          <w:rFonts w:ascii="Swis721 Th BT" w:hAnsi="Swis721 Th BT"/>
          <w:sz w:val="23"/>
          <w:szCs w:val="23"/>
        </w:rPr>
        <w:t xml:space="preserve"> 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Antipollon HT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Aqua Licorice Extract PT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Arginina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Azeoglicina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</w:rPr>
      </w:pPr>
      <w:r w:rsidRPr="00926909">
        <w:rPr>
          <w:rFonts w:ascii="Swis721 Th BT" w:hAnsi="Swis721 Th BT"/>
          <w:i/>
          <w:iCs/>
          <w:sz w:val="23"/>
          <w:szCs w:val="23"/>
        </w:rPr>
        <w:t>Bifidobacterium bifidum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</w:rPr>
      </w:pPr>
      <w:r w:rsidRPr="00926909">
        <w:rPr>
          <w:rFonts w:ascii="Swis721 Th BT" w:hAnsi="Swis721 Th BT"/>
          <w:i/>
          <w:iCs/>
          <w:sz w:val="23"/>
          <w:szCs w:val="23"/>
        </w:rPr>
        <w:t>Bifidobacterium infantis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  <w:lang w:val="en-US"/>
        </w:rPr>
      </w:pPr>
      <w:r w:rsidRPr="00926909">
        <w:rPr>
          <w:rFonts w:ascii="Swis721 Th BT" w:hAnsi="Swis721 Th BT"/>
          <w:i/>
          <w:iCs/>
          <w:sz w:val="23"/>
          <w:szCs w:val="23"/>
          <w:lang w:val="en-US"/>
        </w:rPr>
        <w:t>Bifidobacterium longum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Bio-Arct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Biolumin White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Biowhite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BlueLutein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Cisteamina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ClariAge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Delentigo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DermaSphere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Dermochlorella D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EPS White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ET-VC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 w:cs="Futura Md BT"/>
          <w:sz w:val="23"/>
          <w:szCs w:val="23"/>
          <w:lang w:val="en-US"/>
        </w:rPr>
        <w:lastRenderedPageBreak/>
        <w:t>Evenskin A3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Eyelifit</w:t>
      </w:r>
    </w:p>
    <w:p w:rsidR="00CD7C87" w:rsidRPr="00D000FB" w:rsidRDefault="00CD7C87" w:rsidP="00DF356A">
      <w:pPr>
        <w:jc w:val="both"/>
        <w:rPr>
          <w:rFonts w:ascii="Swis721 Th BT" w:hAnsi="Swis721 Th BT" w:cs="Times New Roman"/>
          <w:sz w:val="23"/>
          <w:szCs w:val="23"/>
          <w:lang w:val="en-US"/>
        </w:rPr>
      </w:pPr>
      <w:r w:rsidRPr="00D000FB">
        <w:rPr>
          <w:rFonts w:ascii="Swis721 Th BT" w:hAnsi="Swis721 Th BT" w:cs="Times New Roman"/>
          <w:sz w:val="23"/>
          <w:szCs w:val="23"/>
          <w:lang w:val="en-US"/>
        </w:rPr>
        <w:t>Filmexel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FloraGlo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Flutamida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FOS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Glutationa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HentoWhite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Hidroquinona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Hidróxido de Sódio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Icaridina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Inaclear</w:t>
      </w:r>
    </w:p>
    <w:p w:rsidR="00CD7C87" w:rsidRPr="00D000FB" w:rsidRDefault="00CD7C87" w:rsidP="00DF356A">
      <w:pPr>
        <w:jc w:val="both"/>
        <w:rPr>
          <w:rFonts w:ascii="Swis721 Th BT" w:hAnsi="Swis721 Th BT"/>
          <w:i/>
          <w:sz w:val="23"/>
          <w:szCs w:val="23"/>
        </w:rPr>
      </w:pPr>
      <w:r w:rsidRPr="00D000FB">
        <w:rPr>
          <w:rFonts w:ascii="Swis721 Th BT" w:hAnsi="Swis721 Th BT"/>
          <w:i/>
          <w:iCs/>
          <w:sz w:val="23"/>
          <w:szCs w:val="23"/>
        </w:rPr>
        <w:t>Lactobacillus acidophillus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  <w:lang w:val="en-US"/>
        </w:rPr>
      </w:pPr>
      <w:r w:rsidRPr="00926909">
        <w:rPr>
          <w:rFonts w:ascii="Swis721 Th BT" w:hAnsi="Swis721 Th BT"/>
          <w:i/>
          <w:iCs/>
          <w:sz w:val="23"/>
          <w:szCs w:val="23"/>
          <w:lang w:val="en-US"/>
        </w:rPr>
        <w:t>Lactobacillus casei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  <w:lang w:val="en-US"/>
        </w:rPr>
      </w:pPr>
      <w:r w:rsidRPr="00926909">
        <w:rPr>
          <w:rFonts w:ascii="Swis721 Th BT" w:hAnsi="Swis721 Th BT"/>
          <w:i/>
          <w:iCs/>
          <w:sz w:val="23"/>
          <w:szCs w:val="23"/>
          <w:lang w:val="en-US"/>
        </w:rPr>
        <w:t>Lactobacillus lactis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Luteína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Mediatone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MeiYanol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Melavoid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N-Acetilcisteína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 w:cs="Swis721 Th BT"/>
          <w:sz w:val="23"/>
          <w:szCs w:val="23"/>
        </w:rPr>
        <w:t>Nano Thyoglicolic Acid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Neurolight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/>
          <w:sz w:val="23"/>
          <w:szCs w:val="23"/>
        </w:rPr>
        <w:t>Niacinamida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 w:cs="Futura Md BT"/>
          <w:sz w:val="23"/>
          <w:szCs w:val="23"/>
        </w:rPr>
        <w:t>Niacinamide PC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Nikkol VC-IP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Oli-Ola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Physavie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  <w:lang w:val="en-US"/>
        </w:rPr>
      </w:pPr>
      <w:r w:rsidRPr="00926909">
        <w:rPr>
          <w:rFonts w:ascii="Swis721 Th BT" w:hAnsi="Swis721 Th BT"/>
          <w:sz w:val="23"/>
          <w:szCs w:val="23"/>
          <w:lang w:val="en-US"/>
        </w:rPr>
        <w:t>Picnogenol</w:t>
      </w:r>
    </w:p>
    <w:p w:rsidR="00CD7C87" w:rsidRPr="00926909" w:rsidRDefault="00CD7C87" w:rsidP="00DF356A">
      <w:pPr>
        <w:jc w:val="both"/>
        <w:rPr>
          <w:rFonts w:ascii="Swis721 Th BT" w:eastAsia="Arial" w:hAnsi="Swis721 Th BT" w:cs="Times New Roman"/>
          <w:sz w:val="23"/>
          <w:szCs w:val="23"/>
          <w:lang w:val="en-US"/>
        </w:rPr>
      </w:pPr>
      <w:r w:rsidRPr="00926909">
        <w:rPr>
          <w:rFonts w:ascii="Swis721 Th BT" w:eastAsia="Arial" w:hAnsi="Swis721 Th BT" w:cs="Times New Roman"/>
          <w:sz w:val="23"/>
          <w:szCs w:val="23"/>
          <w:lang w:val="en-US"/>
        </w:rPr>
        <w:t>Pollushield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  <w:lang w:val="en-US"/>
        </w:rPr>
      </w:pPr>
      <w:r w:rsidRPr="00926909">
        <w:rPr>
          <w:rFonts w:ascii="Swis721 Th BT" w:hAnsi="Swis721 Th BT"/>
          <w:i/>
          <w:sz w:val="23"/>
          <w:szCs w:val="23"/>
          <w:lang w:val="en-US"/>
        </w:rPr>
        <w:t>Polypodium leucotomos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D000FB">
        <w:rPr>
          <w:rFonts w:ascii="Swis721 Th BT" w:hAnsi="Swis721 Th BT" w:cs="Times New Roman"/>
          <w:sz w:val="23"/>
          <w:szCs w:val="23"/>
        </w:rPr>
        <w:t>Pomegranate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lastRenderedPageBreak/>
        <w:t>Propionato de Clobetasol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Proshield MDC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Red Orange Complex</w:t>
      </w:r>
    </w:p>
    <w:p w:rsidR="00CD7C87" w:rsidRPr="00D000FB" w:rsidRDefault="00CD7C87" w:rsidP="00DF356A">
      <w:pPr>
        <w:jc w:val="both"/>
        <w:rPr>
          <w:rFonts w:ascii="Swis721 Th BT" w:hAnsi="Swis721 Th BT"/>
          <w:sz w:val="23"/>
          <w:szCs w:val="23"/>
          <w:lang w:val="en-US"/>
        </w:rPr>
      </w:pPr>
      <w:r w:rsidRPr="00D000FB">
        <w:rPr>
          <w:rFonts w:ascii="Swis721 Th BT" w:hAnsi="Swis721 Th BT"/>
          <w:sz w:val="23"/>
          <w:szCs w:val="23"/>
          <w:lang w:val="en-US"/>
        </w:rPr>
        <w:t>REGU</w:t>
      </w:r>
      <w:r w:rsidRPr="00D000FB">
        <w:rPr>
          <w:rFonts w:ascii="Swis721 Th BT" w:hAnsi="Swis721 Th BT"/>
          <w:sz w:val="23"/>
          <w:szCs w:val="23"/>
          <w:vertAlign w:val="superscript"/>
          <w:lang w:val="en-US"/>
        </w:rPr>
        <w:t>®</w:t>
      </w:r>
      <w:r w:rsidRPr="00D000FB">
        <w:rPr>
          <w:rFonts w:ascii="Swis721 Th BT" w:hAnsi="Swis721 Th BT"/>
          <w:sz w:val="23"/>
          <w:szCs w:val="23"/>
          <w:lang w:val="en-US"/>
        </w:rPr>
        <w:t>-AGE PF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Resorcina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Rosavin</w:t>
      </w:r>
    </w:p>
    <w:p w:rsidR="00CD7C87" w:rsidRPr="00926909" w:rsidRDefault="00CD7C87" w:rsidP="00DF356A">
      <w:pPr>
        <w:jc w:val="both"/>
        <w:rPr>
          <w:rFonts w:ascii="Swis721 Th BT" w:hAnsi="Swis721 Th BT"/>
          <w:i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Silimarina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Tretinoína</w:t>
      </w:r>
    </w:p>
    <w:p w:rsidR="00CD7C87" w:rsidRPr="00926909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Swis721 Th BT" w:hAnsi="Swis721 Th BT"/>
          <w:sz w:val="23"/>
          <w:szCs w:val="23"/>
        </w:rPr>
        <w:t>Vitamina C</w:t>
      </w:r>
    </w:p>
    <w:p w:rsidR="00CD7C87" w:rsidRPr="00006D37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006D37">
        <w:rPr>
          <w:rFonts w:ascii="Swis721 Th BT" w:hAnsi="Swis721 Th BT"/>
          <w:sz w:val="23"/>
          <w:szCs w:val="23"/>
        </w:rPr>
        <w:t>Vitamina E</w:t>
      </w:r>
    </w:p>
    <w:p w:rsidR="00CD7C87" w:rsidRPr="00006D37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006D37">
        <w:rPr>
          <w:rFonts w:ascii="Swis721 Th BT" w:hAnsi="Swis721 Th BT"/>
          <w:sz w:val="23"/>
          <w:szCs w:val="23"/>
        </w:rPr>
        <w:t>Whitonyl</w:t>
      </w:r>
    </w:p>
    <w:p w:rsidR="00CD7C87" w:rsidRPr="00006D37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006D37">
        <w:rPr>
          <w:rFonts w:ascii="Swis721 Th BT" w:hAnsi="Swis721 Th BT"/>
          <w:sz w:val="23"/>
          <w:szCs w:val="23"/>
        </w:rPr>
        <w:t>Zeaxantina</w:t>
      </w:r>
    </w:p>
    <w:p w:rsidR="00CD7C87" w:rsidRPr="00006D37" w:rsidRDefault="00CD7C87" w:rsidP="00DF356A">
      <w:pPr>
        <w:jc w:val="both"/>
        <w:rPr>
          <w:rFonts w:ascii="Swis721 Th BT" w:hAnsi="Swis721 Th BT"/>
          <w:sz w:val="23"/>
          <w:szCs w:val="23"/>
        </w:rPr>
      </w:pPr>
      <w:r w:rsidRPr="00926909">
        <w:rPr>
          <w:rFonts w:ascii="Calibri" w:hAnsi="Calibri" w:cs="Calibri"/>
          <w:sz w:val="23"/>
          <w:szCs w:val="23"/>
        </w:rPr>
        <w:t>β</w:t>
      </w:r>
      <w:r w:rsidRPr="00006D37">
        <w:rPr>
          <w:rFonts w:ascii="Swis721 Th BT" w:hAnsi="Swis721 Th BT" w:cs="Futura Md BT"/>
          <w:sz w:val="23"/>
          <w:szCs w:val="23"/>
        </w:rPr>
        <w:t>-White</w:t>
      </w:r>
    </w:p>
    <w:p w:rsidR="00CD7C87" w:rsidRPr="00006D37" w:rsidRDefault="00CD7C87" w:rsidP="00DF356A">
      <w:pPr>
        <w:jc w:val="both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926909" w:rsidRPr="00006D37" w:rsidRDefault="00926909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926909" w:rsidRPr="00006D37" w:rsidRDefault="00926909" w:rsidP="003A6093">
      <w:pPr>
        <w:pStyle w:val="Subtitulocorpo"/>
        <w:rPr>
          <w:b w:val="0"/>
          <w:color w:val="FF0000"/>
          <w:sz w:val="23"/>
          <w:szCs w:val="23"/>
        </w:rPr>
      </w:pPr>
    </w:p>
    <w:p w:rsidR="00926909" w:rsidRPr="00006D37" w:rsidRDefault="00926909" w:rsidP="003A6093">
      <w:pPr>
        <w:pStyle w:val="Subtitulocorpo"/>
        <w:rPr>
          <w:b w:val="0"/>
          <w:color w:val="FF0000"/>
          <w:sz w:val="23"/>
          <w:szCs w:val="23"/>
        </w:rPr>
      </w:pPr>
    </w:p>
    <w:p w:rsidR="00926909" w:rsidRPr="00006D37" w:rsidRDefault="00926909" w:rsidP="003A6093">
      <w:pPr>
        <w:pStyle w:val="EndNoteBibliography"/>
        <w:spacing w:after="0"/>
        <w:rPr>
          <w:color w:val="FF0000"/>
          <w:szCs w:val="23"/>
          <w:lang w:val="pt-BR"/>
        </w:rPr>
      </w:pPr>
    </w:p>
    <w:p w:rsidR="00926909" w:rsidRPr="00006D37" w:rsidRDefault="00926909" w:rsidP="003A6093">
      <w:pPr>
        <w:pStyle w:val="EndNoteBibliography"/>
        <w:spacing w:after="0"/>
        <w:rPr>
          <w:color w:val="FF0000"/>
          <w:szCs w:val="23"/>
          <w:lang w:val="pt-BR"/>
        </w:rPr>
      </w:pPr>
    </w:p>
    <w:p w:rsidR="00926909" w:rsidRPr="00006D37" w:rsidRDefault="00926909" w:rsidP="003A6093">
      <w:pPr>
        <w:pStyle w:val="EndNoteBibliography"/>
        <w:spacing w:after="0"/>
        <w:rPr>
          <w:szCs w:val="23"/>
          <w:lang w:val="pt-BR"/>
        </w:rPr>
      </w:pPr>
    </w:p>
    <w:p w:rsidR="00926909" w:rsidRPr="00006D37" w:rsidRDefault="00926909" w:rsidP="003A6093">
      <w:pPr>
        <w:pStyle w:val="Subtitulocorpo"/>
        <w:rPr>
          <w:b w:val="0"/>
          <w:sz w:val="23"/>
          <w:szCs w:val="23"/>
        </w:rPr>
      </w:pPr>
    </w:p>
    <w:p w:rsidR="00926909" w:rsidRPr="00006D37" w:rsidRDefault="00926909" w:rsidP="003A6093">
      <w:pPr>
        <w:pStyle w:val="Subtitulocorpo"/>
        <w:rPr>
          <w:b w:val="0"/>
          <w:sz w:val="23"/>
          <w:szCs w:val="23"/>
        </w:rPr>
      </w:pPr>
    </w:p>
    <w:p w:rsidR="00926909" w:rsidRPr="00006D37" w:rsidRDefault="00926909" w:rsidP="003A6093">
      <w:pPr>
        <w:pStyle w:val="Subtitulocorpo"/>
        <w:rPr>
          <w:b w:val="0"/>
          <w:sz w:val="23"/>
          <w:szCs w:val="23"/>
        </w:rPr>
      </w:pPr>
    </w:p>
    <w:p w:rsidR="00926909" w:rsidRPr="00E23EC1" w:rsidRDefault="00926909" w:rsidP="003A6093">
      <w:pPr>
        <w:pStyle w:val="RefernciaOK"/>
        <w:rPr>
          <w:sz w:val="23"/>
          <w:szCs w:val="23"/>
          <w:lang w:val="pt-BR"/>
        </w:rPr>
      </w:pPr>
    </w:p>
    <w:p w:rsidR="00926909" w:rsidRPr="00006D37" w:rsidRDefault="00926909" w:rsidP="003A6093">
      <w:pPr>
        <w:pStyle w:val="bibliografia"/>
        <w:rPr>
          <w:sz w:val="23"/>
          <w:szCs w:val="23"/>
          <w:lang w:val="pt-BR"/>
        </w:rPr>
      </w:pPr>
    </w:p>
    <w:p w:rsidR="00926909" w:rsidRPr="00006D37" w:rsidRDefault="00926909" w:rsidP="003A6093">
      <w:pPr>
        <w:pStyle w:val="Subtitulocorpo"/>
        <w:rPr>
          <w:b w:val="0"/>
          <w:sz w:val="23"/>
          <w:szCs w:val="23"/>
        </w:rPr>
      </w:pPr>
    </w:p>
    <w:p w:rsidR="00926909" w:rsidRPr="00006D37" w:rsidRDefault="00926909" w:rsidP="003A6093">
      <w:pPr>
        <w:pStyle w:val="Subtitulocorpo"/>
        <w:rPr>
          <w:b w:val="0"/>
          <w:sz w:val="23"/>
          <w:szCs w:val="23"/>
        </w:rPr>
      </w:pPr>
    </w:p>
    <w:p w:rsidR="00926909" w:rsidRPr="00006D37" w:rsidRDefault="00926909" w:rsidP="003A6093">
      <w:pPr>
        <w:pStyle w:val="EndNoteBibliography"/>
        <w:spacing w:after="0"/>
        <w:rPr>
          <w:szCs w:val="23"/>
          <w:lang w:val="pt-BR"/>
        </w:rPr>
      </w:pPr>
    </w:p>
    <w:p w:rsidR="00926909" w:rsidRPr="00E23EC1" w:rsidRDefault="00926909" w:rsidP="003A6093">
      <w:pPr>
        <w:pStyle w:val="Subtitulocorpo"/>
        <w:rPr>
          <w:b w:val="0"/>
          <w:sz w:val="23"/>
          <w:szCs w:val="23"/>
        </w:rPr>
      </w:pPr>
    </w:p>
    <w:p w:rsidR="00FA34D1" w:rsidRPr="00006D37" w:rsidRDefault="00FA34D1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926909" w:rsidRPr="00006D37" w:rsidRDefault="00926909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</w:p>
    <w:p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lastRenderedPageBreak/>
        <w:t>Público Alvo</w:t>
      </w:r>
    </w:p>
    <w:p w:rsidR="00C66322" w:rsidRDefault="00C66322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Dermatologista </w:t>
      </w:r>
    </w:p>
    <w:p w:rsidR="0077382A" w:rsidRDefault="0077382A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A67E8" w:rsidRDefault="008A67E8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363FF" w:rsidRDefault="00D363FF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D363FF" w:rsidRDefault="00C66322" w:rsidP="00C66322">
      <w:pPr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D363FF">
        <w:rPr>
          <w:rFonts w:ascii="Swis721 Th BT" w:hAnsi="Swis721 Th BT"/>
          <w:b/>
          <w:color w:val="FF3399"/>
          <w:sz w:val="60"/>
          <w:szCs w:val="60"/>
        </w:rPr>
        <w:lastRenderedPageBreak/>
        <w:t>Exemplos de Fórmulas</w:t>
      </w:r>
    </w:p>
    <w:p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:rsidR="001E5664" w:rsidRPr="001E5664" w:rsidRDefault="001E5664" w:rsidP="001E5664">
      <w:pPr>
        <w:pStyle w:val="Corpo"/>
        <w:rPr>
          <w:b/>
          <w:bCs/>
          <w:i/>
          <w:iCs/>
          <w:sz w:val="24"/>
          <w:u w:val="single"/>
        </w:rPr>
      </w:pPr>
      <w:r w:rsidRPr="001E5664">
        <w:rPr>
          <w:b/>
          <w:bCs/>
          <w:i/>
          <w:iCs/>
          <w:sz w:val="24"/>
          <w:u w:val="single"/>
        </w:rPr>
        <w:t>Combinação Eficaz no Tratamento da Discromia Facial</w:t>
      </w:r>
    </w:p>
    <w:p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:rsidTr="001E5664">
        <w:trPr>
          <w:trHeight w:val="2250"/>
        </w:trPr>
        <w:tc>
          <w:tcPr>
            <w:tcW w:w="4814" w:type="dxa"/>
          </w:tcPr>
          <w:p w:rsidR="001E5664" w:rsidRPr="001E5664" w:rsidRDefault="001E5664" w:rsidP="001E566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Ácido Kójico.................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</w:t>
            </w: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......................... 1%</w:t>
            </w:r>
          </w:p>
          <w:p w:rsidR="001E5664" w:rsidRPr="001E5664" w:rsidRDefault="001E5664" w:rsidP="001E566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Ácido Tranexâmico 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</w:t>
            </w: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 3%</w:t>
            </w:r>
          </w:p>
          <w:p w:rsidR="001E5664" w:rsidRPr="001E5664" w:rsidRDefault="001E5664" w:rsidP="001E566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Niacinamida..........................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</w:t>
            </w: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 5%</w:t>
            </w:r>
          </w:p>
          <w:p w:rsidR="001E5664" w:rsidRDefault="001E5664" w:rsidP="001E566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Creme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qsp............................................... 30</w:t>
            </w: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g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</w:p>
          <w:p w:rsidR="00C66322" w:rsidRPr="00345CD5" w:rsidRDefault="001E5664" w:rsidP="001E5664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E5664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Passar na pele conforme orientação médica.</w:t>
            </w:r>
          </w:p>
        </w:tc>
      </w:tr>
    </w:tbl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Default="00C66322" w:rsidP="00C66322">
      <w:pPr>
        <w:pStyle w:val="Corpo"/>
        <w:spacing w:after="120"/>
        <w:rPr>
          <w:szCs w:val="23"/>
        </w:rPr>
      </w:pPr>
    </w:p>
    <w:p w:rsidR="001E5664" w:rsidRPr="001E5664" w:rsidRDefault="001E5664" w:rsidP="001E5664">
      <w:pPr>
        <w:pStyle w:val="Corpo"/>
        <w:spacing w:after="120"/>
        <w:rPr>
          <w:sz w:val="24"/>
        </w:rPr>
      </w:pPr>
      <w:r>
        <w:rPr>
          <w:sz w:val="24"/>
        </w:rPr>
        <w:t xml:space="preserve">O objetivo do estudo foi avaliar os efeitos do ácido kójico, ácido tranexâmico e niacinamida na melhora da discromia facial (Desai </w:t>
      </w:r>
      <w:r>
        <w:rPr>
          <w:i/>
          <w:sz w:val="24"/>
        </w:rPr>
        <w:t xml:space="preserve">et al., </w:t>
      </w:r>
      <w:r>
        <w:rPr>
          <w:sz w:val="24"/>
        </w:rPr>
        <w:t xml:space="preserve">2019). </w:t>
      </w:r>
      <w:r w:rsidRPr="001E5664">
        <w:rPr>
          <w:sz w:val="24"/>
        </w:rPr>
        <w:t>Para isso, mulheres brasileiras com fototipo 1 foram selecionados para receberem durante 12 semanas:</w:t>
      </w:r>
    </w:p>
    <w:p w:rsidR="00D758FA" w:rsidRPr="00D758FA" w:rsidRDefault="00D758FA" w:rsidP="00D758FA">
      <w:pPr>
        <w:pStyle w:val="Corpo"/>
        <w:ind w:left="786"/>
        <w:rPr>
          <w:szCs w:val="23"/>
        </w:rPr>
      </w:pPr>
    </w:p>
    <w:p w:rsidR="00D758FA" w:rsidRPr="00D758FA" w:rsidRDefault="001E5664" w:rsidP="00D758FA">
      <w:pPr>
        <w:pStyle w:val="Corpo"/>
        <w:ind w:left="786"/>
        <w:rPr>
          <w:szCs w:val="23"/>
        </w:rPr>
      </w:pPr>
      <w:r w:rsidRPr="00D758FA">
        <w:rPr>
          <w:noProof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FFC3B" wp14:editId="131C145D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1828800" cy="847725"/>
                <wp:effectExtent l="0" t="0" r="19050" b="28575"/>
                <wp:wrapNone/>
                <wp:docPr id="66" name="Caixa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Default="001E5664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Grupo 1</w:t>
                            </w:r>
                          </w:p>
                          <w:p w:rsidR="00D758FA" w:rsidRPr="00376204" w:rsidRDefault="00D758FA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1E5664" w:rsidRDefault="001E5664" w:rsidP="001E5664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  <w:t>Ácido K</w:t>
                            </w:r>
                            <w:r w:rsidRPr="001D6C85"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  <w:t>ójico</w:t>
                            </w:r>
                            <w:r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  <w:t xml:space="preserve"> 1%</w:t>
                            </w:r>
                          </w:p>
                          <w:p w:rsidR="001E5664" w:rsidRDefault="001E5664" w:rsidP="001E5664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  <w:t>Ácido Tranexâmico 3%</w:t>
                            </w:r>
                          </w:p>
                          <w:p w:rsidR="001E5664" w:rsidRDefault="001E5664" w:rsidP="001E5664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  <w:t>Niacinamida 5%</w:t>
                            </w:r>
                          </w:p>
                          <w:p w:rsidR="00D758FA" w:rsidRPr="006F3219" w:rsidRDefault="00D758FA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D758FA" w:rsidRPr="00190C3C" w:rsidRDefault="00D758FA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</w:p>
                          <w:p w:rsidR="00D758FA" w:rsidRPr="00190C3C" w:rsidRDefault="00D758FA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D758FA" w:rsidRDefault="00D758FA" w:rsidP="00D75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FFC3B" id="_x0000_t202" coordsize="21600,21600" o:spt="202" path="m,l,21600r21600,l21600,xe">
                <v:stroke joinstyle="miter"/>
                <v:path gradientshapeok="t" o:connecttype="rect"/>
              </v:shapetype>
              <v:shape id="Caixa de texto 66" o:spid="_x0000_s1026" type="#_x0000_t202" style="position:absolute;left:0;text-align:left;margin-left:-.05pt;margin-top:.55pt;width:2in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" fillcolor="#aeaaaa [2414]" strokecolor="#aeaaaa [2414]">
                <v:textbox>
                  <w:txbxContent>
                    <w:p w:rsidR="00D758FA" w:rsidRDefault="001E5664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Swis721 Th BT" w:hAnsi="Swis721 Th BT"/>
                          <w:b/>
                          <w:color w:val="FFFFFF" w:themeColor="background1"/>
                          <w:sz w:val="23"/>
                          <w:szCs w:val="23"/>
                        </w:rPr>
                        <w:t>Grupo 1</w:t>
                      </w:r>
                    </w:p>
                    <w:p w:rsidR="00D758FA" w:rsidRPr="00376204" w:rsidRDefault="00D758FA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1E5664" w:rsidRDefault="001E5664" w:rsidP="001E5664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  <w:t>Ácido K</w:t>
                      </w:r>
                      <w:r w:rsidRPr="001D6C85"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  <w:t>ójico</w:t>
                      </w:r>
                      <w:r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  <w:t xml:space="preserve"> 1%</w:t>
                      </w:r>
                    </w:p>
                    <w:p w:rsidR="001E5664" w:rsidRDefault="001E5664" w:rsidP="001E5664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  <w:t>Ácido Tranexâmico 3%</w:t>
                      </w:r>
                    </w:p>
                    <w:p w:rsidR="001E5664" w:rsidRDefault="001E5664" w:rsidP="001E5664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  <w:t>Niacinamida 5%</w:t>
                      </w:r>
                    </w:p>
                    <w:p w:rsidR="00D758FA" w:rsidRPr="006F3219" w:rsidRDefault="00D758FA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D758FA" w:rsidRPr="00190C3C" w:rsidRDefault="00D758FA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</w:p>
                    <w:p w:rsidR="00D758FA" w:rsidRPr="00190C3C" w:rsidRDefault="00D758FA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D758FA" w:rsidRDefault="00D758FA" w:rsidP="00D758FA"/>
                  </w:txbxContent>
                </v:textbox>
                <w10:wrap anchorx="margin"/>
              </v:shape>
            </w:pict>
          </mc:Fallback>
        </mc:AlternateContent>
      </w:r>
      <w:r w:rsidR="00D758FA" w:rsidRPr="00D758FA">
        <w:rPr>
          <w:noProof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FEB7" wp14:editId="13497E89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828800" cy="838200"/>
                <wp:effectExtent l="0" t="0" r="19050" b="19050"/>
                <wp:wrapNone/>
                <wp:docPr id="64" name="Caixa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Default="001E5664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Grupo 2</w:t>
                            </w:r>
                          </w:p>
                          <w:p w:rsidR="00D758FA" w:rsidRPr="00E20B62" w:rsidRDefault="00D758FA" w:rsidP="00D758FA">
                            <w:pPr>
                              <w:spacing w:after="0" w:line="240" w:lineRule="auto"/>
                              <w:rPr>
                                <w:rFonts w:ascii="Swis721 Th BT" w:hAnsi="Swis721 Th BT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58FA" w:rsidRPr="00086CFC" w:rsidRDefault="001E5664" w:rsidP="00D758FA">
                            <w:pPr>
                              <w:spacing w:after="0" w:line="240" w:lineRule="auto"/>
                              <w:jc w:val="center"/>
                              <w:rPr>
                                <w:rFonts w:ascii="Swis721 Th BT" w:hAnsi="Swis721 Th BT"/>
                                <w:color w:val="FFFFFF" w:themeColor="background1"/>
                                <w:szCs w:val="23"/>
                              </w:rPr>
                            </w:pPr>
                            <w:r w:rsidRPr="008E2F28">
                              <w:rPr>
                                <w:rFonts w:ascii="Swis721 Th BT" w:hAnsi="Swis721 Th BT"/>
                                <w:color w:val="FFFFFF" w:themeColor="background1"/>
                                <w:sz w:val="23"/>
                                <w:szCs w:val="23"/>
                              </w:rPr>
                              <w:t>Controle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FEB7" id="Caixa de texto 64" o:spid="_x0000_s1027" type="#_x0000_t202" style="position:absolute;left:0;text-align:left;margin-left:92.8pt;margin-top:1.3pt;width:2in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" fillcolor="#aeaaaa [2414]" strokecolor="#aeaaaa [2414]">
                <v:textbox>
                  <w:txbxContent>
                    <w:p w:rsidR="00D758FA" w:rsidRDefault="001E5664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>
                        <w:rPr>
                          <w:rFonts w:ascii="Swis721 Th BT" w:hAnsi="Swis721 Th BT"/>
                          <w:b/>
                          <w:color w:val="FFFFFF" w:themeColor="background1"/>
                          <w:sz w:val="23"/>
                          <w:szCs w:val="23"/>
                        </w:rPr>
                        <w:t>Grupo 2</w:t>
                      </w:r>
                    </w:p>
                    <w:p w:rsidR="00D758FA" w:rsidRPr="00E20B62" w:rsidRDefault="00D758FA" w:rsidP="00D758FA">
                      <w:pPr>
                        <w:spacing w:after="0" w:line="240" w:lineRule="auto"/>
                        <w:rPr>
                          <w:rFonts w:ascii="Swis721 Th BT" w:hAnsi="Swis721 Th BT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58FA" w:rsidRPr="00086CFC" w:rsidRDefault="001E5664" w:rsidP="00D758FA">
                      <w:pPr>
                        <w:spacing w:after="0" w:line="240" w:lineRule="auto"/>
                        <w:jc w:val="center"/>
                        <w:rPr>
                          <w:rFonts w:ascii="Swis721 Th BT" w:hAnsi="Swis721 Th BT"/>
                          <w:color w:val="FFFFFF" w:themeColor="background1"/>
                          <w:szCs w:val="23"/>
                        </w:rPr>
                      </w:pPr>
                      <w:r w:rsidRPr="008E2F28">
                        <w:rPr>
                          <w:rFonts w:ascii="Swis721 Th BT" w:hAnsi="Swis721 Th BT"/>
                          <w:color w:val="FFFFFF" w:themeColor="background1"/>
                          <w:sz w:val="23"/>
                          <w:szCs w:val="23"/>
                        </w:rPr>
                        <w:t>Controle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58FA" w:rsidRPr="00D758FA" w:rsidRDefault="00D758FA" w:rsidP="00D758FA">
      <w:pPr>
        <w:pStyle w:val="Corpo"/>
        <w:ind w:left="786"/>
        <w:rPr>
          <w:szCs w:val="23"/>
        </w:rPr>
      </w:pPr>
    </w:p>
    <w:p w:rsidR="00D758FA" w:rsidRPr="00D758FA" w:rsidRDefault="00D758FA" w:rsidP="00D758FA">
      <w:pPr>
        <w:pStyle w:val="Corpo"/>
        <w:ind w:left="786"/>
        <w:rPr>
          <w:szCs w:val="23"/>
        </w:rPr>
      </w:pPr>
    </w:p>
    <w:p w:rsidR="00D758FA" w:rsidRDefault="00D758FA" w:rsidP="004004CB">
      <w:pPr>
        <w:pStyle w:val="Corpo"/>
        <w:ind w:left="786"/>
        <w:rPr>
          <w:szCs w:val="23"/>
        </w:rPr>
      </w:pPr>
    </w:p>
    <w:p w:rsidR="00D758FA" w:rsidRDefault="00D758FA" w:rsidP="004004CB">
      <w:pPr>
        <w:pStyle w:val="Corpo"/>
        <w:ind w:left="786"/>
        <w:rPr>
          <w:szCs w:val="23"/>
        </w:rPr>
      </w:pPr>
    </w:p>
    <w:p w:rsidR="00D758FA" w:rsidRDefault="00D758FA" w:rsidP="001E5664">
      <w:pPr>
        <w:pStyle w:val="Corpo"/>
        <w:ind w:left="708"/>
        <w:rPr>
          <w:szCs w:val="23"/>
        </w:rPr>
      </w:pPr>
    </w:p>
    <w:p w:rsidR="001E5664" w:rsidRPr="001E5664" w:rsidRDefault="001E5664" w:rsidP="001E5664">
      <w:pPr>
        <w:pStyle w:val="Corpo"/>
        <w:numPr>
          <w:ilvl w:val="0"/>
          <w:numId w:val="11"/>
        </w:numPr>
        <w:ind w:left="360"/>
        <w:rPr>
          <w:szCs w:val="23"/>
        </w:rPr>
      </w:pPr>
      <w:r w:rsidRPr="001E5664">
        <w:rPr>
          <w:szCs w:val="23"/>
        </w:rPr>
        <w:t>Uma melhora significativa no aparecimento da hiperpigmentação pós-inflamatória, hiperpigmentação, melasma, textura da pele e homogeneidade do tom de pele foi observada a partir da semana 2 e continuou até a semana 12;</w:t>
      </w:r>
    </w:p>
    <w:p w:rsidR="001E5664" w:rsidRDefault="001E5664" w:rsidP="001E5664">
      <w:pPr>
        <w:pStyle w:val="Corpo"/>
        <w:rPr>
          <w:szCs w:val="23"/>
        </w:rPr>
      </w:pPr>
    </w:p>
    <w:p w:rsidR="001E5664" w:rsidRPr="001E5664" w:rsidRDefault="001E5664" w:rsidP="001E5664">
      <w:pPr>
        <w:pStyle w:val="Corpo"/>
        <w:numPr>
          <w:ilvl w:val="0"/>
          <w:numId w:val="11"/>
        </w:numPr>
        <w:ind w:left="360"/>
        <w:rPr>
          <w:szCs w:val="23"/>
        </w:rPr>
      </w:pPr>
      <w:r w:rsidRPr="001E5664">
        <w:rPr>
          <w:szCs w:val="23"/>
        </w:rPr>
        <w:t>O índice de melanina, medido pelo Mexameter</w:t>
      </w:r>
      <w:r w:rsidRPr="001E5664">
        <w:rPr>
          <w:szCs w:val="23"/>
          <w:vertAlign w:val="superscript"/>
        </w:rPr>
        <w:t>®</w:t>
      </w:r>
      <w:r w:rsidRPr="001E5664">
        <w:rPr>
          <w:szCs w:val="23"/>
        </w:rPr>
        <w:t>, demonstrou uma diminuição significativa na semana 12 em comparação tanto para linha de base pré-tratamento e controle.</w:t>
      </w: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1E5664" w:rsidRDefault="001E566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1E5664" w:rsidRDefault="001E5664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D758FA" w:rsidRPr="00461554" w:rsidRDefault="00CD03E3" w:rsidP="00D758FA">
      <w:pPr>
        <w:pStyle w:val="Corpo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lastRenderedPageBreak/>
        <w:t xml:space="preserve">Cápsulas de Glutationa no Manejo das Manchas da Pele </w:t>
      </w:r>
    </w:p>
    <w:p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:rsidTr="00A37C72">
        <w:trPr>
          <w:trHeight w:val="518"/>
        </w:trPr>
        <w:tc>
          <w:tcPr>
            <w:tcW w:w="4814" w:type="dxa"/>
          </w:tcPr>
          <w:p w:rsidR="00CD03E3" w:rsidRPr="00CD03E3" w:rsidRDefault="00CD03E3" w:rsidP="00CD03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Glutationa...................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</w:t>
            </w:r>
            <w:r w:rsidRP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....................250 mg</w:t>
            </w:r>
          </w:p>
          <w:p w:rsidR="00CD03E3" w:rsidRDefault="00CD03E3" w:rsidP="00CD03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</w:t>
            </w:r>
            <w:r w:rsidRP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..................1 Cápsula</w:t>
            </w:r>
          </w:p>
          <w:p w:rsidR="00C66322" w:rsidRPr="00345CD5" w:rsidRDefault="004004CB" w:rsidP="00CD03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Administrar </w:t>
            </w:r>
            <w:r w:rsidR="00CD03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2 cápsulas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ao dia ou conforme orientação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médica.</w:t>
            </w:r>
          </w:p>
        </w:tc>
      </w:tr>
    </w:tbl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:rsidR="00CD03E3" w:rsidRDefault="00CD03E3" w:rsidP="00CD03E3">
      <w:pPr>
        <w:pStyle w:val="Corpo"/>
      </w:pPr>
      <w:r>
        <w:t>Um estudo randomizado, duplo-cego e placebo-controlado conduzido em 60 estudantes de medicina tailandeses saudáveis.</w:t>
      </w:r>
    </w:p>
    <w:p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:rsidR="00CD03E3" w:rsidRPr="00CD03E3" w:rsidRDefault="00CD03E3" w:rsidP="00CD03E3">
      <w:pPr>
        <w:pStyle w:val="PargrafodaLista"/>
        <w:numPr>
          <w:ilvl w:val="0"/>
          <w:numId w:val="12"/>
        </w:numPr>
        <w:ind w:left="36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3E3">
        <w:rPr>
          <w:rFonts w:ascii="Swis721 Th BT" w:hAnsi="Swis721 Th BT"/>
          <w:color w:val="404040" w:themeColor="text1" w:themeTint="BF"/>
          <w:sz w:val="23"/>
          <w:szCs w:val="23"/>
        </w:rPr>
        <w:t>No grupo que recebeu glutationa os índices de melanina diminuíram nos 6 locais avaliados e a tolerância foi excelente.</w:t>
      </w:r>
    </w:p>
    <w:p w:rsidR="00CD03E3" w:rsidRPr="00CD03E3" w:rsidRDefault="00CD03E3" w:rsidP="00CD03E3">
      <w:pPr>
        <w:pStyle w:val="PargrafodaLista"/>
        <w:ind w:left="-36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D03E3" w:rsidRPr="00CD03E3" w:rsidRDefault="00CD03E3" w:rsidP="00CD03E3">
      <w:pPr>
        <w:pStyle w:val="PargrafodaLista"/>
        <w:numPr>
          <w:ilvl w:val="0"/>
          <w:numId w:val="12"/>
        </w:numPr>
        <w:ind w:left="36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3E3">
        <w:rPr>
          <w:rFonts w:ascii="Swis721 Th BT" w:hAnsi="Swis721 Th BT"/>
          <w:color w:val="404040" w:themeColor="text1" w:themeTint="BF"/>
          <w:sz w:val="23"/>
          <w:szCs w:val="23"/>
        </w:rPr>
        <w:t>A administração de glutationa, 500 mg ao dia, por via oral resulta em um clareamento da coloração da pele (Arjinpathana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r w:rsidRPr="00CD03E3">
        <w:rPr>
          <w:rFonts w:ascii="Swis721 Th BT" w:hAnsi="Swis721 Th BT"/>
          <w:color w:val="404040" w:themeColor="text1" w:themeTint="BF"/>
          <w:sz w:val="23"/>
          <w:szCs w:val="23"/>
        </w:rPr>
        <w:t>e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r w:rsidRPr="00CD03E3">
        <w:rPr>
          <w:rFonts w:ascii="Swis721 Th BT" w:hAnsi="Swis721 Th BT"/>
          <w:color w:val="404040" w:themeColor="text1" w:themeTint="BF"/>
          <w:sz w:val="23"/>
          <w:szCs w:val="23"/>
        </w:rPr>
        <w:t>Asawanonda, 2012).</w:t>
      </w: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D03E3" w:rsidRDefault="00CD03E3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D03E3" w:rsidRDefault="00CD03E3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D03E3" w:rsidRDefault="00CD03E3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D03E3" w:rsidRDefault="00CD03E3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D03E3" w:rsidRDefault="00CD03E3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9E7CEC" w:rsidRPr="00CD03E3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FF3399"/>
          <w:sz w:val="60"/>
          <w:szCs w:val="60"/>
        </w:rPr>
      </w:pPr>
      <w:r w:rsidRPr="00CD03E3">
        <w:rPr>
          <w:rFonts w:ascii="Swis721 Th BT" w:hAnsi="Swis721 Th BT"/>
          <w:b/>
          <w:color w:val="FF3399"/>
          <w:sz w:val="60"/>
          <w:szCs w:val="60"/>
        </w:rPr>
        <w:lastRenderedPageBreak/>
        <w:t>Outras Informações</w:t>
      </w:r>
    </w:p>
    <w:p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9E7CEC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4A" w:rsidRDefault="00A61F4A" w:rsidP="00CD03E3">
      <w:pPr>
        <w:spacing w:after="0" w:line="240" w:lineRule="auto"/>
      </w:pPr>
      <w:r>
        <w:separator/>
      </w:r>
    </w:p>
  </w:endnote>
  <w:endnote w:type="continuationSeparator" w:id="0">
    <w:p w:rsidR="00A61F4A" w:rsidRDefault="00A61F4A" w:rsidP="00CD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4A" w:rsidRDefault="00A61F4A" w:rsidP="00CD03E3">
      <w:pPr>
        <w:spacing w:after="0" w:line="240" w:lineRule="auto"/>
      </w:pPr>
      <w:r>
        <w:separator/>
      </w:r>
    </w:p>
  </w:footnote>
  <w:footnote w:type="continuationSeparator" w:id="0">
    <w:p w:rsidR="00A61F4A" w:rsidRDefault="00A61F4A" w:rsidP="00CD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90E"/>
    <w:multiLevelType w:val="hybridMultilevel"/>
    <w:tmpl w:val="E0FCB846"/>
    <w:lvl w:ilvl="0" w:tplc="2C2030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081"/>
    <w:multiLevelType w:val="hybridMultilevel"/>
    <w:tmpl w:val="3688627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00A"/>
    <w:multiLevelType w:val="hybridMultilevel"/>
    <w:tmpl w:val="DC00B0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44BA"/>
    <w:multiLevelType w:val="hybridMultilevel"/>
    <w:tmpl w:val="C21AFCB4"/>
    <w:lvl w:ilvl="0" w:tplc="041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C31A4"/>
    <w:multiLevelType w:val="hybridMultilevel"/>
    <w:tmpl w:val="35B83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24EDA"/>
    <w:multiLevelType w:val="hybridMultilevel"/>
    <w:tmpl w:val="88FEE0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06D37"/>
    <w:rsid w:val="000C212B"/>
    <w:rsid w:val="000D7D96"/>
    <w:rsid w:val="001823D8"/>
    <w:rsid w:val="001E5664"/>
    <w:rsid w:val="001E5A28"/>
    <w:rsid w:val="001F58D1"/>
    <w:rsid w:val="002261B6"/>
    <w:rsid w:val="00301780"/>
    <w:rsid w:val="00315013"/>
    <w:rsid w:val="003236AC"/>
    <w:rsid w:val="00336268"/>
    <w:rsid w:val="00336A3C"/>
    <w:rsid w:val="00374D8A"/>
    <w:rsid w:val="0037714F"/>
    <w:rsid w:val="003A6093"/>
    <w:rsid w:val="003D5EB8"/>
    <w:rsid w:val="004004CB"/>
    <w:rsid w:val="0040510E"/>
    <w:rsid w:val="00422D07"/>
    <w:rsid w:val="00436FA6"/>
    <w:rsid w:val="00473A67"/>
    <w:rsid w:val="00474650"/>
    <w:rsid w:val="004C2B9D"/>
    <w:rsid w:val="004E0F48"/>
    <w:rsid w:val="00550702"/>
    <w:rsid w:val="005B6ABF"/>
    <w:rsid w:val="005D0611"/>
    <w:rsid w:val="0062693F"/>
    <w:rsid w:val="006667F4"/>
    <w:rsid w:val="00680497"/>
    <w:rsid w:val="006822D8"/>
    <w:rsid w:val="006A5172"/>
    <w:rsid w:val="006F02BF"/>
    <w:rsid w:val="0071543C"/>
    <w:rsid w:val="0077382A"/>
    <w:rsid w:val="007871E9"/>
    <w:rsid w:val="007C57CC"/>
    <w:rsid w:val="008A67E8"/>
    <w:rsid w:val="00911ACE"/>
    <w:rsid w:val="009212DF"/>
    <w:rsid w:val="009223E1"/>
    <w:rsid w:val="00926909"/>
    <w:rsid w:val="009620EB"/>
    <w:rsid w:val="00967E37"/>
    <w:rsid w:val="009B075B"/>
    <w:rsid w:val="009C18E4"/>
    <w:rsid w:val="009C5E27"/>
    <w:rsid w:val="009D172E"/>
    <w:rsid w:val="009E7CEC"/>
    <w:rsid w:val="00A11927"/>
    <w:rsid w:val="00A61F4A"/>
    <w:rsid w:val="00A82879"/>
    <w:rsid w:val="00AB3C2F"/>
    <w:rsid w:val="00B215E5"/>
    <w:rsid w:val="00B37296"/>
    <w:rsid w:val="00B51F9E"/>
    <w:rsid w:val="00BF4B24"/>
    <w:rsid w:val="00C10251"/>
    <w:rsid w:val="00C43234"/>
    <w:rsid w:val="00C45ECE"/>
    <w:rsid w:val="00C54976"/>
    <w:rsid w:val="00C66322"/>
    <w:rsid w:val="00C76A5A"/>
    <w:rsid w:val="00CD03E3"/>
    <w:rsid w:val="00CD7AFC"/>
    <w:rsid w:val="00CD7C87"/>
    <w:rsid w:val="00D000FB"/>
    <w:rsid w:val="00D363FF"/>
    <w:rsid w:val="00D758FA"/>
    <w:rsid w:val="00D77220"/>
    <w:rsid w:val="00DB61CE"/>
    <w:rsid w:val="00DE167B"/>
    <w:rsid w:val="00DF356A"/>
    <w:rsid w:val="00E11206"/>
    <w:rsid w:val="00E25291"/>
    <w:rsid w:val="00E51398"/>
    <w:rsid w:val="00E84B53"/>
    <w:rsid w:val="00EF7636"/>
    <w:rsid w:val="00F058A2"/>
    <w:rsid w:val="00F17C5D"/>
    <w:rsid w:val="00F40419"/>
    <w:rsid w:val="00FA34D1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004CB"/>
    <w:rPr>
      <w:rFonts w:ascii="Futura Md BT" w:hAnsi="Futura Md BT"/>
      <w:color w:val="404040" w:themeColor="text1" w:themeTint="BF"/>
      <w:sz w:val="23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E3"/>
  </w:style>
  <w:style w:type="paragraph" w:styleId="Rodap">
    <w:name w:val="footer"/>
    <w:basedOn w:val="Normal"/>
    <w:link w:val="RodapChar"/>
    <w:uiPriority w:val="99"/>
    <w:unhideWhenUsed/>
    <w:rsid w:val="00CD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E3"/>
  </w:style>
  <w:style w:type="paragraph" w:customStyle="1" w:styleId="Subtitulocorpo">
    <w:name w:val="Subtitulo_corpo"/>
    <w:basedOn w:val="Normal"/>
    <w:link w:val="SubtitulocorpoChar"/>
    <w:qFormat/>
    <w:rsid w:val="003A6093"/>
    <w:pPr>
      <w:spacing w:after="0" w:line="240" w:lineRule="auto"/>
    </w:pPr>
    <w:rPr>
      <w:rFonts w:ascii="Swis721 Th BT" w:eastAsia="MS Mincho" w:hAnsi="Swis721 Th BT"/>
      <w:b/>
      <w:color w:val="6DB6FF"/>
      <w:sz w:val="40"/>
    </w:rPr>
  </w:style>
  <w:style w:type="character" w:customStyle="1" w:styleId="SubtitulocorpoChar">
    <w:name w:val="Subtitulo_corpo Char"/>
    <w:basedOn w:val="Fontepargpadro"/>
    <w:link w:val="Subtitulocorpo"/>
    <w:rsid w:val="003A6093"/>
    <w:rPr>
      <w:rFonts w:ascii="Swis721 Th BT" w:eastAsia="MS Mincho" w:hAnsi="Swis721 Th BT"/>
      <w:b/>
      <w:color w:val="6DB6FF"/>
      <w:sz w:val="40"/>
    </w:rPr>
  </w:style>
  <w:style w:type="paragraph" w:customStyle="1" w:styleId="bibliografia">
    <w:name w:val="bibliografia"/>
    <w:basedOn w:val="Normal"/>
    <w:link w:val="bibliografiaChar"/>
    <w:qFormat/>
    <w:rsid w:val="003A6093"/>
    <w:pPr>
      <w:tabs>
        <w:tab w:val="right" w:leader="dot" w:pos="3715"/>
      </w:tabs>
      <w:spacing w:after="20" w:line="240" w:lineRule="auto"/>
      <w:jc w:val="both"/>
    </w:pPr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ntepargpadro"/>
    <w:link w:val="bibliografia"/>
    <w:rsid w:val="003A6093"/>
    <w:rPr>
      <w:rFonts w:ascii="Swis721 Th BT" w:eastAsia="MS Mincho" w:hAnsi="Swis721 Th BT"/>
      <w:color w:val="595959" w:themeColor="text1" w:themeTint="A6"/>
      <w:sz w:val="12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A6093"/>
    <w:rPr>
      <w:color w:val="0563C1" w:themeColor="hyperlink"/>
      <w:u w:val="single"/>
    </w:rPr>
  </w:style>
  <w:style w:type="paragraph" w:customStyle="1" w:styleId="RefernciaOK">
    <w:name w:val="Referência OK"/>
    <w:basedOn w:val="Normal"/>
    <w:link w:val="RefernciaOKChar"/>
    <w:qFormat/>
    <w:rsid w:val="003A6093"/>
    <w:pPr>
      <w:tabs>
        <w:tab w:val="right" w:leader="dot" w:pos="3715"/>
      </w:tabs>
      <w:spacing w:after="20" w:line="240" w:lineRule="auto"/>
      <w:jc w:val="both"/>
    </w:pPr>
    <w:rPr>
      <w:rFonts w:ascii="Swis721 Th BT" w:eastAsiaTheme="minorEastAsia" w:hAnsi="Swis721 Th BT"/>
      <w:color w:val="404040" w:themeColor="text1" w:themeTint="BF"/>
      <w:sz w:val="14"/>
      <w:szCs w:val="16"/>
      <w:lang w:val="en-US" w:eastAsia="pt-BR"/>
    </w:rPr>
  </w:style>
  <w:style w:type="character" w:customStyle="1" w:styleId="RefernciaOKChar">
    <w:name w:val="Referência OK Char"/>
    <w:basedOn w:val="Fontepargpadro"/>
    <w:link w:val="RefernciaOK"/>
    <w:rsid w:val="003A6093"/>
    <w:rPr>
      <w:rFonts w:ascii="Swis721 Th BT" w:eastAsiaTheme="minorEastAsia" w:hAnsi="Swis721 Th BT"/>
      <w:color w:val="404040" w:themeColor="text1" w:themeTint="BF"/>
      <w:sz w:val="14"/>
      <w:szCs w:val="16"/>
      <w:lang w:val="en-US" w:eastAsia="pt-BR"/>
    </w:rPr>
  </w:style>
  <w:style w:type="paragraph" w:customStyle="1" w:styleId="EndNoteBibliography">
    <w:name w:val="EndNote Bibliography"/>
    <w:basedOn w:val="Normal"/>
    <w:link w:val="EndNoteBibliographyCarter"/>
    <w:rsid w:val="003A6093"/>
    <w:pPr>
      <w:spacing w:line="240" w:lineRule="auto"/>
      <w:jc w:val="both"/>
    </w:pPr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EndNoteBibliographyCarter">
    <w:name w:val="EndNote Bibliography Caráter"/>
    <w:basedOn w:val="CorpoChar"/>
    <w:link w:val="EndNoteBibliography"/>
    <w:rsid w:val="003A6093"/>
    <w:rPr>
      <w:rFonts w:ascii="Swis721 Th BT" w:eastAsia="MS Mincho" w:hAnsi="Swis721 Th BT"/>
      <w:noProof/>
      <w:color w:val="404040" w:themeColor="text1" w:themeTint="BF"/>
      <w:sz w:val="23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0C21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12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12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17029-ADE7-4954-B849-99D7EA6F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1608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Vitor Ruiz Ramo</cp:lastModifiedBy>
  <cp:revision>5</cp:revision>
  <cp:lastPrinted>2019-01-08T11:01:00Z</cp:lastPrinted>
  <dcterms:created xsi:type="dcterms:W3CDTF">2022-06-07T18:09:00Z</dcterms:created>
  <dcterms:modified xsi:type="dcterms:W3CDTF">2022-09-22T12:04:00Z</dcterms:modified>
</cp:coreProperties>
</file>