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C" w:rsidRPr="00E17DC6" w:rsidRDefault="005427D4" w:rsidP="00C50146">
      <w:pPr>
        <w:spacing w:after="0" w:line="240" w:lineRule="auto"/>
        <w:jc w:val="center"/>
        <w:rPr>
          <w:rFonts w:ascii="Futura Md BT" w:hAnsi="Futura Md BT"/>
          <w:color w:val="EF8511"/>
          <w:sz w:val="36"/>
          <w:szCs w:val="36"/>
        </w:rPr>
      </w:pPr>
      <w:r w:rsidRPr="00E17DC6">
        <w:rPr>
          <w:rFonts w:ascii="Futura Md BT" w:hAnsi="Futura Md BT"/>
          <w:color w:val="EF8511"/>
          <w:sz w:val="36"/>
          <w:szCs w:val="36"/>
        </w:rPr>
        <w:t xml:space="preserve">Super Formulário </w:t>
      </w:r>
      <w:r w:rsidR="00C50146">
        <w:rPr>
          <w:rFonts w:ascii="Futura Md BT" w:hAnsi="Futura Md BT"/>
          <w:color w:val="EF8511"/>
          <w:sz w:val="36"/>
          <w:szCs w:val="36"/>
        </w:rPr>
        <w:t>Alergias e Intolerâncias Alimentares e Interações Entre Fármacos e Nutrientes</w:t>
      </w:r>
    </w:p>
    <w:p w:rsidR="005427D4" w:rsidRDefault="005427D4" w:rsidP="00E17DC6">
      <w:pPr>
        <w:spacing w:after="0"/>
        <w:jc w:val="center"/>
        <w:rPr>
          <w:rFonts w:ascii="Futura Md BT" w:hAnsi="Futura Md BT"/>
          <w:color w:val="006600"/>
          <w:sz w:val="32"/>
          <w:szCs w:val="32"/>
        </w:rPr>
      </w:pPr>
    </w:p>
    <w:p w:rsidR="005427D4" w:rsidRPr="005427D4" w:rsidRDefault="00421EEA" w:rsidP="005427D4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>166</w:t>
      </w:r>
      <w:r w:rsidR="005427D4" w:rsidRPr="005427D4">
        <w:rPr>
          <w:rFonts w:ascii="Futura Md BT" w:hAnsi="Futura Md BT"/>
          <w:color w:val="808080" w:themeColor="background1" w:themeShade="80"/>
          <w:szCs w:val="24"/>
        </w:rPr>
        <w:t xml:space="preserve"> páginas</w:t>
      </w:r>
      <w:r w:rsidR="005427D4">
        <w:rPr>
          <w:rFonts w:ascii="Futura Md BT" w:hAnsi="Futura Md BT"/>
          <w:color w:val="808080" w:themeColor="background1" w:themeShade="80"/>
          <w:szCs w:val="24"/>
        </w:rPr>
        <w:t>;</w:t>
      </w:r>
    </w:p>
    <w:p w:rsidR="005427D4" w:rsidRPr="005427D4" w:rsidRDefault="00421EEA" w:rsidP="005427D4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>56</w:t>
      </w:r>
      <w:r w:rsidR="005427D4" w:rsidRPr="005427D4">
        <w:rPr>
          <w:rFonts w:ascii="Futura Md BT" w:hAnsi="Futura Md BT"/>
          <w:color w:val="808080" w:themeColor="background1" w:themeShade="80"/>
          <w:szCs w:val="24"/>
        </w:rPr>
        <w:t xml:space="preserve"> formulações exclusivas</w:t>
      </w:r>
      <w:r w:rsidR="005427D4">
        <w:rPr>
          <w:rFonts w:ascii="Futura Md BT" w:hAnsi="Futura Md BT"/>
          <w:color w:val="808080" w:themeColor="background1" w:themeShade="80"/>
          <w:szCs w:val="24"/>
        </w:rPr>
        <w:t>;</w:t>
      </w:r>
    </w:p>
    <w:p w:rsidR="005427D4" w:rsidRDefault="00421EEA" w:rsidP="005427D4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>Entenda a diferença entre alergia e intolerância alimentar</w:t>
      </w:r>
      <w:r w:rsidR="000F7C05">
        <w:rPr>
          <w:rFonts w:ascii="Futura Md BT" w:hAnsi="Futura Md BT"/>
          <w:color w:val="808080" w:themeColor="background1" w:themeShade="80"/>
          <w:szCs w:val="24"/>
        </w:rPr>
        <w:t>;</w:t>
      </w:r>
    </w:p>
    <w:p w:rsidR="00421EEA" w:rsidRPr="00421EEA" w:rsidRDefault="00421EEA" w:rsidP="00421EEA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>Saiba como tratar quadros de alergias e intolerâncias e formas de suplementação para repor nutrientes que ficam deficientes com a retirada do alimento;</w:t>
      </w:r>
    </w:p>
    <w:p w:rsidR="00E17DC6" w:rsidRPr="005427D4" w:rsidRDefault="00421EEA" w:rsidP="005427D4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>Conheça as principais interações documentadas entre fármacos e vitaminas, minerais e fitoterápicos</w:t>
      </w:r>
    </w:p>
    <w:p w:rsidR="005427D4" w:rsidRDefault="00E17DC6" w:rsidP="005427D4">
      <w:pPr>
        <w:pStyle w:val="PargrafodaLista"/>
        <w:numPr>
          <w:ilvl w:val="0"/>
          <w:numId w:val="2"/>
        </w:numPr>
        <w:jc w:val="both"/>
        <w:rPr>
          <w:rFonts w:ascii="Futura Md BT" w:hAnsi="Futura Md BT"/>
          <w:color w:val="808080" w:themeColor="background1" w:themeShade="80"/>
          <w:szCs w:val="24"/>
        </w:rPr>
      </w:pPr>
      <w:r>
        <w:rPr>
          <w:rFonts w:ascii="Futura Md BT" w:hAnsi="Futura Md BT"/>
          <w:color w:val="808080" w:themeColor="background1" w:themeShade="80"/>
          <w:szCs w:val="24"/>
        </w:rPr>
        <w:t xml:space="preserve">Formulações </w:t>
      </w:r>
      <w:r w:rsidR="005427D4" w:rsidRPr="005427D4">
        <w:rPr>
          <w:rFonts w:ascii="Futura Md BT" w:hAnsi="Futura Md BT"/>
          <w:color w:val="808080" w:themeColor="background1" w:themeShade="80"/>
          <w:szCs w:val="24"/>
        </w:rPr>
        <w:t>exclusiv</w:t>
      </w:r>
      <w:r>
        <w:rPr>
          <w:rFonts w:ascii="Futura Md BT" w:hAnsi="Futura Md BT"/>
          <w:color w:val="808080" w:themeColor="background1" w:themeShade="80"/>
          <w:szCs w:val="24"/>
        </w:rPr>
        <w:t>a</w:t>
      </w:r>
      <w:r w:rsidR="006F41B2">
        <w:rPr>
          <w:rFonts w:ascii="Futura Md BT" w:hAnsi="Futura Md BT"/>
          <w:color w:val="808080" w:themeColor="background1" w:themeShade="80"/>
          <w:szCs w:val="24"/>
        </w:rPr>
        <w:t xml:space="preserve">s de como suplementar as principais vitaminas, minerais e </w:t>
      </w:r>
      <w:proofErr w:type="gramStart"/>
      <w:r w:rsidR="006F41B2">
        <w:rPr>
          <w:rFonts w:ascii="Futura Md BT" w:hAnsi="Futura Md BT"/>
          <w:color w:val="808080" w:themeColor="background1" w:themeShade="80"/>
          <w:szCs w:val="24"/>
        </w:rPr>
        <w:t>fitoterápicos</w:t>
      </w:r>
      <w:proofErr w:type="gramEnd"/>
    </w:p>
    <w:p w:rsidR="005427D4" w:rsidRPr="008178CB" w:rsidRDefault="005427D4" w:rsidP="005427D4">
      <w:pPr>
        <w:jc w:val="both"/>
        <w:rPr>
          <w:rFonts w:ascii="Futura Md BT" w:hAnsi="Futura Md BT"/>
          <w:b/>
          <w:color w:val="808080" w:themeColor="background1" w:themeShade="80"/>
          <w:szCs w:val="24"/>
          <w:u w:val="single"/>
        </w:rPr>
      </w:pPr>
      <w:r w:rsidRPr="008178CB">
        <w:rPr>
          <w:rFonts w:ascii="Futura Md BT" w:hAnsi="Futura Md BT"/>
          <w:b/>
          <w:color w:val="808080" w:themeColor="background1" w:themeShade="80"/>
          <w:szCs w:val="24"/>
          <w:u w:val="single"/>
        </w:rPr>
        <w:t>Conteúdo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74"/>
      </w:tblGrid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Introdução_____________________________________________________________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06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Alergias e Intolerâncias Alimentares e Interações Entre Fármacos e Nutrientes______________________________________________________________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07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Alergias e Intolerâncias Alimentares______________________________________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08</w:t>
            </w:r>
          </w:p>
        </w:tc>
      </w:tr>
      <w:tr w:rsidR="00DB03CE" w:rsidTr="00650B0F">
        <w:trPr>
          <w:trHeight w:val="13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Saiba a Diferença Entre Esses Conceitos_____________________________________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09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Alergia Alimentar_______________________________________________________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10</w:t>
            </w:r>
          </w:p>
        </w:tc>
      </w:tr>
      <w:tr w:rsidR="00DB03CE" w:rsidTr="00650B0F">
        <w:tc>
          <w:tcPr>
            <w:tcW w:w="8046" w:type="dxa"/>
          </w:tcPr>
          <w:p w:rsidR="00DB03CE" w:rsidRPr="00E9139B" w:rsidRDefault="00DB03CE" w:rsidP="00650B0F">
            <w:pPr>
              <w:pStyle w:val="Corpo"/>
            </w:pPr>
            <w:r w:rsidRPr="00E9139B">
              <w:t>Entenda Mais Sobre Esse Quadro_________________</w:t>
            </w:r>
            <w:r>
              <w:t>_____________________</w:t>
            </w:r>
            <w:r w:rsidRPr="00E9139B">
              <w:t>_____</w:t>
            </w:r>
          </w:p>
        </w:tc>
        <w:tc>
          <w:tcPr>
            <w:tcW w:w="674" w:type="dxa"/>
          </w:tcPr>
          <w:p w:rsidR="00DB03CE" w:rsidRPr="00E9139B" w:rsidRDefault="00DB03CE" w:rsidP="00650B0F">
            <w:pPr>
              <w:pStyle w:val="Corpo"/>
            </w:pPr>
            <w:r>
              <w:t>11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Alergia às Proteínas do Leite de Vaca_____________________________________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13</w:t>
            </w:r>
          </w:p>
        </w:tc>
      </w:tr>
      <w:tr w:rsidR="00DB03CE" w:rsidTr="00650B0F">
        <w:trPr>
          <w:trHeight w:val="412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Condição Alérgica Mais Comum Entre as Crianças____________________________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14</w:t>
            </w:r>
          </w:p>
        </w:tc>
      </w:tr>
      <w:tr w:rsidR="00DB03CE" w:rsidTr="00650B0F">
        <w:trPr>
          <w:trHeight w:val="71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Entendendo a Alergia às Proteínas do Leite – Aspectos Relevantes ao Tratamento_____________________________________________________________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15</w:t>
            </w:r>
          </w:p>
        </w:tc>
      </w:tr>
      <w:tr w:rsidR="00DB03CE" w:rsidTr="00650B0F">
        <w:trPr>
          <w:trHeight w:val="41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Como Tratar a Alergia ao Leite de Vaca?____________________________________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16</w:t>
            </w:r>
          </w:p>
        </w:tc>
      </w:tr>
      <w:tr w:rsidR="00DB03CE" w:rsidTr="00650B0F">
        <w:tc>
          <w:tcPr>
            <w:tcW w:w="8046" w:type="dxa"/>
          </w:tcPr>
          <w:p w:rsidR="00DB03CE" w:rsidRPr="00071B0C" w:rsidRDefault="00DB03CE" w:rsidP="00650B0F">
            <w:pPr>
              <w:pStyle w:val="Corpo"/>
            </w:pPr>
            <w:r>
              <w:t>Formulação à Base de Proteínas do Arroz para Pacientes com APLV – Alta Aceitabilidade e Tolerabilidade pelos Pacientes_______________________________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17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lastRenderedPageBreak/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18</w:t>
            </w:r>
          </w:p>
        </w:tc>
      </w:tr>
      <w:tr w:rsidR="00DB03CE" w:rsidTr="00650B0F">
        <w:trPr>
          <w:trHeight w:val="661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1 – Proteína do Arroz para Pacientes Alérgicos às Proteínas do Leite de Vaca___________________________________________________________________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19</w:t>
            </w:r>
          </w:p>
        </w:tc>
      </w:tr>
      <w:tr w:rsidR="00DB03CE" w:rsidTr="00650B0F">
        <w:trPr>
          <w:trHeight w:val="41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2 – Suplementação para Melhora da Saúde Óssea__________________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20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3 – Outras Suplementações Necessárias para Pacientes com APLV______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22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Alergia às Proteínas do Ovo_____________________________________________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24</w:t>
            </w:r>
          </w:p>
        </w:tc>
      </w:tr>
      <w:tr w:rsidR="00DB03CE" w:rsidTr="00650B0F">
        <w:trPr>
          <w:trHeight w:val="49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Condição Alérgica Muito Comum Entre Jovens e Adultos_______________________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25</w:t>
            </w:r>
          </w:p>
        </w:tc>
      </w:tr>
      <w:tr w:rsidR="00DB03CE" w:rsidTr="00650B0F">
        <w:trPr>
          <w:trHeight w:val="709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Entendendo a Alergia às Proteínas do Ovo – Aspectos Relevantes ao Tratamento_____________________________________________________________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26</w:t>
            </w:r>
          </w:p>
        </w:tc>
      </w:tr>
      <w:tr w:rsidR="00DB03CE" w:rsidTr="00650B0F">
        <w:trPr>
          <w:trHeight w:val="43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Como Tratar a Alergia às Proteínas do Ovo?_________________________________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27</w:t>
            </w:r>
          </w:p>
        </w:tc>
      </w:tr>
      <w:tr w:rsidR="00DB03CE" w:rsidTr="00650B0F">
        <w:tc>
          <w:tcPr>
            <w:tcW w:w="8046" w:type="dxa"/>
          </w:tcPr>
          <w:p w:rsidR="00DB03CE" w:rsidRPr="00F90A23" w:rsidRDefault="00DB03CE" w:rsidP="00650B0F">
            <w:pPr>
              <w:pStyle w:val="Corpo"/>
            </w:pPr>
            <w:r>
              <w:t>B-</w:t>
            </w:r>
            <w:proofErr w:type="spellStart"/>
            <w:r>
              <w:t>Protein</w:t>
            </w:r>
            <w:proofErr w:type="spellEnd"/>
            <w:r w:rsidRPr="00F90A23">
              <w:rPr>
                <w:vertAlign w:val="superscript"/>
              </w:rPr>
              <w:t>®</w:t>
            </w:r>
            <w:r>
              <w:t xml:space="preserve"> - Proteína Isolada da Carne Hidrolisada – Ideal para Suplementação em Pacientes Alérgicos à Proteína do Ovo_______________________________________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28</w:t>
            </w:r>
          </w:p>
        </w:tc>
      </w:tr>
      <w:tr w:rsidR="00DB03CE" w:rsidTr="00650B0F">
        <w:trPr>
          <w:trHeight w:val="577"/>
        </w:trPr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  <w:jc w:val="left"/>
            </w:pPr>
            <w:r>
              <w:t>29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1 – Suplementação para Pacientes Alérgicos às Proteínas do Ovo______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30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Intolerância Alimentar__________________________________________________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32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Entenda Mais Sobre Esse Quadro___________________________________________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33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Intolerância ao Glúten__________________________________________________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34</w:t>
            </w:r>
          </w:p>
        </w:tc>
      </w:tr>
      <w:tr w:rsidR="00DB03CE" w:rsidTr="00650B0F">
        <w:trPr>
          <w:trHeight w:val="421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Relação com a Doença Celíaca____________________________________________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35</w:t>
            </w:r>
          </w:p>
        </w:tc>
      </w:tr>
      <w:tr w:rsidR="00DB03CE" w:rsidTr="00650B0F">
        <w:trPr>
          <w:trHeight w:val="427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Deficiências e Formas de Suplementação____________________________________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36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Estudo Comprova – Vitaminas do Complexo B Devem ser Consideradas em Pacientes que Seguem Dieta Livre de Glúten__________________________________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37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38</w:t>
            </w:r>
          </w:p>
        </w:tc>
      </w:tr>
      <w:tr w:rsidR="00DB03CE" w:rsidTr="00650B0F">
        <w:trPr>
          <w:trHeight w:val="64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1 – Vitaminas do Complexo B para Suprir Deficiências em Pacientes Intolerantes ao Glúten____________________________________________________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39</w:t>
            </w:r>
          </w:p>
        </w:tc>
      </w:tr>
      <w:tr w:rsidR="00DB03CE" w:rsidTr="00650B0F">
        <w:trPr>
          <w:trHeight w:val="427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2 – Cápsulas Enzimáticas para Pacientes Celíacos___________________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40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3 – Formulações para Aumentar a Saúde Intestinal___________________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42</w:t>
            </w:r>
          </w:p>
        </w:tc>
      </w:tr>
      <w:tr w:rsidR="00DB03CE" w:rsidTr="00650B0F">
        <w:trPr>
          <w:trHeight w:val="566"/>
        </w:trPr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 xml:space="preserve">Intolerância à </w:t>
            </w:r>
            <w:r>
              <w:lastRenderedPageBreak/>
              <w:t>Lactose___________________________________________________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lastRenderedPageBreak/>
              <w:t>43</w:t>
            </w:r>
          </w:p>
        </w:tc>
      </w:tr>
      <w:tr w:rsidR="00DB03CE" w:rsidTr="00650B0F">
        <w:trPr>
          <w:trHeight w:val="488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lastRenderedPageBreak/>
              <w:t>Como Tratar?___________________________________________________________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44</w:t>
            </w:r>
          </w:p>
        </w:tc>
      </w:tr>
      <w:tr w:rsidR="00DB03CE" w:rsidTr="00650B0F">
        <w:trPr>
          <w:trHeight w:val="51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Lactase na Intolerância à Lactose___________________________________________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45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>
              <w:t>Tilactase</w:t>
            </w:r>
            <w:proofErr w:type="spellEnd"/>
            <w:r>
              <w:t xml:space="preserve"> e </w:t>
            </w:r>
            <w:proofErr w:type="spellStart"/>
            <w:r w:rsidRPr="00743112">
              <w:rPr>
                <w:i/>
              </w:rPr>
              <w:t>Lactobacillus</w:t>
            </w:r>
            <w:proofErr w:type="spellEnd"/>
            <w:r>
              <w:t xml:space="preserve"> em Intolerantes à Lactose_____________________________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46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47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 xml:space="preserve">Formulário 1 – Reposição de </w:t>
            </w:r>
            <w:proofErr w:type="spellStart"/>
            <w:r>
              <w:t>Tilactase</w:t>
            </w:r>
            <w:proofErr w:type="spellEnd"/>
            <w:r>
              <w:t xml:space="preserve"> (</w:t>
            </w:r>
            <w:proofErr w:type="spellStart"/>
            <w:r>
              <w:t>Lactase</w:t>
            </w:r>
            <w:proofErr w:type="spellEnd"/>
            <w:r>
              <w:t>) para Pacientes com Intolerância à Lactose________________________________________________________________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48</w:t>
            </w:r>
          </w:p>
        </w:tc>
      </w:tr>
      <w:tr w:rsidR="00DB03CE" w:rsidTr="00650B0F">
        <w:trPr>
          <w:trHeight w:val="82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 xml:space="preserve">Formulário 2 – </w:t>
            </w:r>
            <w:proofErr w:type="spellStart"/>
            <w:r w:rsidRPr="00743112">
              <w:rPr>
                <w:i/>
              </w:rPr>
              <w:t>Lactobacillus</w:t>
            </w:r>
            <w:proofErr w:type="spellEnd"/>
            <w:r w:rsidRPr="00743112">
              <w:rPr>
                <w:i/>
              </w:rPr>
              <w:t xml:space="preserve"> </w:t>
            </w:r>
            <w:proofErr w:type="spellStart"/>
            <w:r w:rsidRPr="00743112">
              <w:rPr>
                <w:i/>
              </w:rPr>
              <w:t>reuteri</w:t>
            </w:r>
            <w:proofErr w:type="spellEnd"/>
            <w:r>
              <w:t xml:space="preserve"> para Pacientes com Intolerância à Lactose______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49</w:t>
            </w:r>
          </w:p>
        </w:tc>
      </w:tr>
      <w:tr w:rsidR="00DB03CE" w:rsidTr="00650B0F">
        <w:trPr>
          <w:trHeight w:val="9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3 – Reposição de Nutrientes Importantes___________________________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50</w:t>
            </w:r>
          </w:p>
        </w:tc>
      </w:tr>
      <w:tr w:rsidR="00DB03CE" w:rsidTr="00650B0F">
        <w:trPr>
          <w:trHeight w:val="22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Interações Entre Fármacos e Nutrientes___________________________________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51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Saiba Mais Sobre Elas____________________________________________________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52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Interações Entre Fármacos e Vitaminas___________________________________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53</w:t>
            </w:r>
          </w:p>
        </w:tc>
      </w:tr>
      <w:tr w:rsidR="00DB03CE" w:rsidTr="00650B0F">
        <w:trPr>
          <w:trHeight w:val="49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Vitamina D – Principais Interações 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58</w:t>
            </w:r>
          </w:p>
        </w:tc>
      </w:tr>
      <w:tr w:rsidR="00DB03CE" w:rsidTr="00650B0F">
        <w:trPr>
          <w:trHeight w:val="42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Vitamina E – Principais Interações 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59</w:t>
            </w:r>
          </w:p>
        </w:tc>
      </w:tr>
      <w:tr w:rsidR="00DB03CE" w:rsidTr="00650B0F">
        <w:trPr>
          <w:trHeight w:val="431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Vitamina K – Principais Interações 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60</w:t>
            </w:r>
          </w:p>
        </w:tc>
      </w:tr>
      <w:tr w:rsidR="00DB03CE" w:rsidTr="00650B0F">
        <w:trPr>
          <w:trHeight w:val="42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Vitaminas do Complexo B – Principais Interações 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61</w:t>
            </w:r>
          </w:p>
        </w:tc>
      </w:tr>
      <w:tr w:rsidR="00DB03CE" w:rsidTr="00650B0F">
        <w:trPr>
          <w:trHeight w:val="43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Vitamina C – Principais Interações 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62</w:t>
            </w:r>
          </w:p>
        </w:tc>
      </w:tr>
      <w:tr w:rsidR="00DB03CE" w:rsidTr="00650B0F">
        <w:trPr>
          <w:trHeight w:val="28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Principais Vitaminas para Evitar Deficiência Nutricional_________________________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63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64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1 – Principais Vitaminas para Evitar Deficiência Nutricional____________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65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bibliografia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Interações Entre Fármacos e Minerais____________________________________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68</w:t>
            </w:r>
          </w:p>
        </w:tc>
      </w:tr>
      <w:tr w:rsidR="00DB03CE" w:rsidTr="00650B0F">
        <w:trPr>
          <w:trHeight w:val="48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Caracterização e Principais Evidências_______________________________________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70</w:t>
            </w:r>
          </w:p>
        </w:tc>
      </w:tr>
      <w:tr w:rsidR="00DB03CE" w:rsidTr="00650B0F">
        <w:trPr>
          <w:trHeight w:val="43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Principais Interações Entre Minerais_________________________________________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71</w:t>
            </w:r>
          </w:p>
        </w:tc>
      </w:tr>
      <w:tr w:rsidR="00DB03CE" w:rsidTr="00650B0F">
        <w:trPr>
          <w:trHeight w:val="42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Principais Interações Entre Fármacos e Minerais_______________________________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72</w:t>
            </w:r>
          </w:p>
        </w:tc>
      </w:tr>
      <w:tr w:rsidR="00DB03CE" w:rsidTr="00650B0F">
        <w:trPr>
          <w:trHeight w:val="417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lastRenderedPageBreak/>
              <w:t>Cálcio – Interações e Consequências da Deficiência 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73</w:t>
            </w:r>
          </w:p>
        </w:tc>
      </w:tr>
      <w:tr w:rsidR="00DB03CE" w:rsidTr="00650B0F">
        <w:trPr>
          <w:trHeight w:val="42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Ferro – Interações e Consequências da Deficiência 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75</w:t>
            </w:r>
          </w:p>
        </w:tc>
      </w:tr>
      <w:tr w:rsidR="00DB03CE" w:rsidTr="00650B0F">
        <w:trPr>
          <w:trHeight w:val="43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Magnésio – Interações e Consequências da Deficiência 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76</w:t>
            </w:r>
          </w:p>
        </w:tc>
      </w:tr>
      <w:tr w:rsidR="00DB03CE" w:rsidTr="00650B0F">
        <w:trPr>
          <w:trHeight w:val="422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Zinco – Interações e Consequências da Deficiência 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77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Iodo – Consequências da Deficiência 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78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Fósforo – Consequências da Deficiência 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79</w:t>
            </w:r>
          </w:p>
        </w:tc>
      </w:tr>
      <w:tr w:rsidR="00DB03CE" w:rsidTr="00650B0F">
        <w:trPr>
          <w:trHeight w:val="142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Cobre – Consequências da Deficiência 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80</w:t>
            </w:r>
          </w:p>
        </w:tc>
      </w:tr>
      <w:tr w:rsidR="00DB03CE" w:rsidTr="00650B0F">
        <w:trPr>
          <w:trHeight w:val="13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rPr>
          <w:trHeight w:val="42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Selênio – Consequências da Deficiência 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81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Cromo – Consequências da Deficiência 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82</w:t>
            </w:r>
          </w:p>
        </w:tc>
      </w:tr>
      <w:tr w:rsidR="00DB03CE" w:rsidTr="00650B0F">
        <w:trPr>
          <w:trHeight w:val="137"/>
        </w:trPr>
        <w:tc>
          <w:tcPr>
            <w:tcW w:w="8046" w:type="dxa"/>
          </w:tcPr>
          <w:p w:rsidR="00DB03CE" w:rsidRDefault="00DB03CE" w:rsidP="00650B0F">
            <w:pPr>
              <w:pStyle w:val="bibliografia"/>
            </w:pP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Manganês – Consequências da Deficiência 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83</w:t>
            </w:r>
          </w:p>
        </w:tc>
      </w:tr>
    </w:tbl>
    <w:p w:rsidR="00DB03CE" w:rsidRDefault="00DB03CE" w:rsidP="00DB03CE">
      <w:pPr>
        <w:pStyle w:val="bibliografia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74"/>
      </w:tblGrid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Principais Minerais Disponíveis na Manipulação_______________________________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84</w:t>
            </w:r>
          </w:p>
        </w:tc>
      </w:tr>
    </w:tbl>
    <w:p w:rsidR="00DB03CE" w:rsidRPr="00E63AFD" w:rsidRDefault="00DB03CE" w:rsidP="00DB03CE">
      <w:pPr>
        <w:pStyle w:val="bibliografia"/>
        <w:rPr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74"/>
      </w:tblGrid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85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Formulário 1 – Suplementação de Minerais para Suprir Carências Nutricionais_____________________________________________________________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86</w:t>
            </w:r>
          </w:p>
        </w:tc>
      </w:tr>
    </w:tbl>
    <w:p w:rsidR="00DB03CE" w:rsidRDefault="00DB03CE" w:rsidP="00DB03CE">
      <w:pPr>
        <w:pStyle w:val="bibliografia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74"/>
      </w:tblGrid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Interações Entre Fármacos e Fitoterápicos_________________________________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90</w:t>
            </w:r>
          </w:p>
        </w:tc>
      </w:tr>
      <w:tr w:rsidR="00DB03CE" w:rsidTr="00650B0F">
        <w:trPr>
          <w:trHeight w:val="48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 xml:space="preserve">Origem Natural Não é </w:t>
            </w:r>
            <w:proofErr w:type="gramStart"/>
            <w:r>
              <w:t>Sinônimo de Segurança_______________________________</w:t>
            </w:r>
            <w:proofErr w:type="gramEnd"/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92</w:t>
            </w:r>
          </w:p>
        </w:tc>
      </w:tr>
      <w:tr w:rsidR="00DB03CE" w:rsidTr="00650B0F">
        <w:trPr>
          <w:trHeight w:val="42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 w:rsidRPr="00857D82">
              <w:rPr>
                <w:i/>
              </w:rPr>
              <w:t>Hypericum</w:t>
            </w:r>
            <w:proofErr w:type="spellEnd"/>
            <w:r w:rsidRPr="00857D82">
              <w:rPr>
                <w:i/>
              </w:rPr>
              <w:t xml:space="preserve"> </w:t>
            </w:r>
            <w:proofErr w:type="spellStart"/>
            <w:r w:rsidRPr="00857D82">
              <w:rPr>
                <w:i/>
              </w:rPr>
              <w:t>perforatum</w:t>
            </w:r>
            <w:proofErr w:type="spellEnd"/>
            <w:r>
              <w:t xml:space="preserve"> – Principais Interações Identificadas______________________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94</w:t>
            </w:r>
          </w:p>
        </w:tc>
      </w:tr>
      <w:tr w:rsidR="00DB03CE" w:rsidTr="00650B0F">
        <w:trPr>
          <w:trHeight w:val="42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rPr>
                <w:i/>
              </w:rPr>
              <w:t xml:space="preserve">Valeriana </w:t>
            </w:r>
            <w:proofErr w:type="spellStart"/>
            <w:r>
              <w:rPr>
                <w:i/>
              </w:rPr>
              <w:t>officinalis</w:t>
            </w:r>
            <w:proofErr w:type="spellEnd"/>
            <w:r>
              <w:t xml:space="preserve"> – Principais Interações Identificadas________________________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96</w:t>
            </w:r>
          </w:p>
        </w:tc>
      </w:tr>
      <w:tr w:rsidR="00DB03CE" w:rsidTr="00650B0F">
        <w:trPr>
          <w:trHeight w:val="432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>
              <w:rPr>
                <w:i/>
              </w:rPr>
              <w:t>Ginkgo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biloba</w:t>
            </w:r>
            <w:proofErr w:type="spellEnd"/>
            <w:r>
              <w:t xml:space="preserve"> – Principais Interações Identificadas_____________________________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97</w:t>
            </w:r>
          </w:p>
        </w:tc>
      </w:tr>
      <w:tr w:rsidR="00DB03CE" w:rsidTr="00650B0F">
        <w:trPr>
          <w:trHeight w:val="424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rPr>
                <w:i/>
              </w:rPr>
              <w:t xml:space="preserve">Piper </w:t>
            </w:r>
            <w:proofErr w:type="spellStart"/>
            <w:r>
              <w:rPr>
                <w:i/>
              </w:rPr>
              <w:t>methysticum</w:t>
            </w:r>
            <w:proofErr w:type="spellEnd"/>
            <w:r>
              <w:t xml:space="preserve"> – Principais Interações Identificadas__________________________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98</w:t>
            </w:r>
          </w:p>
        </w:tc>
      </w:tr>
      <w:tr w:rsidR="00DB03CE" w:rsidTr="00650B0F">
        <w:trPr>
          <w:trHeight w:val="416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>
              <w:rPr>
                <w:i/>
              </w:rPr>
              <w:t>Ginseng</w:t>
            </w:r>
            <w:proofErr w:type="spellEnd"/>
            <w:r>
              <w:t xml:space="preserve"> – Principais Interações Identificadas_________________________________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99</w:t>
            </w:r>
          </w:p>
        </w:tc>
      </w:tr>
      <w:tr w:rsidR="00DB03CE" w:rsidTr="00650B0F">
        <w:trPr>
          <w:trHeight w:val="421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>
              <w:rPr>
                <w:i/>
              </w:rPr>
              <w:t>Allium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sativum</w:t>
            </w:r>
            <w:proofErr w:type="spellEnd"/>
            <w:r>
              <w:t xml:space="preserve"> – Principais Interações Identificadas_____________________________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100</w:t>
            </w:r>
          </w:p>
        </w:tc>
      </w:tr>
      <w:tr w:rsidR="00DB03CE" w:rsidTr="00650B0F">
        <w:trPr>
          <w:trHeight w:val="570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proofErr w:type="spellStart"/>
            <w:r>
              <w:rPr>
                <w:i/>
              </w:rPr>
              <w:t>Glycyrrhiza</w:t>
            </w:r>
            <w:proofErr w:type="spellEnd"/>
            <w:r>
              <w:rPr>
                <w:i/>
              </w:rPr>
              <w:t xml:space="preserve"> glabra</w:t>
            </w:r>
            <w:r>
              <w:t xml:space="preserve"> – Principais Interações Identificadas_________________________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102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Outros Fitoterápicos Muito Utilizados – Principais Interações Identificadas_________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104</w:t>
            </w:r>
          </w:p>
        </w:tc>
      </w:tr>
      <w:tr w:rsidR="00DB03CE" w:rsidTr="00650B0F">
        <w:trPr>
          <w:trHeight w:val="708"/>
        </w:trPr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Formulações___________________________________________________________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105</w:t>
            </w:r>
          </w:p>
        </w:tc>
      </w:tr>
      <w:tr w:rsidR="00DB03CE" w:rsidTr="00650B0F">
        <w:trPr>
          <w:trHeight w:val="435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>Sugestões de Formulações Fitoterápicas_____________________________________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108</w:t>
            </w:r>
          </w:p>
        </w:tc>
      </w:tr>
      <w:tr w:rsidR="00DB03CE" w:rsidTr="00650B0F">
        <w:trPr>
          <w:trHeight w:val="696"/>
        </w:trPr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lastRenderedPageBreak/>
              <w:t>Depleção de Nutrientes Causada por Fármacos___________________________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112</w:t>
            </w:r>
          </w:p>
        </w:tc>
      </w:tr>
      <w:tr w:rsidR="00DB03CE" w:rsidTr="00650B0F">
        <w:trPr>
          <w:trHeight w:val="437"/>
        </w:trPr>
        <w:tc>
          <w:tcPr>
            <w:tcW w:w="8046" w:type="dxa"/>
          </w:tcPr>
          <w:p w:rsidR="00DB03CE" w:rsidRDefault="00DB03CE" w:rsidP="00650B0F">
            <w:pPr>
              <w:pStyle w:val="Corpo"/>
            </w:pPr>
            <w:r>
              <w:t xml:space="preserve">Medicamentos Podem </w:t>
            </w:r>
            <w:proofErr w:type="spellStart"/>
            <w:r>
              <w:t>Depletar</w:t>
            </w:r>
            <w:proofErr w:type="spellEnd"/>
            <w:r>
              <w:t xml:space="preserve"> Algumas Vitaminas e Minerais___________________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Corpo"/>
            </w:pPr>
            <w:r>
              <w:t>113</w:t>
            </w:r>
          </w:p>
        </w:tc>
      </w:tr>
      <w:tr w:rsidR="00DB03CE" w:rsidTr="00650B0F">
        <w:tc>
          <w:tcPr>
            <w:tcW w:w="8046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Abstracts______________________________________________________________</w:t>
            </w:r>
          </w:p>
        </w:tc>
        <w:tc>
          <w:tcPr>
            <w:tcW w:w="674" w:type="dxa"/>
          </w:tcPr>
          <w:p w:rsidR="00DB03CE" w:rsidRDefault="00DB03CE" w:rsidP="00650B0F">
            <w:pPr>
              <w:pStyle w:val="formulas"/>
              <w:spacing w:before="120" w:after="120"/>
            </w:pPr>
            <w:r>
              <w:t>127</w:t>
            </w:r>
          </w:p>
        </w:tc>
      </w:tr>
    </w:tbl>
    <w:p w:rsidR="005427D4" w:rsidRPr="005427D4" w:rsidRDefault="005427D4" w:rsidP="005427D4">
      <w:pPr>
        <w:jc w:val="both"/>
        <w:rPr>
          <w:rFonts w:ascii="Futura Md BT" w:hAnsi="Futura Md BT"/>
          <w:b/>
          <w:color w:val="808080" w:themeColor="background1" w:themeShade="80"/>
          <w:szCs w:val="24"/>
        </w:rPr>
      </w:pPr>
    </w:p>
    <w:sectPr w:rsidR="005427D4" w:rsidRPr="005427D4" w:rsidSect="00275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55" w:rsidRDefault="008E2255" w:rsidP="00A46062">
      <w:pPr>
        <w:spacing w:after="0" w:line="240" w:lineRule="auto"/>
      </w:pPr>
      <w:r>
        <w:separator/>
      </w:r>
    </w:p>
  </w:endnote>
  <w:endnote w:type="continuationSeparator" w:id="0">
    <w:p w:rsidR="008E2255" w:rsidRDefault="008E2255" w:rsidP="00A4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Default="00A460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Default="00A460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Default="00A460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55" w:rsidRDefault="008E2255" w:rsidP="00A46062">
      <w:pPr>
        <w:spacing w:after="0" w:line="240" w:lineRule="auto"/>
      </w:pPr>
      <w:r>
        <w:separator/>
      </w:r>
    </w:p>
  </w:footnote>
  <w:footnote w:type="continuationSeparator" w:id="0">
    <w:p w:rsidR="008E2255" w:rsidRDefault="008E2255" w:rsidP="00A4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Default="00A460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Pr="00A46062" w:rsidRDefault="00A46062" w:rsidP="00A46062">
    <w:pPr>
      <w:pStyle w:val="Cabealho"/>
    </w:pPr>
    <w:bookmarkStart w:id="0" w:name="_GoBack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-293370</wp:posOffset>
          </wp:positionV>
          <wp:extent cx="1590675" cy="542925"/>
          <wp:effectExtent l="0" t="0" r="0" b="0"/>
          <wp:wrapSquare wrapText="bothSides"/>
          <wp:docPr id="1" name="Imagem 1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62" w:rsidRDefault="00A460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A0D"/>
    <w:multiLevelType w:val="hybridMultilevel"/>
    <w:tmpl w:val="270A0B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A1AF1"/>
    <w:multiLevelType w:val="hybridMultilevel"/>
    <w:tmpl w:val="A796C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D4"/>
    <w:rsid w:val="000F7C05"/>
    <w:rsid w:val="0027507C"/>
    <w:rsid w:val="003A12A8"/>
    <w:rsid w:val="00421EEA"/>
    <w:rsid w:val="005427D4"/>
    <w:rsid w:val="005D53EB"/>
    <w:rsid w:val="006F41B2"/>
    <w:rsid w:val="008178CB"/>
    <w:rsid w:val="008E2255"/>
    <w:rsid w:val="00A46062"/>
    <w:rsid w:val="00AC45FD"/>
    <w:rsid w:val="00C50146"/>
    <w:rsid w:val="00DB03CE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7D4"/>
    <w:pPr>
      <w:ind w:left="720"/>
      <w:contextualSpacing/>
    </w:pPr>
  </w:style>
  <w:style w:type="table" w:styleId="Tabelacomgrade">
    <w:name w:val="Table Grid"/>
    <w:basedOn w:val="Tabelanormal"/>
    <w:uiPriority w:val="59"/>
    <w:rsid w:val="0054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s">
    <w:name w:val="formulas"/>
    <w:basedOn w:val="Normal"/>
    <w:link w:val="formulasChar"/>
    <w:qFormat/>
    <w:rsid w:val="005427D4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formulasChar">
    <w:name w:val="formulas Char"/>
    <w:basedOn w:val="Fontepargpadro"/>
    <w:link w:val="formulas"/>
    <w:rsid w:val="005427D4"/>
    <w:rPr>
      <w:rFonts w:ascii="Futura Md BT" w:hAnsi="Futura Md BT"/>
      <w:color w:val="808080" w:themeColor="background1" w:themeShade="80"/>
      <w:szCs w:val="24"/>
    </w:rPr>
  </w:style>
  <w:style w:type="paragraph" w:customStyle="1" w:styleId="Corpo">
    <w:name w:val="Corpo"/>
    <w:basedOn w:val="Normal"/>
    <w:link w:val="CorpoChar"/>
    <w:qFormat/>
    <w:rsid w:val="00DB03CE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DB03CE"/>
    <w:rPr>
      <w:rFonts w:ascii="Futura Lt BT" w:hAnsi="Futura Lt BT"/>
      <w:color w:val="808080" w:themeColor="background1" w:themeShade="80"/>
      <w:szCs w:val="24"/>
    </w:rPr>
  </w:style>
  <w:style w:type="paragraph" w:customStyle="1" w:styleId="bibliografia">
    <w:name w:val="bibliografia"/>
    <w:basedOn w:val="formulas"/>
    <w:link w:val="bibliografiaChar"/>
    <w:qFormat/>
    <w:rsid w:val="00DB03CE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DB03CE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46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062"/>
  </w:style>
  <w:style w:type="paragraph" w:styleId="Rodap">
    <w:name w:val="footer"/>
    <w:basedOn w:val="Normal"/>
    <w:link w:val="RodapChar"/>
    <w:uiPriority w:val="99"/>
    <w:unhideWhenUsed/>
    <w:rsid w:val="00A46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7D4"/>
    <w:pPr>
      <w:ind w:left="720"/>
      <w:contextualSpacing/>
    </w:pPr>
  </w:style>
  <w:style w:type="table" w:styleId="Tabelacomgrade">
    <w:name w:val="Table Grid"/>
    <w:basedOn w:val="Tabelanormal"/>
    <w:uiPriority w:val="59"/>
    <w:rsid w:val="0054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s">
    <w:name w:val="formulas"/>
    <w:basedOn w:val="Normal"/>
    <w:link w:val="formulasChar"/>
    <w:qFormat/>
    <w:rsid w:val="005427D4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formulasChar">
    <w:name w:val="formulas Char"/>
    <w:basedOn w:val="Fontepargpadro"/>
    <w:link w:val="formulas"/>
    <w:rsid w:val="005427D4"/>
    <w:rPr>
      <w:rFonts w:ascii="Futura Md BT" w:hAnsi="Futura Md BT"/>
      <w:color w:val="808080" w:themeColor="background1" w:themeShade="80"/>
      <w:szCs w:val="24"/>
    </w:rPr>
  </w:style>
  <w:style w:type="paragraph" w:customStyle="1" w:styleId="Corpo">
    <w:name w:val="Corpo"/>
    <w:basedOn w:val="Normal"/>
    <w:link w:val="CorpoChar"/>
    <w:qFormat/>
    <w:rsid w:val="00DB03CE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DB03CE"/>
    <w:rPr>
      <w:rFonts w:ascii="Futura Lt BT" w:hAnsi="Futura Lt BT"/>
      <w:color w:val="808080" w:themeColor="background1" w:themeShade="80"/>
      <w:szCs w:val="24"/>
    </w:rPr>
  </w:style>
  <w:style w:type="paragraph" w:customStyle="1" w:styleId="bibliografia">
    <w:name w:val="bibliografia"/>
    <w:basedOn w:val="formulas"/>
    <w:link w:val="bibliografiaChar"/>
    <w:qFormat/>
    <w:rsid w:val="00DB03CE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DB03CE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46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062"/>
  </w:style>
  <w:style w:type="paragraph" w:styleId="Rodap">
    <w:name w:val="footer"/>
    <w:basedOn w:val="Normal"/>
    <w:link w:val="RodapChar"/>
    <w:uiPriority w:val="99"/>
    <w:unhideWhenUsed/>
    <w:rsid w:val="00A46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ligia.pavani</dc:creator>
  <cp:lastModifiedBy>Ana Rampazzo</cp:lastModifiedBy>
  <cp:revision>3</cp:revision>
  <dcterms:created xsi:type="dcterms:W3CDTF">2017-03-23T15:33:00Z</dcterms:created>
  <dcterms:modified xsi:type="dcterms:W3CDTF">2017-03-23T15:33:00Z</dcterms:modified>
</cp:coreProperties>
</file>