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689" w:rsidRPr="007050F2" w:rsidRDefault="00975689" w:rsidP="00975689">
      <w:pPr>
        <w:pStyle w:val="Titulo"/>
      </w:pPr>
      <w:r w:rsidRPr="007050F2">
        <w:t>Abstracts</w:t>
      </w:r>
    </w:p>
    <w:p w:rsidR="00975689" w:rsidRPr="007050F2" w:rsidRDefault="00975689" w:rsidP="00975689">
      <w:pPr>
        <w:pStyle w:val="Corpo"/>
      </w:pPr>
    </w:p>
    <w:p w:rsidR="00975689" w:rsidRPr="00C36C3B" w:rsidRDefault="00975689" w:rsidP="00975689">
      <w:pPr>
        <w:pStyle w:val="Corpo"/>
        <w:rPr>
          <w:szCs w:val="17"/>
          <w:lang w:val="en-US"/>
        </w:rPr>
      </w:pPr>
      <w:r w:rsidRPr="00C36C3B">
        <w:rPr>
          <w:szCs w:val="17"/>
        </w:rPr>
        <w:t xml:space="preserve">Pediatr Gastroenterol Hepatol Nutr. 2014 Mar;17(1):1-5. doi: 10.5223/pghn.2014.17.1.1. </w:t>
      </w:r>
      <w:r w:rsidRPr="00C36C3B">
        <w:rPr>
          <w:szCs w:val="17"/>
          <w:lang w:val="en-US"/>
        </w:rPr>
        <w:t>Epub 2014 Mar 31.</w:t>
      </w:r>
    </w:p>
    <w:p w:rsidR="00975689" w:rsidRPr="00C36C3B" w:rsidRDefault="00975689" w:rsidP="00975689">
      <w:pPr>
        <w:pStyle w:val="Corpo"/>
        <w:rPr>
          <w:b/>
          <w:szCs w:val="17"/>
          <w:lang w:val="en-US"/>
        </w:rPr>
      </w:pPr>
      <w:r w:rsidRPr="00C36C3B">
        <w:rPr>
          <w:b/>
          <w:szCs w:val="17"/>
          <w:lang w:val="en-US"/>
        </w:rPr>
        <w:t>Treatment of Cow's Milk Protein Allergy.</w:t>
      </w:r>
    </w:p>
    <w:p w:rsidR="00975689" w:rsidRPr="00C36C3B" w:rsidRDefault="00975689" w:rsidP="00975689">
      <w:pPr>
        <w:pStyle w:val="Corpo"/>
        <w:rPr>
          <w:szCs w:val="17"/>
          <w:lang w:val="en-US"/>
        </w:rPr>
      </w:pPr>
      <w:r w:rsidRPr="00C36C3B">
        <w:rPr>
          <w:szCs w:val="17"/>
          <w:lang w:val="en-US"/>
        </w:rPr>
        <w:t>Vandenplas Y, De Greef E, Devreker T.</w:t>
      </w:r>
    </w:p>
    <w:p w:rsidR="00975689" w:rsidRPr="00C36C3B" w:rsidRDefault="00975689" w:rsidP="00975689">
      <w:pPr>
        <w:pStyle w:val="Corpo"/>
        <w:rPr>
          <w:szCs w:val="17"/>
          <w:lang w:val="en-US"/>
        </w:rPr>
      </w:pPr>
      <w:r w:rsidRPr="00C36C3B">
        <w:rPr>
          <w:szCs w:val="17"/>
          <w:lang w:val="en-US"/>
        </w:rPr>
        <w:t>Author information</w:t>
      </w:r>
    </w:p>
    <w:p w:rsidR="00975689" w:rsidRPr="00C36C3B" w:rsidRDefault="00975689" w:rsidP="00975689">
      <w:pPr>
        <w:pStyle w:val="Corpo"/>
        <w:rPr>
          <w:szCs w:val="17"/>
          <w:lang w:val="en-US"/>
        </w:rPr>
      </w:pPr>
      <w:r w:rsidRPr="00C36C3B">
        <w:rPr>
          <w:szCs w:val="17"/>
          <w:lang w:val="en-US"/>
        </w:rPr>
        <w:t>Abstract</w:t>
      </w:r>
    </w:p>
    <w:p w:rsidR="00975689" w:rsidRPr="00C36C3B" w:rsidRDefault="00975689" w:rsidP="00975689">
      <w:pPr>
        <w:pStyle w:val="Corpo"/>
        <w:rPr>
          <w:szCs w:val="17"/>
          <w:lang w:val="en-US"/>
        </w:rPr>
      </w:pPr>
      <w:r w:rsidRPr="00C36C3B">
        <w:rPr>
          <w:szCs w:val="17"/>
          <w:lang w:val="en-US"/>
        </w:rPr>
        <w:t>The diagnosis and treatment of cow's milk protein allergy (CMPA) is still a challenge. A systematic literature search was performed using Embase, Medline, The Cochrane Database of Systematic Reviews and Cochrane Central Register of Controlled Clinical Trials for the diagnosis and treatment of cow's milk allergy (CMA). Since none of the symptoms of CMPA is specific and since there is no sensitive diagnostic test (except a challenge test), the diagnosis of CMPA remains difficult. A "symptom-based score" is useful in children with symptoms involving different organ systems. The recommended dietary treatment is an extensive cow milk based hydrolysate. Amino acid based formula is recommended in the most severe cases. However, soy infant formula and hydrolysates from other protein sources (rice) are gaining popularity, as they taste better and are cheaper than the extensive cow's milk based hydrolysates. Recent meta-analyses confirmed the safety of soy and estimate that not more than 10-15% of CMPA-infants become allergic to soy. An accurate diagnosis of CMA is still difficult. The revival of soy and the development of rice hydrolysates challenge the extensive cow's milk based extensive hydrolysates as first option and amino acid formula.</w:t>
      </w:r>
    </w:p>
    <w:p w:rsidR="00975689" w:rsidRPr="00C36C3B" w:rsidRDefault="00975689" w:rsidP="00975689">
      <w:pPr>
        <w:pStyle w:val="Corpo"/>
        <w:rPr>
          <w:szCs w:val="17"/>
          <w:lang w:val="en-US"/>
        </w:rPr>
      </w:pPr>
      <w:r w:rsidRPr="00C36C3B">
        <w:rPr>
          <w:szCs w:val="17"/>
          <w:lang w:val="en-US"/>
        </w:rPr>
        <w:t>KEYWORDS:</w:t>
      </w:r>
    </w:p>
    <w:p w:rsidR="00975689" w:rsidRPr="00C36C3B" w:rsidRDefault="00975689" w:rsidP="00975689">
      <w:pPr>
        <w:pStyle w:val="Corpo"/>
        <w:rPr>
          <w:szCs w:val="17"/>
          <w:lang w:val="en-US"/>
        </w:rPr>
      </w:pPr>
      <w:r w:rsidRPr="00C36C3B">
        <w:rPr>
          <w:szCs w:val="17"/>
          <w:lang w:val="en-US"/>
        </w:rPr>
        <w:t>Cow's milk protein allergy; Infant</w:t>
      </w:r>
    </w:p>
    <w:p w:rsidR="00975689" w:rsidRPr="00C36C3B" w:rsidRDefault="00975689" w:rsidP="00975689">
      <w:pPr>
        <w:pStyle w:val="Corpo"/>
        <w:rPr>
          <w:szCs w:val="17"/>
          <w:lang w:val="en-US"/>
        </w:rPr>
      </w:pPr>
      <w:r w:rsidRPr="00C36C3B">
        <w:rPr>
          <w:szCs w:val="17"/>
          <w:lang w:val="en-US"/>
        </w:rPr>
        <w:t>PMID: 24749081 [PubMed] PMCID: PMC3990777</w:t>
      </w:r>
    </w:p>
    <w:p w:rsidR="00975689" w:rsidRPr="00C36C3B" w:rsidRDefault="00975689" w:rsidP="00975689">
      <w:pPr>
        <w:pStyle w:val="Corpo"/>
        <w:rPr>
          <w:szCs w:val="17"/>
          <w:lang w:val="en-US"/>
        </w:rPr>
      </w:pPr>
    </w:p>
    <w:p w:rsidR="00975689" w:rsidRPr="00C36C3B" w:rsidRDefault="00975689" w:rsidP="00975689">
      <w:pPr>
        <w:pStyle w:val="Corpo"/>
        <w:rPr>
          <w:szCs w:val="17"/>
          <w:lang w:val="en-US"/>
        </w:rPr>
      </w:pPr>
      <w:r w:rsidRPr="00C36C3B">
        <w:rPr>
          <w:szCs w:val="17"/>
          <w:lang w:val="en-US"/>
        </w:rPr>
        <w:t>Ann Allergy Asthma Immunol. 2002 Dec;89(6 Suppl 1):33-7.</w:t>
      </w:r>
    </w:p>
    <w:p w:rsidR="00975689" w:rsidRPr="00C36C3B" w:rsidRDefault="00975689" w:rsidP="00975689">
      <w:pPr>
        <w:pStyle w:val="Corpo"/>
        <w:rPr>
          <w:b/>
          <w:szCs w:val="17"/>
          <w:lang w:val="en-US"/>
        </w:rPr>
      </w:pPr>
      <w:r w:rsidRPr="00C36C3B">
        <w:rPr>
          <w:b/>
          <w:szCs w:val="17"/>
          <w:lang w:val="en-US"/>
        </w:rPr>
        <w:t>Frequency of cow's milk allergy in childhood.</w:t>
      </w:r>
    </w:p>
    <w:p w:rsidR="00975689" w:rsidRPr="00C36C3B" w:rsidRDefault="00975689" w:rsidP="00975689">
      <w:pPr>
        <w:pStyle w:val="Corpo"/>
        <w:rPr>
          <w:szCs w:val="17"/>
          <w:lang w:val="en-US"/>
        </w:rPr>
      </w:pPr>
      <w:r w:rsidRPr="00C36C3B">
        <w:rPr>
          <w:szCs w:val="17"/>
          <w:lang w:val="en-US"/>
        </w:rPr>
        <w:t>Høst A.</w:t>
      </w:r>
    </w:p>
    <w:p w:rsidR="00975689" w:rsidRPr="00C36C3B" w:rsidRDefault="00975689" w:rsidP="00975689">
      <w:pPr>
        <w:pStyle w:val="Corpo"/>
        <w:rPr>
          <w:szCs w:val="17"/>
          <w:lang w:val="en-US"/>
        </w:rPr>
      </w:pPr>
      <w:r w:rsidRPr="00C36C3B">
        <w:rPr>
          <w:szCs w:val="17"/>
          <w:lang w:val="en-US"/>
        </w:rPr>
        <w:t>Author information</w:t>
      </w:r>
    </w:p>
    <w:p w:rsidR="00975689" w:rsidRPr="00C36C3B" w:rsidRDefault="00975689" w:rsidP="00975689">
      <w:pPr>
        <w:pStyle w:val="Corpo"/>
        <w:rPr>
          <w:szCs w:val="17"/>
          <w:lang w:val="en-US"/>
        </w:rPr>
      </w:pPr>
      <w:r w:rsidRPr="00C36C3B">
        <w:rPr>
          <w:szCs w:val="17"/>
          <w:lang w:val="en-US"/>
        </w:rPr>
        <w:t>Abstract</w:t>
      </w:r>
    </w:p>
    <w:p w:rsidR="00975689" w:rsidRPr="00C36C3B" w:rsidRDefault="00975689" w:rsidP="00975689">
      <w:pPr>
        <w:pStyle w:val="Corpo"/>
        <w:rPr>
          <w:szCs w:val="17"/>
          <w:lang w:val="en-US"/>
        </w:rPr>
      </w:pPr>
      <w:r w:rsidRPr="00C36C3B">
        <w:rPr>
          <w:szCs w:val="17"/>
          <w:lang w:val="en-US"/>
        </w:rPr>
        <w:t>OBJECTIVE:</w:t>
      </w:r>
    </w:p>
    <w:p w:rsidR="00975689" w:rsidRPr="00C36C3B" w:rsidRDefault="00975689" w:rsidP="00975689">
      <w:pPr>
        <w:pStyle w:val="Corpo"/>
        <w:rPr>
          <w:szCs w:val="17"/>
          <w:lang w:val="en-US"/>
        </w:rPr>
      </w:pPr>
      <w:r w:rsidRPr="00C36C3B">
        <w:rPr>
          <w:szCs w:val="17"/>
          <w:lang w:val="en-US"/>
        </w:rPr>
        <w:t>The primary objective of this review is to discuss the clinical features, diagnosis, natural history, and prognosis of cow's milk allergy in early childhood and its relationship to development of inhalant allergies.</w:t>
      </w:r>
    </w:p>
    <w:p w:rsidR="00975689" w:rsidRPr="00C36C3B" w:rsidRDefault="00975689" w:rsidP="00975689">
      <w:pPr>
        <w:pStyle w:val="Corpo"/>
        <w:rPr>
          <w:szCs w:val="17"/>
          <w:lang w:val="en-US"/>
        </w:rPr>
      </w:pPr>
      <w:r w:rsidRPr="00C36C3B">
        <w:rPr>
          <w:szCs w:val="17"/>
          <w:lang w:val="en-US"/>
        </w:rPr>
        <w:t>DATA SOURCES:</w:t>
      </w:r>
    </w:p>
    <w:p w:rsidR="00975689" w:rsidRPr="00C36C3B" w:rsidRDefault="00975689" w:rsidP="00975689">
      <w:pPr>
        <w:pStyle w:val="Corpo"/>
        <w:rPr>
          <w:szCs w:val="17"/>
          <w:lang w:val="en-US"/>
        </w:rPr>
      </w:pPr>
      <w:r w:rsidRPr="00C36C3B">
        <w:rPr>
          <w:szCs w:val="17"/>
          <w:lang w:val="en-US"/>
        </w:rPr>
        <w:t>A review of 229 PubMed (National Library of Medicine) articles on cow's milk allergy (CMPA) for the years 1967 through 2001 was performed. In addition, references from other review articles have been included. This review represents a synthesis of these sources and the expert opinion of the author.</w:t>
      </w:r>
    </w:p>
    <w:p w:rsidR="00975689" w:rsidRPr="00C36C3B" w:rsidRDefault="00975689" w:rsidP="00975689">
      <w:pPr>
        <w:pStyle w:val="Corpo"/>
        <w:rPr>
          <w:szCs w:val="17"/>
          <w:lang w:val="en-US"/>
        </w:rPr>
      </w:pPr>
      <w:r w:rsidRPr="00C36C3B">
        <w:rPr>
          <w:szCs w:val="17"/>
          <w:lang w:val="en-US"/>
        </w:rPr>
        <w:t>STUDY SELECTION:</w:t>
      </w:r>
    </w:p>
    <w:p w:rsidR="00975689" w:rsidRPr="00C36C3B" w:rsidRDefault="00975689" w:rsidP="00975689">
      <w:pPr>
        <w:pStyle w:val="Corpo"/>
        <w:rPr>
          <w:szCs w:val="17"/>
          <w:lang w:val="en-US"/>
        </w:rPr>
      </w:pPr>
      <w:r w:rsidRPr="00C36C3B">
        <w:rPr>
          <w:szCs w:val="17"/>
          <w:lang w:val="en-US"/>
        </w:rPr>
        <w:t>The expert opinion of the author was used to select the relevant data for this review.</w:t>
      </w:r>
    </w:p>
    <w:p w:rsidR="00975689" w:rsidRPr="00C36C3B" w:rsidRDefault="00975689" w:rsidP="00975689">
      <w:pPr>
        <w:pStyle w:val="Corpo"/>
        <w:rPr>
          <w:szCs w:val="17"/>
          <w:lang w:val="en-US"/>
        </w:rPr>
      </w:pPr>
      <w:r w:rsidRPr="00C36C3B">
        <w:rPr>
          <w:szCs w:val="17"/>
          <w:lang w:val="en-US"/>
        </w:rPr>
        <w:lastRenderedPageBreak/>
        <w:t>RESULTS:</w:t>
      </w:r>
    </w:p>
    <w:p w:rsidR="00975689" w:rsidRPr="00C36C3B" w:rsidRDefault="00975689" w:rsidP="00975689">
      <w:pPr>
        <w:pStyle w:val="Corpo"/>
        <w:rPr>
          <w:szCs w:val="17"/>
          <w:lang w:val="en-US"/>
        </w:rPr>
      </w:pPr>
      <w:r w:rsidRPr="00C36C3B">
        <w:rPr>
          <w:szCs w:val="17"/>
          <w:lang w:val="en-US"/>
        </w:rPr>
        <w:t>The diagnosis of reproducible adverse reactions to cow's milk protein (CMP), ie, CMPA, has to be confirmed by controlled elimination and challenge procedures. The incidence of CMPA in infancy seems to be approximately 2 to 3% in developed countries. Symptoms suggestive of CMPA may be encountered in approximately 5 to 15% of infants emphasizing the importance of controlled elimination/milk challenge procedures. Reproducible clinical reactions to CMP in human milk have been reported in approximately 0.5% of breastfed infants. Most infants with CMPA develop symptoms before 1 month of age, often within 1 week after introduction of CMP-based formula. The majority has two or more symptoms from two or more organ systems. Approximately 50 to 60% have cutaneous symptoms, 50 to 60% have gastrointestinal symptoms, and approximately 20 to 30% respiratory symptoms. Symptoms may occur within 1 hour after milk intake (immediate reactions) or after 1 hour (late reactions). The prognosis of CMPA is good with a remission rate of approximately 45 to 50% at 1 year, 60 to 75% at 2 years, and 85 to 90% at 3 years. Associated adverse reactions to other foods develop in up to 50% and allergy against inhalants in 50 to 80% before puberty.</w:t>
      </w:r>
    </w:p>
    <w:p w:rsidR="00975689" w:rsidRPr="00C36C3B" w:rsidRDefault="00975689" w:rsidP="00975689">
      <w:pPr>
        <w:pStyle w:val="Corpo"/>
        <w:rPr>
          <w:szCs w:val="17"/>
          <w:lang w:val="en-US"/>
        </w:rPr>
      </w:pPr>
      <w:r w:rsidRPr="00C36C3B">
        <w:rPr>
          <w:szCs w:val="17"/>
          <w:lang w:val="en-US"/>
        </w:rPr>
        <w:t>CONCLUSIONS:</w:t>
      </w:r>
    </w:p>
    <w:p w:rsidR="00975689" w:rsidRPr="00C36C3B" w:rsidRDefault="00975689" w:rsidP="00975689">
      <w:pPr>
        <w:pStyle w:val="Corpo"/>
        <w:rPr>
          <w:szCs w:val="17"/>
          <w:lang w:val="en-US"/>
        </w:rPr>
      </w:pPr>
      <w:r w:rsidRPr="00C36C3B">
        <w:rPr>
          <w:szCs w:val="17"/>
          <w:lang w:val="en-US"/>
        </w:rPr>
        <w:t>CMPA is the most common food allergy in early childhood with an incidence of 2 to 3% in the first year of life. The overall prognosis of CMPA in infancy is good with a remission rate of approximately 85 to 90%. In particular, gastrointestinal symptoms show a good prognosis. An early increased immunoglobulin E-response to CMP is associated with an increased risk of persistent allergy to CMP, development of adverse reactions to other foods, and development of asthma and rhinoconjunctivitis later in childhood.</w:t>
      </w:r>
    </w:p>
    <w:p w:rsidR="00975689" w:rsidRPr="00C36C3B" w:rsidRDefault="00975689" w:rsidP="00975689">
      <w:pPr>
        <w:pStyle w:val="Corpo"/>
        <w:rPr>
          <w:szCs w:val="17"/>
          <w:lang w:val="en-US"/>
        </w:rPr>
      </w:pPr>
      <w:r w:rsidRPr="00C36C3B">
        <w:rPr>
          <w:szCs w:val="17"/>
          <w:lang w:val="en-US"/>
        </w:rPr>
        <w:t>PMID: 12487202 [PubMed - indexed for MEDLINE]</w:t>
      </w:r>
    </w:p>
    <w:p w:rsidR="00975689" w:rsidRPr="00C36C3B" w:rsidRDefault="00975689" w:rsidP="00975689">
      <w:pPr>
        <w:pStyle w:val="Corpo"/>
        <w:rPr>
          <w:szCs w:val="17"/>
          <w:lang w:val="en-US"/>
        </w:rPr>
      </w:pPr>
    </w:p>
    <w:p w:rsidR="00975689" w:rsidRPr="00C36C3B" w:rsidRDefault="00975689" w:rsidP="00975689">
      <w:pPr>
        <w:pStyle w:val="Corpo"/>
        <w:rPr>
          <w:szCs w:val="17"/>
          <w:lang w:val="en-US"/>
        </w:rPr>
      </w:pPr>
      <w:r w:rsidRPr="00C36C3B">
        <w:rPr>
          <w:szCs w:val="17"/>
          <w:lang w:val="en-US"/>
        </w:rPr>
        <w:t>J Am Coll Nutr. 2005 Dec;24(6 Suppl):582S-91S.</w:t>
      </w:r>
    </w:p>
    <w:p w:rsidR="00975689" w:rsidRPr="00C36C3B" w:rsidRDefault="00975689" w:rsidP="00975689">
      <w:pPr>
        <w:pStyle w:val="Corpo"/>
        <w:rPr>
          <w:b/>
          <w:szCs w:val="17"/>
          <w:lang w:val="en-US"/>
        </w:rPr>
      </w:pPr>
      <w:r w:rsidRPr="00C36C3B">
        <w:rPr>
          <w:b/>
          <w:szCs w:val="17"/>
          <w:lang w:val="en-US"/>
        </w:rPr>
        <w:t>Cow's milk allergy: a complex disorder.</w:t>
      </w:r>
    </w:p>
    <w:p w:rsidR="00975689" w:rsidRPr="00C36C3B" w:rsidRDefault="00975689" w:rsidP="00975689">
      <w:pPr>
        <w:pStyle w:val="Corpo"/>
        <w:rPr>
          <w:szCs w:val="17"/>
          <w:lang w:val="en-US"/>
        </w:rPr>
      </w:pPr>
      <w:r w:rsidRPr="00C36C3B">
        <w:rPr>
          <w:szCs w:val="17"/>
          <w:lang w:val="en-US"/>
        </w:rPr>
        <w:t>Crittenden RG1, Bennett LE.</w:t>
      </w:r>
    </w:p>
    <w:p w:rsidR="00975689" w:rsidRPr="00C36C3B" w:rsidRDefault="00975689" w:rsidP="00975689">
      <w:pPr>
        <w:pStyle w:val="Corpo"/>
        <w:rPr>
          <w:szCs w:val="17"/>
          <w:lang w:val="en-US"/>
        </w:rPr>
      </w:pPr>
      <w:r w:rsidRPr="00C36C3B">
        <w:rPr>
          <w:szCs w:val="17"/>
          <w:lang w:val="en-US"/>
        </w:rPr>
        <w:t>Author information</w:t>
      </w:r>
    </w:p>
    <w:p w:rsidR="00975689" w:rsidRPr="00C36C3B" w:rsidRDefault="00975689" w:rsidP="00975689">
      <w:pPr>
        <w:pStyle w:val="Corpo"/>
        <w:rPr>
          <w:szCs w:val="17"/>
          <w:lang w:val="en-US"/>
        </w:rPr>
      </w:pPr>
      <w:r w:rsidRPr="00C36C3B">
        <w:rPr>
          <w:szCs w:val="17"/>
          <w:lang w:val="en-US"/>
        </w:rPr>
        <w:t>Abstract</w:t>
      </w:r>
    </w:p>
    <w:p w:rsidR="00975689" w:rsidRPr="00C36C3B" w:rsidRDefault="00975689" w:rsidP="00975689">
      <w:pPr>
        <w:pStyle w:val="Corpo"/>
        <w:rPr>
          <w:szCs w:val="17"/>
          <w:lang w:val="en-US"/>
        </w:rPr>
      </w:pPr>
      <w:r w:rsidRPr="00C36C3B">
        <w:rPr>
          <w:szCs w:val="17"/>
          <w:lang w:val="en-US"/>
        </w:rPr>
        <w:t xml:space="preserve">Cow's milk allergy (CMA) is a complex disorder. Numerous milk proteins have been implicated in allergic responses and most of these have been shown to contain multiple allergenic epitopes. There is considerable heterogeneity amongst allergic individuals for the particular proteins and epitopes to which they react, and to further complicate matters, allergic reactions to cow's milk are driven by more than one immunological mechanism. Finally, the incidence and dominant allergic mechanisms change with age, with IgE-mediated reactions common in infancy and non-IgE-mediated reactions dominating in adults. The complexity of CMA has lead to many public misconceptions about this disorder, including confusion with lactose intolerance and frequent self-misdiagnosis. Indeed, the prevalence of self-diagnosed CMA in the community is 10-fold higher than the clinically proven incidence, suggesting a sizable population is unnecessarily eschewing dairy products. Avoidance of dairy foods, whether for true or perceived CMA, carries with it nutritional consequences and the provision of </w:t>
      </w:r>
      <w:r w:rsidRPr="00C36C3B">
        <w:rPr>
          <w:szCs w:val="17"/>
          <w:lang w:val="en-US"/>
        </w:rPr>
        <w:lastRenderedPageBreak/>
        <w:t>appropriate nutritional advice is important. In this review, the epidemiology and natural course of CMA is discussed along with our current understanding of its triggers and immunological mechanisms. We examine current strategies for the primary and secondary prevention of allergic sensitization and the ongoing search for effective therapies to ultimately cure CMA.</w:t>
      </w:r>
    </w:p>
    <w:p w:rsidR="00975689" w:rsidRPr="00C36C3B" w:rsidRDefault="00975689" w:rsidP="00975689">
      <w:pPr>
        <w:pStyle w:val="Corpo"/>
        <w:rPr>
          <w:szCs w:val="17"/>
          <w:lang w:val="en-US"/>
        </w:rPr>
      </w:pPr>
      <w:r w:rsidRPr="00C36C3B">
        <w:rPr>
          <w:szCs w:val="17"/>
          <w:lang w:val="en-US"/>
        </w:rPr>
        <w:t>PMID: 16373958 [PubMed - indexed for MEDLINE]</w:t>
      </w:r>
    </w:p>
    <w:p w:rsidR="00975689" w:rsidRPr="00C36C3B" w:rsidRDefault="00975689" w:rsidP="00975689">
      <w:pPr>
        <w:pStyle w:val="Corpo"/>
        <w:rPr>
          <w:szCs w:val="17"/>
          <w:lang w:val="en-US"/>
        </w:rPr>
      </w:pPr>
    </w:p>
    <w:p w:rsidR="00975689" w:rsidRPr="00C36C3B" w:rsidRDefault="00975689" w:rsidP="00975689">
      <w:pPr>
        <w:pStyle w:val="Corpo"/>
        <w:rPr>
          <w:szCs w:val="17"/>
          <w:lang w:val="en-US"/>
        </w:rPr>
      </w:pPr>
      <w:r w:rsidRPr="00C36C3B">
        <w:rPr>
          <w:szCs w:val="17"/>
          <w:lang w:val="en-US"/>
        </w:rPr>
        <w:t>Arch Dis Child. 2014 Jun 9. pii: archdischild-2013-304727. doi: 10.1136/archdischild-2013-304727. [Epub ahead of print]</w:t>
      </w:r>
    </w:p>
    <w:p w:rsidR="00975689" w:rsidRPr="00C36C3B" w:rsidRDefault="00975689" w:rsidP="00975689">
      <w:pPr>
        <w:pStyle w:val="Corpo"/>
        <w:rPr>
          <w:b/>
          <w:szCs w:val="17"/>
          <w:lang w:val="en-US"/>
        </w:rPr>
      </w:pPr>
      <w:r w:rsidRPr="00C36C3B">
        <w:rPr>
          <w:b/>
          <w:szCs w:val="17"/>
          <w:lang w:val="en-US"/>
        </w:rPr>
        <w:t>An extensively hydrolysed rice protein-based formula in the management of infants with cow's milk protein allergy: preliminary results after 1 month.</w:t>
      </w:r>
    </w:p>
    <w:p w:rsidR="00975689" w:rsidRPr="00C36C3B" w:rsidRDefault="00975689" w:rsidP="00975689">
      <w:pPr>
        <w:pStyle w:val="Corpo"/>
        <w:rPr>
          <w:szCs w:val="17"/>
          <w:lang w:val="en-US"/>
        </w:rPr>
      </w:pPr>
      <w:r w:rsidRPr="00C36C3B">
        <w:rPr>
          <w:szCs w:val="17"/>
          <w:lang w:val="en-US"/>
        </w:rPr>
        <w:t>Vandenplas Y1, De Greef E1, Hauser B1; Paradice Study Group.</w:t>
      </w:r>
    </w:p>
    <w:p w:rsidR="00975689" w:rsidRPr="00C36C3B" w:rsidRDefault="00975689" w:rsidP="00975689">
      <w:pPr>
        <w:pStyle w:val="Corpo"/>
        <w:rPr>
          <w:szCs w:val="17"/>
          <w:lang w:val="en-US"/>
        </w:rPr>
      </w:pPr>
      <w:r w:rsidRPr="00C36C3B">
        <w:rPr>
          <w:szCs w:val="17"/>
          <w:lang w:val="en-US"/>
        </w:rPr>
        <w:t>Collaborators (14)</w:t>
      </w:r>
    </w:p>
    <w:p w:rsidR="00975689" w:rsidRPr="00C36C3B" w:rsidRDefault="00975689" w:rsidP="00975689">
      <w:pPr>
        <w:pStyle w:val="Corpo"/>
        <w:rPr>
          <w:szCs w:val="17"/>
          <w:lang w:val="en-US"/>
        </w:rPr>
      </w:pPr>
      <w:r w:rsidRPr="00C36C3B">
        <w:rPr>
          <w:szCs w:val="17"/>
          <w:lang w:val="en-US"/>
        </w:rPr>
        <w:t>Author information</w:t>
      </w:r>
    </w:p>
    <w:p w:rsidR="00975689" w:rsidRPr="00C36C3B" w:rsidRDefault="00975689" w:rsidP="00975689">
      <w:pPr>
        <w:pStyle w:val="Corpo"/>
        <w:rPr>
          <w:szCs w:val="17"/>
          <w:lang w:val="en-US"/>
        </w:rPr>
      </w:pPr>
      <w:r w:rsidRPr="00C36C3B">
        <w:rPr>
          <w:szCs w:val="17"/>
          <w:lang w:val="en-US"/>
        </w:rPr>
        <w:t>Abstract</w:t>
      </w:r>
    </w:p>
    <w:p w:rsidR="00975689" w:rsidRPr="00C36C3B" w:rsidRDefault="00975689" w:rsidP="00975689">
      <w:pPr>
        <w:pStyle w:val="Corpo"/>
        <w:rPr>
          <w:szCs w:val="17"/>
          <w:lang w:val="en-US"/>
        </w:rPr>
      </w:pPr>
      <w:r w:rsidRPr="00C36C3B">
        <w:rPr>
          <w:szCs w:val="17"/>
          <w:lang w:val="en-US"/>
        </w:rPr>
        <w:t>BACKGROUND:</w:t>
      </w:r>
    </w:p>
    <w:p w:rsidR="00975689" w:rsidRPr="00C36C3B" w:rsidRDefault="00975689" w:rsidP="00975689">
      <w:pPr>
        <w:pStyle w:val="Corpo"/>
        <w:rPr>
          <w:szCs w:val="17"/>
          <w:lang w:val="en-US"/>
        </w:rPr>
      </w:pPr>
      <w:r w:rsidRPr="00C36C3B">
        <w:rPr>
          <w:szCs w:val="17"/>
          <w:lang w:val="en-US"/>
        </w:rPr>
        <w:t>Guidelines recommend extensively hydrolysed cow's milk protein formulas (eHF) in the treatment of infants diagnosed with cow's milk protein allergy (CMPA). Extensively hydrolysed rice protein infant formulas (eRHFs) have recently become available, and could offer a valid alternative.</w:t>
      </w:r>
    </w:p>
    <w:p w:rsidR="00975689" w:rsidRPr="00C36C3B" w:rsidRDefault="00975689" w:rsidP="00975689">
      <w:pPr>
        <w:pStyle w:val="Corpo"/>
        <w:rPr>
          <w:szCs w:val="17"/>
          <w:lang w:val="en-US"/>
        </w:rPr>
      </w:pPr>
      <w:r w:rsidRPr="00C36C3B">
        <w:rPr>
          <w:szCs w:val="17"/>
          <w:lang w:val="en-US"/>
        </w:rPr>
        <w:t>METHODS:</w:t>
      </w:r>
    </w:p>
    <w:p w:rsidR="00975689" w:rsidRPr="00C36C3B" w:rsidRDefault="00975689" w:rsidP="00975689">
      <w:pPr>
        <w:pStyle w:val="Corpo"/>
        <w:rPr>
          <w:szCs w:val="17"/>
          <w:lang w:val="en-US"/>
        </w:rPr>
      </w:pPr>
      <w:r w:rsidRPr="00C36C3B">
        <w:rPr>
          <w:szCs w:val="17"/>
          <w:lang w:val="en-US"/>
        </w:rPr>
        <w:t>A prospective trial was performed to evaluate the clinical tolerance of a new eRHF in infants with a confirmed CMPA. Patients were followed for 1 month. Clinical tolerance of the eRHF was evaluated with a symptom-based score (SBS) and growth (weight and length) was monitored.</w:t>
      </w:r>
    </w:p>
    <w:p w:rsidR="00975689" w:rsidRPr="00C36C3B" w:rsidRDefault="00975689" w:rsidP="00975689">
      <w:pPr>
        <w:pStyle w:val="Corpo"/>
        <w:rPr>
          <w:szCs w:val="17"/>
          <w:lang w:val="en-US"/>
        </w:rPr>
      </w:pPr>
      <w:r w:rsidRPr="00C36C3B">
        <w:rPr>
          <w:szCs w:val="17"/>
          <w:lang w:val="en-US"/>
        </w:rPr>
        <w:t>RESULTS:</w:t>
      </w:r>
    </w:p>
    <w:p w:rsidR="00975689" w:rsidRPr="00C36C3B" w:rsidRDefault="00975689" w:rsidP="00975689">
      <w:pPr>
        <w:pStyle w:val="Corpo"/>
        <w:rPr>
          <w:szCs w:val="17"/>
          <w:lang w:val="en-US"/>
        </w:rPr>
      </w:pPr>
      <w:r w:rsidRPr="00C36C3B">
        <w:rPr>
          <w:szCs w:val="17"/>
          <w:lang w:val="en-US"/>
        </w:rPr>
        <w:t>Thirty-nine infants (mean age 3.4 months, range 0.5-6 months) diagnosed with CMPA were enrolled. All infants tolerated the eRHF and experienced a normal growth.</w:t>
      </w:r>
    </w:p>
    <w:p w:rsidR="00975689" w:rsidRPr="00C36C3B" w:rsidRDefault="00975689" w:rsidP="00975689">
      <w:pPr>
        <w:pStyle w:val="Corpo"/>
        <w:rPr>
          <w:szCs w:val="17"/>
          <w:lang w:val="en-US"/>
        </w:rPr>
      </w:pPr>
      <w:r w:rsidRPr="00C36C3B">
        <w:rPr>
          <w:szCs w:val="17"/>
          <w:lang w:val="en-US"/>
        </w:rPr>
        <w:t>CONCLUSIONS:</w:t>
      </w:r>
    </w:p>
    <w:p w:rsidR="00975689" w:rsidRPr="00C36C3B" w:rsidRDefault="00975689" w:rsidP="00975689">
      <w:pPr>
        <w:pStyle w:val="Corpo"/>
        <w:rPr>
          <w:szCs w:val="17"/>
          <w:lang w:val="en-US"/>
        </w:rPr>
      </w:pPr>
      <w:r w:rsidRPr="00C36C3B">
        <w:rPr>
          <w:szCs w:val="17"/>
          <w:lang w:val="en-US"/>
        </w:rPr>
        <w:t>In accordance with current guidelines, this eRHF is tolerated by more than 90% of children with proven CMPA with a 95% CI, and is an adequate alternative to cow's milk-based eHF.</w:t>
      </w:r>
    </w:p>
    <w:p w:rsidR="00975689" w:rsidRPr="00C36C3B" w:rsidRDefault="00975689" w:rsidP="00975689">
      <w:pPr>
        <w:pStyle w:val="Corpo"/>
        <w:rPr>
          <w:szCs w:val="17"/>
          <w:lang w:val="en-US"/>
        </w:rPr>
      </w:pPr>
      <w:r w:rsidRPr="00C36C3B">
        <w:rPr>
          <w:szCs w:val="17"/>
          <w:lang w:val="en-US"/>
        </w:rPr>
        <w:t>TRIAL REGISTRATION NUMBER:</w:t>
      </w:r>
    </w:p>
    <w:p w:rsidR="00975689" w:rsidRPr="00C36C3B" w:rsidRDefault="00975689" w:rsidP="00975689">
      <w:pPr>
        <w:pStyle w:val="Corpo"/>
        <w:rPr>
          <w:szCs w:val="17"/>
          <w:lang w:val="en-US"/>
        </w:rPr>
      </w:pPr>
      <w:r w:rsidRPr="00C36C3B">
        <w:rPr>
          <w:szCs w:val="17"/>
          <w:lang w:val="en-US"/>
        </w:rPr>
        <w:t>ClinicalTrials.gov NCT01998074.</w:t>
      </w:r>
    </w:p>
    <w:p w:rsidR="00975689" w:rsidRPr="00C36C3B" w:rsidRDefault="00975689" w:rsidP="00975689">
      <w:pPr>
        <w:pStyle w:val="Corpo"/>
        <w:rPr>
          <w:szCs w:val="17"/>
          <w:lang w:val="en-US"/>
        </w:rPr>
      </w:pPr>
      <w:r w:rsidRPr="00C36C3B">
        <w:rPr>
          <w:szCs w:val="17"/>
          <w:lang w:val="en-US"/>
        </w:rPr>
        <w:t>Published by the BMJ Publishing Group Limited. For permission to use (where not already granted under a licence) please go to http://group.bmj.com/group/rights-licensing/permissions.</w:t>
      </w:r>
    </w:p>
    <w:p w:rsidR="00975689" w:rsidRPr="00C36C3B" w:rsidRDefault="00975689" w:rsidP="00975689">
      <w:pPr>
        <w:pStyle w:val="Corpo"/>
        <w:rPr>
          <w:szCs w:val="17"/>
          <w:lang w:val="en-US"/>
        </w:rPr>
      </w:pPr>
      <w:r w:rsidRPr="00C36C3B">
        <w:rPr>
          <w:szCs w:val="17"/>
          <w:lang w:val="en-US"/>
        </w:rPr>
        <w:t>KEYWORDS:</w:t>
      </w:r>
    </w:p>
    <w:p w:rsidR="00975689" w:rsidRPr="00C36C3B" w:rsidRDefault="00975689" w:rsidP="00975689">
      <w:pPr>
        <w:pStyle w:val="Corpo"/>
        <w:rPr>
          <w:szCs w:val="17"/>
          <w:lang w:val="en-US"/>
        </w:rPr>
      </w:pPr>
      <w:r w:rsidRPr="00C36C3B">
        <w:rPr>
          <w:szCs w:val="17"/>
          <w:lang w:val="en-US"/>
        </w:rPr>
        <w:t>Allergy; Gastroenterology; General Paediatrics; Nutrition</w:t>
      </w:r>
    </w:p>
    <w:p w:rsidR="00975689" w:rsidRPr="00C36C3B" w:rsidRDefault="00975689" w:rsidP="00975689">
      <w:pPr>
        <w:pStyle w:val="Corpo"/>
        <w:rPr>
          <w:szCs w:val="17"/>
          <w:lang w:val="en-US"/>
        </w:rPr>
      </w:pPr>
      <w:r w:rsidRPr="00C36C3B">
        <w:rPr>
          <w:szCs w:val="17"/>
          <w:lang w:val="en-US"/>
        </w:rPr>
        <w:t>PMID: 24914098 [PubMed - as supplied by publisher]</w:t>
      </w:r>
    </w:p>
    <w:p w:rsidR="00975689" w:rsidRPr="00C36C3B" w:rsidRDefault="00975689" w:rsidP="00975689">
      <w:pPr>
        <w:pStyle w:val="Corpo"/>
        <w:rPr>
          <w:szCs w:val="17"/>
          <w:lang w:val="en-US"/>
        </w:rPr>
      </w:pPr>
    </w:p>
    <w:p w:rsidR="00975689" w:rsidRPr="00C36C3B" w:rsidRDefault="00975689" w:rsidP="00975689">
      <w:pPr>
        <w:pStyle w:val="Corpo"/>
        <w:rPr>
          <w:szCs w:val="17"/>
          <w:lang w:val="en-US"/>
        </w:rPr>
      </w:pPr>
      <w:r w:rsidRPr="00C36C3B">
        <w:rPr>
          <w:szCs w:val="17"/>
          <w:lang w:val="en-US"/>
        </w:rPr>
        <w:t>J Am Diet Assoc. 2002 Nov;102(11):1648-51.</w:t>
      </w:r>
    </w:p>
    <w:p w:rsidR="00975689" w:rsidRPr="00C36C3B" w:rsidRDefault="00975689" w:rsidP="00975689">
      <w:pPr>
        <w:pStyle w:val="Corpo"/>
        <w:rPr>
          <w:b/>
          <w:szCs w:val="17"/>
          <w:lang w:val="en-US"/>
        </w:rPr>
      </w:pPr>
      <w:r w:rsidRPr="00C36C3B">
        <w:rPr>
          <w:b/>
          <w:szCs w:val="17"/>
          <w:lang w:val="en-US"/>
        </w:rPr>
        <w:t>Food allergies in children affect nutrient intake and growth.</w:t>
      </w:r>
    </w:p>
    <w:p w:rsidR="00975689" w:rsidRPr="00C36C3B" w:rsidRDefault="00975689" w:rsidP="00975689">
      <w:pPr>
        <w:pStyle w:val="Corpo"/>
        <w:rPr>
          <w:szCs w:val="17"/>
          <w:lang w:val="en-US"/>
        </w:rPr>
      </w:pPr>
      <w:r w:rsidRPr="00C36C3B">
        <w:rPr>
          <w:szCs w:val="17"/>
          <w:lang w:val="en-US"/>
        </w:rPr>
        <w:lastRenderedPageBreak/>
        <w:t>Christie L1, Hine RJ, Parker JG, Burks W.</w:t>
      </w:r>
    </w:p>
    <w:p w:rsidR="00975689" w:rsidRPr="00C36C3B" w:rsidRDefault="00975689" w:rsidP="00975689">
      <w:pPr>
        <w:pStyle w:val="Corpo"/>
        <w:rPr>
          <w:szCs w:val="17"/>
          <w:lang w:val="en-US"/>
        </w:rPr>
      </w:pPr>
      <w:r w:rsidRPr="00C36C3B">
        <w:rPr>
          <w:szCs w:val="17"/>
          <w:lang w:val="en-US"/>
        </w:rPr>
        <w:t>Author information</w:t>
      </w:r>
    </w:p>
    <w:p w:rsidR="00975689" w:rsidRPr="00C36C3B" w:rsidRDefault="00975689" w:rsidP="00975689">
      <w:pPr>
        <w:pStyle w:val="Corpo"/>
        <w:rPr>
          <w:szCs w:val="17"/>
          <w:lang w:val="en-US"/>
        </w:rPr>
      </w:pPr>
      <w:r w:rsidRPr="00C36C3B">
        <w:rPr>
          <w:szCs w:val="17"/>
          <w:lang w:val="en-US"/>
        </w:rPr>
        <w:t>Abstract</w:t>
      </w:r>
    </w:p>
    <w:p w:rsidR="00975689" w:rsidRPr="00C36C3B" w:rsidRDefault="00975689" w:rsidP="00975689">
      <w:pPr>
        <w:pStyle w:val="Corpo"/>
        <w:rPr>
          <w:szCs w:val="17"/>
          <w:lang w:val="en-US"/>
        </w:rPr>
      </w:pPr>
      <w:r w:rsidRPr="00C36C3B">
        <w:rPr>
          <w:szCs w:val="17"/>
          <w:lang w:val="en-US"/>
        </w:rPr>
        <w:t>OBJECTIVES:</w:t>
      </w:r>
    </w:p>
    <w:p w:rsidR="00975689" w:rsidRPr="00C36C3B" w:rsidRDefault="00975689" w:rsidP="00975689">
      <w:pPr>
        <w:pStyle w:val="Corpo"/>
        <w:rPr>
          <w:szCs w:val="17"/>
          <w:lang w:val="en-US"/>
        </w:rPr>
      </w:pPr>
      <w:r w:rsidRPr="00C36C3B">
        <w:rPr>
          <w:szCs w:val="17"/>
          <w:lang w:val="en-US"/>
        </w:rPr>
        <w:t>To identify if specific food allergies, elimination diets, or other variables associated with food allergies have an impact on the growth and nutrient intake of children with food allergies.</w:t>
      </w:r>
    </w:p>
    <w:p w:rsidR="00975689" w:rsidRPr="00C36C3B" w:rsidRDefault="00975689" w:rsidP="00975689">
      <w:pPr>
        <w:pStyle w:val="Corpo"/>
        <w:rPr>
          <w:szCs w:val="17"/>
          <w:lang w:val="en-US"/>
        </w:rPr>
      </w:pPr>
      <w:r w:rsidRPr="00C36C3B">
        <w:rPr>
          <w:szCs w:val="17"/>
          <w:lang w:val="en-US"/>
        </w:rPr>
        <w:t>DESIGN:</w:t>
      </w:r>
    </w:p>
    <w:p w:rsidR="00975689" w:rsidRPr="00C36C3B" w:rsidRDefault="00975689" w:rsidP="00975689">
      <w:pPr>
        <w:pStyle w:val="Corpo"/>
        <w:rPr>
          <w:szCs w:val="17"/>
          <w:lang w:val="en-US"/>
        </w:rPr>
      </w:pPr>
      <w:r w:rsidRPr="00C36C3B">
        <w:rPr>
          <w:szCs w:val="17"/>
          <w:lang w:val="en-US"/>
        </w:rPr>
        <w:t>Measurements of height, weight, and body mass index were used to determine potential growth problems. Estimates of energy and nutrient intakes were based on 3-day diet records. A questionnaire was used to determine number of food allergies and other variables.</w:t>
      </w:r>
    </w:p>
    <w:p w:rsidR="00975689" w:rsidRPr="00C36C3B" w:rsidRDefault="00975689" w:rsidP="00975689">
      <w:pPr>
        <w:pStyle w:val="Corpo"/>
        <w:rPr>
          <w:szCs w:val="17"/>
          <w:lang w:val="en-US"/>
        </w:rPr>
      </w:pPr>
      <w:r w:rsidRPr="00C36C3B">
        <w:rPr>
          <w:szCs w:val="17"/>
          <w:lang w:val="en-US"/>
        </w:rPr>
        <w:t>SUBJECTS:</w:t>
      </w:r>
    </w:p>
    <w:p w:rsidR="00975689" w:rsidRPr="00C36C3B" w:rsidRDefault="00975689" w:rsidP="00975689">
      <w:pPr>
        <w:pStyle w:val="Corpo"/>
        <w:rPr>
          <w:szCs w:val="17"/>
          <w:lang w:val="en-US"/>
        </w:rPr>
      </w:pPr>
      <w:r w:rsidRPr="00C36C3B">
        <w:rPr>
          <w:szCs w:val="17"/>
          <w:lang w:val="en-US"/>
        </w:rPr>
        <w:t>Ninety-eight children with food allergies (subjects, mean age 3.7 +/- 2.3 years) and 99 children without food allergies (controls, mean age 4.1 +/- 2.4 years) participated in this age-matched, consecutive sampling, cross-sectional study.</w:t>
      </w:r>
    </w:p>
    <w:p w:rsidR="00975689" w:rsidRPr="00C36C3B" w:rsidRDefault="00975689" w:rsidP="00975689">
      <w:pPr>
        <w:pStyle w:val="Corpo"/>
        <w:rPr>
          <w:szCs w:val="17"/>
          <w:lang w:val="en-US"/>
        </w:rPr>
      </w:pPr>
      <w:r w:rsidRPr="00C36C3B">
        <w:rPr>
          <w:szCs w:val="17"/>
          <w:lang w:val="en-US"/>
        </w:rPr>
        <w:t>STATISTICAL ANALYSIS PERFORMED:</w:t>
      </w:r>
    </w:p>
    <w:p w:rsidR="00975689" w:rsidRPr="00C36C3B" w:rsidRDefault="00975689" w:rsidP="00975689">
      <w:pPr>
        <w:pStyle w:val="Corpo"/>
        <w:rPr>
          <w:szCs w:val="17"/>
          <w:lang w:val="en-US"/>
        </w:rPr>
      </w:pPr>
      <w:r w:rsidRPr="00C36C3B">
        <w:rPr>
          <w:szCs w:val="17"/>
          <w:lang w:val="en-US"/>
        </w:rPr>
        <w:t>Cochran-Mantel-Haenszel statistics using general association and Fisher Exact Test, with 2-sided probability, were conducted.</w:t>
      </w:r>
    </w:p>
    <w:p w:rsidR="00975689" w:rsidRPr="00C36C3B" w:rsidRDefault="00975689" w:rsidP="00975689">
      <w:pPr>
        <w:pStyle w:val="Corpo"/>
        <w:rPr>
          <w:szCs w:val="17"/>
          <w:lang w:val="en-US"/>
        </w:rPr>
      </w:pPr>
      <w:r w:rsidRPr="00C36C3B">
        <w:rPr>
          <w:szCs w:val="17"/>
          <w:lang w:val="en-US"/>
        </w:rPr>
        <w:t>RESULTS:</w:t>
      </w:r>
    </w:p>
    <w:p w:rsidR="00975689" w:rsidRPr="00C36C3B" w:rsidRDefault="00975689" w:rsidP="00975689">
      <w:pPr>
        <w:pStyle w:val="Corpo"/>
        <w:rPr>
          <w:szCs w:val="17"/>
          <w:lang w:val="en-US"/>
        </w:rPr>
      </w:pPr>
      <w:r w:rsidRPr="00C36C3B">
        <w:rPr>
          <w:szCs w:val="17"/>
          <w:lang w:val="en-US"/>
        </w:rPr>
        <w:t>Children with two or more food allergies were shorter, based on height-for-age percentiles, than those with one food allergy (P&lt;.05). More than 25% of children in both groups consumed less than 67% of the DRI (RDA or AI) for calcium, vitamin D, and vitamin E. More children with cow's milk allergy or multiple food allergies consumed dietary calcium less than age- and gender-specific recommendations compared with children without cow's milk allergy and/or one food allergy. The possibility of consuming a less than recommended intake of calcium and vitamin D in children with food allergy was less if the child received nutrition counseling (P&lt;.05) or consumed a safe infant/toddler formula or fortified soy beverage.</w:t>
      </w:r>
    </w:p>
    <w:p w:rsidR="00975689" w:rsidRPr="00C36C3B" w:rsidRDefault="00975689" w:rsidP="00975689">
      <w:pPr>
        <w:pStyle w:val="Corpo"/>
        <w:rPr>
          <w:szCs w:val="17"/>
          <w:lang w:val="en-US"/>
        </w:rPr>
      </w:pPr>
      <w:r w:rsidRPr="00C36C3B">
        <w:rPr>
          <w:szCs w:val="17"/>
          <w:lang w:val="en-US"/>
        </w:rPr>
        <w:t>APPLICATIONS/CONCLUSIONS:</w:t>
      </w:r>
    </w:p>
    <w:p w:rsidR="00975689" w:rsidRPr="00C36C3B" w:rsidRDefault="00975689" w:rsidP="00975689">
      <w:pPr>
        <w:pStyle w:val="Corpo"/>
        <w:rPr>
          <w:szCs w:val="17"/>
          <w:lang w:val="en-US"/>
        </w:rPr>
      </w:pPr>
      <w:r w:rsidRPr="00C36C3B">
        <w:rPr>
          <w:szCs w:val="17"/>
          <w:lang w:val="en-US"/>
        </w:rPr>
        <w:t>Children diagnosed with food allergies need an annual nutrition assessment to prevent growth problems or inadequate nutrient intake. Children with milk allergies or multiple food allergies are at greater risk. Nutrition education needs to address how to avoid all forms of the allergen and incorporate alternative nutrient-dense foods. This population would benefit from the development and validation of a medical nutrition therapy protocol.</w:t>
      </w:r>
    </w:p>
    <w:p w:rsidR="00975689" w:rsidRPr="00C36C3B" w:rsidRDefault="00975689" w:rsidP="00975689">
      <w:pPr>
        <w:pStyle w:val="Corpo"/>
        <w:rPr>
          <w:szCs w:val="17"/>
          <w:lang w:val="en-US"/>
        </w:rPr>
      </w:pPr>
      <w:r w:rsidRPr="00C36C3B">
        <w:rPr>
          <w:szCs w:val="17"/>
          <w:lang w:val="en-US"/>
        </w:rPr>
        <w:t>PMID: 12449289 [PubMed - indexed for MEDLINE]</w:t>
      </w:r>
    </w:p>
    <w:p w:rsidR="00975689" w:rsidRPr="00C36C3B" w:rsidRDefault="00975689" w:rsidP="00975689">
      <w:pPr>
        <w:pStyle w:val="Corpo"/>
        <w:rPr>
          <w:szCs w:val="17"/>
          <w:lang w:val="en-US"/>
        </w:rPr>
      </w:pPr>
    </w:p>
    <w:p w:rsidR="00975689" w:rsidRPr="00C36C3B" w:rsidRDefault="00975689" w:rsidP="00975689">
      <w:pPr>
        <w:pStyle w:val="Corpo"/>
        <w:rPr>
          <w:szCs w:val="17"/>
          <w:lang w:val="en-US"/>
        </w:rPr>
      </w:pPr>
      <w:r w:rsidRPr="00C36C3B">
        <w:rPr>
          <w:szCs w:val="17"/>
          <w:lang w:val="en-US"/>
        </w:rPr>
        <w:t>Med Wieku Rozwoj. 2012 Oct-Dec;16(4):307-12.</w:t>
      </w:r>
    </w:p>
    <w:p w:rsidR="00975689" w:rsidRPr="00C36C3B" w:rsidRDefault="00975689" w:rsidP="00975689">
      <w:pPr>
        <w:pStyle w:val="Corpo"/>
        <w:rPr>
          <w:b/>
          <w:szCs w:val="17"/>
          <w:lang w:val="en-US"/>
        </w:rPr>
      </w:pPr>
      <w:r w:rsidRPr="00C36C3B">
        <w:rPr>
          <w:b/>
          <w:szCs w:val="17"/>
          <w:lang w:val="en-US"/>
        </w:rPr>
        <w:t>[Vitamin D status in children with cow's milk allergy].</w:t>
      </w:r>
    </w:p>
    <w:p w:rsidR="00975689" w:rsidRPr="00C36C3B" w:rsidRDefault="00975689" w:rsidP="00975689">
      <w:pPr>
        <w:pStyle w:val="Corpo"/>
        <w:rPr>
          <w:szCs w:val="17"/>
          <w:lang w:val="en-US"/>
        </w:rPr>
      </w:pPr>
      <w:r w:rsidRPr="00C36C3B">
        <w:rPr>
          <w:szCs w:val="17"/>
          <w:lang w:val="en-US"/>
        </w:rPr>
        <w:t>[Article in Polish]</w:t>
      </w:r>
    </w:p>
    <w:p w:rsidR="00975689" w:rsidRPr="00C36C3B" w:rsidRDefault="00975689" w:rsidP="00975689">
      <w:pPr>
        <w:pStyle w:val="Corpo"/>
        <w:rPr>
          <w:szCs w:val="17"/>
          <w:lang w:val="en-US"/>
        </w:rPr>
      </w:pPr>
      <w:r w:rsidRPr="00C36C3B">
        <w:rPr>
          <w:szCs w:val="17"/>
          <w:lang w:val="en-US"/>
        </w:rPr>
        <w:t>Rowicka G1, Struci</w:t>
      </w:r>
      <w:r w:rsidRPr="00C36C3B">
        <w:rPr>
          <w:rFonts w:ascii="Arial" w:hAnsi="Arial" w:cs="Arial"/>
          <w:szCs w:val="17"/>
          <w:lang w:val="en-US"/>
        </w:rPr>
        <w:t>ń</w:t>
      </w:r>
      <w:r w:rsidRPr="00C36C3B">
        <w:rPr>
          <w:rFonts w:cs="Futura Lt BT"/>
          <w:szCs w:val="17"/>
          <w:lang w:val="en-US"/>
        </w:rPr>
        <w:t>ska M, Ambroszkiewicz J.</w:t>
      </w:r>
    </w:p>
    <w:p w:rsidR="00975689" w:rsidRPr="00C36C3B" w:rsidRDefault="00975689" w:rsidP="00975689">
      <w:pPr>
        <w:pStyle w:val="Corpo"/>
        <w:rPr>
          <w:szCs w:val="17"/>
          <w:lang w:val="en-US"/>
        </w:rPr>
      </w:pPr>
      <w:r w:rsidRPr="00C36C3B">
        <w:rPr>
          <w:szCs w:val="17"/>
          <w:lang w:val="en-US"/>
        </w:rPr>
        <w:t>Author information</w:t>
      </w:r>
    </w:p>
    <w:p w:rsidR="00975689" w:rsidRPr="00C36C3B" w:rsidRDefault="00975689" w:rsidP="00975689">
      <w:pPr>
        <w:pStyle w:val="Corpo"/>
        <w:rPr>
          <w:szCs w:val="17"/>
          <w:lang w:val="en-US"/>
        </w:rPr>
      </w:pPr>
      <w:r w:rsidRPr="00C36C3B">
        <w:rPr>
          <w:szCs w:val="17"/>
          <w:lang w:val="en-US"/>
        </w:rPr>
        <w:lastRenderedPageBreak/>
        <w:t>Abstract</w:t>
      </w:r>
    </w:p>
    <w:p w:rsidR="00975689" w:rsidRPr="00C36C3B" w:rsidRDefault="00975689" w:rsidP="00975689">
      <w:pPr>
        <w:pStyle w:val="Corpo"/>
        <w:rPr>
          <w:szCs w:val="17"/>
          <w:lang w:val="en-US"/>
        </w:rPr>
      </w:pPr>
      <w:r w:rsidRPr="00C36C3B">
        <w:rPr>
          <w:szCs w:val="17"/>
          <w:lang w:val="en-US"/>
        </w:rPr>
        <w:t>Children treated with a dairy-free diet are in a group of those at risk of nutritional deficiencies, including vitamin D deficiency.THE AIM of this study was to evaluate the vitamin D status in children with cow's milk allergy (CMA) treated with a dairy-free diet.</w:t>
      </w:r>
    </w:p>
    <w:p w:rsidR="00975689" w:rsidRPr="00C36C3B" w:rsidRDefault="00975689" w:rsidP="00975689">
      <w:pPr>
        <w:pStyle w:val="Corpo"/>
        <w:rPr>
          <w:szCs w:val="17"/>
          <w:lang w:val="en-US"/>
        </w:rPr>
      </w:pPr>
      <w:r w:rsidRPr="00C36C3B">
        <w:rPr>
          <w:szCs w:val="17"/>
          <w:lang w:val="en-US"/>
        </w:rPr>
        <w:t>MATERIAL AND METHODS:</w:t>
      </w:r>
    </w:p>
    <w:p w:rsidR="00975689" w:rsidRPr="00C36C3B" w:rsidRDefault="00975689" w:rsidP="00975689">
      <w:pPr>
        <w:pStyle w:val="Corpo"/>
        <w:rPr>
          <w:szCs w:val="17"/>
          <w:lang w:val="en-US"/>
        </w:rPr>
      </w:pPr>
      <w:r w:rsidRPr="00C36C3B">
        <w:rPr>
          <w:szCs w:val="17"/>
          <w:lang w:val="en-US"/>
        </w:rPr>
        <w:t>The study involved 66 children with CMA, aged 2-5 years (mean age 3.9±1.9 yrs). The children were treated with a milk-free diet (high degree of protein hydrolysates or soy formulas/soy products) and remained under the care of the medical and nutritional team. The majority of the children lived in urban areas and their parents have mainly secondary or higher education. The supply of vitamin D in children's daily food rations was evaluated and related to Adequate Intake (AI) as well as the recommendations contained in the Medical Standard (2009) for the prophylaxis of vitamin D deficiency. Fifteen (22.7%) children in the autumn-winter season used vitamin D containing supplements. The serum 25-hydroxyvitamin D [25(OH)D] concentration was measured and related to the recommended levels from Medical Standard (2009). Taking into consideration the possibility of seasonal differences in vitamin D status, blood samples for the 25(OH)D assay were collected from April to September (spring-summer season) in 34 (51.5%) children and from October to March (autumn-winter season) in 32 (48.5%) children.</w:t>
      </w:r>
    </w:p>
    <w:p w:rsidR="00975689" w:rsidRPr="00C36C3B" w:rsidRDefault="00975689" w:rsidP="00975689">
      <w:pPr>
        <w:pStyle w:val="Corpo"/>
        <w:rPr>
          <w:szCs w:val="17"/>
          <w:lang w:val="en-US"/>
        </w:rPr>
      </w:pPr>
      <w:r w:rsidRPr="00C36C3B">
        <w:rPr>
          <w:szCs w:val="17"/>
          <w:lang w:val="en-US"/>
        </w:rPr>
        <w:t>RESULTS:</w:t>
      </w:r>
    </w:p>
    <w:p w:rsidR="00975689" w:rsidRPr="00C36C3B" w:rsidRDefault="00975689" w:rsidP="00975689">
      <w:pPr>
        <w:pStyle w:val="Corpo"/>
        <w:rPr>
          <w:szCs w:val="17"/>
          <w:lang w:val="en-US"/>
        </w:rPr>
      </w:pPr>
      <w:r w:rsidRPr="00C36C3B">
        <w:rPr>
          <w:szCs w:val="17"/>
          <w:lang w:val="en-US"/>
        </w:rPr>
        <w:t xml:space="preserve">The mean supply of vitamin D in the diets of the children with CMA was 5.9±3.7 </w:t>
      </w:r>
      <w:r w:rsidRPr="00C36C3B">
        <w:rPr>
          <w:rFonts w:ascii="Arial" w:hAnsi="Arial" w:cs="Arial"/>
          <w:szCs w:val="17"/>
          <w:lang w:val="en-US"/>
        </w:rPr>
        <w:t>μ</w:t>
      </w:r>
      <w:r w:rsidRPr="00C36C3B">
        <w:rPr>
          <w:rFonts w:cs="Futura Lt BT"/>
          <w:szCs w:val="17"/>
          <w:lang w:val="en-US"/>
        </w:rPr>
        <w:t xml:space="preserve">g/d. The mean supply of vitamin D in supplements in the group of children receiving them was 143.6±132.9 IU/d [3.6±3.3 </w:t>
      </w:r>
      <w:r w:rsidRPr="00C36C3B">
        <w:rPr>
          <w:rFonts w:ascii="Arial" w:hAnsi="Arial" w:cs="Arial"/>
          <w:szCs w:val="17"/>
          <w:lang w:val="en-US"/>
        </w:rPr>
        <w:t>μ</w:t>
      </w:r>
      <w:r w:rsidRPr="00C36C3B">
        <w:rPr>
          <w:rFonts w:cs="Futura Lt BT"/>
          <w:szCs w:val="17"/>
          <w:lang w:val="en-US"/>
        </w:rPr>
        <w:t>g/d]. The mean 25 (OH)D serum concentration among the ch</w:t>
      </w:r>
      <w:r w:rsidRPr="00C36C3B">
        <w:rPr>
          <w:szCs w:val="17"/>
          <w:lang w:val="en-US"/>
        </w:rPr>
        <w:t>ildren without taking into account the season for blood withdrawal was 28.7±9.9 ng/ml. Taking into account the season of blood sample collection, the mean 25(OH)D serum concentration in children in spring-summer was 30.1±7.8 ng/ml, while in autumn-winter 27.5±11.2 ng/ml, p&gt;0,05. A positive correlation between the supply of vitamin D in the children's diets and 25(OH)D serum concentration (Spearman correlation coefficient r=0.46, p&lt;0,01) was found. The mean supply of vitamin D in the children's diets and the mean 25(OH)D serum concentration did not differ significantly depending on the place of living and the parents' education.</w:t>
      </w:r>
    </w:p>
    <w:p w:rsidR="00975689" w:rsidRPr="00C36C3B" w:rsidRDefault="00975689" w:rsidP="00975689">
      <w:pPr>
        <w:pStyle w:val="Corpo"/>
        <w:rPr>
          <w:szCs w:val="17"/>
          <w:lang w:val="en-US"/>
        </w:rPr>
      </w:pPr>
      <w:r w:rsidRPr="00C36C3B">
        <w:rPr>
          <w:szCs w:val="17"/>
          <w:lang w:val="en-US"/>
        </w:rPr>
        <w:t>CONCLUSIONS:</w:t>
      </w:r>
    </w:p>
    <w:p w:rsidR="00975689" w:rsidRPr="00C36C3B" w:rsidRDefault="00975689" w:rsidP="00975689">
      <w:pPr>
        <w:pStyle w:val="Corpo"/>
        <w:rPr>
          <w:szCs w:val="17"/>
          <w:lang w:val="en-US"/>
        </w:rPr>
      </w:pPr>
      <w:r w:rsidRPr="00C36C3B">
        <w:rPr>
          <w:szCs w:val="17"/>
          <w:lang w:val="en-US"/>
        </w:rPr>
        <w:t>1. Vitamin D supplied by the diets of the children with CMA remaining under our care was compliant with the Adequate Intake, but lower than the recommendations contained in the Medical Standard. 2. The serum 25(OH) D concentration in these children in the spring-summer as well as autumn-winter season indicated the optimal vitamin D status. 3. Being under constant medical and nutritional care is one of the conditions for an appropriate vitamin D supply in children with CMA.</w:t>
      </w:r>
    </w:p>
    <w:p w:rsidR="00975689" w:rsidRPr="00C36C3B" w:rsidRDefault="00975689" w:rsidP="00975689">
      <w:pPr>
        <w:pStyle w:val="Corpo"/>
        <w:rPr>
          <w:szCs w:val="17"/>
          <w:lang w:val="en-US"/>
        </w:rPr>
      </w:pPr>
      <w:r w:rsidRPr="00C36C3B">
        <w:rPr>
          <w:szCs w:val="17"/>
          <w:lang w:val="en-US"/>
        </w:rPr>
        <w:t>PMID: 23378410 [PubMed - indexed for MEDLINE]</w:t>
      </w:r>
    </w:p>
    <w:p w:rsidR="00975689" w:rsidRPr="00C36C3B" w:rsidRDefault="00975689" w:rsidP="00975689">
      <w:pPr>
        <w:pStyle w:val="Corpo"/>
        <w:rPr>
          <w:szCs w:val="17"/>
          <w:lang w:val="en-US"/>
        </w:rPr>
      </w:pPr>
    </w:p>
    <w:p w:rsidR="00975689" w:rsidRPr="00C36C3B" w:rsidRDefault="00975689" w:rsidP="00975689">
      <w:pPr>
        <w:pStyle w:val="Corpo"/>
        <w:rPr>
          <w:szCs w:val="17"/>
          <w:lang w:val="en-US"/>
        </w:rPr>
      </w:pPr>
      <w:r w:rsidRPr="00C36C3B">
        <w:rPr>
          <w:szCs w:val="17"/>
          <w:lang w:val="en-US"/>
        </w:rPr>
        <w:t>Ann Allergy Asthma Immunol. 2006 Apr;96(4):615-9.</w:t>
      </w:r>
    </w:p>
    <w:p w:rsidR="00975689" w:rsidRPr="00C36C3B" w:rsidRDefault="00975689" w:rsidP="00975689">
      <w:pPr>
        <w:pStyle w:val="Corpo"/>
        <w:rPr>
          <w:b/>
          <w:szCs w:val="17"/>
          <w:lang w:val="en-US"/>
        </w:rPr>
      </w:pPr>
      <w:r w:rsidRPr="00C36C3B">
        <w:rPr>
          <w:b/>
          <w:szCs w:val="17"/>
          <w:lang w:val="en-US"/>
        </w:rPr>
        <w:t>Milk allergy and vitamin D deficiency rickets: a common disorder associated with an uncommon disease.</w:t>
      </w:r>
    </w:p>
    <w:p w:rsidR="00975689" w:rsidRPr="00C36C3B" w:rsidRDefault="00975689" w:rsidP="00975689">
      <w:pPr>
        <w:pStyle w:val="Corpo"/>
        <w:rPr>
          <w:szCs w:val="17"/>
          <w:lang w:val="en-US"/>
        </w:rPr>
      </w:pPr>
      <w:r w:rsidRPr="00C36C3B">
        <w:rPr>
          <w:szCs w:val="17"/>
          <w:lang w:val="en-US"/>
        </w:rPr>
        <w:t>Yu JW1, Pekeles G, Legault L, McCusker CT.</w:t>
      </w:r>
    </w:p>
    <w:p w:rsidR="00975689" w:rsidRPr="00C36C3B" w:rsidRDefault="00975689" w:rsidP="00975689">
      <w:pPr>
        <w:pStyle w:val="Corpo"/>
        <w:rPr>
          <w:szCs w:val="17"/>
          <w:lang w:val="en-US"/>
        </w:rPr>
      </w:pPr>
      <w:r w:rsidRPr="00C36C3B">
        <w:rPr>
          <w:szCs w:val="17"/>
          <w:lang w:val="en-US"/>
        </w:rPr>
        <w:lastRenderedPageBreak/>
        <w:t>Author information</w:t>
      </w:r>
    </w:p>
    <w:p w:rsidR="00975689" w:rsidRPr="00C36C3B" w:rsidRDefault="00975689" w:rsidP="00975689">
      <w:pPr>
        <w:pStyle w:val="Corpo"/>
        <w:rPr>
          <w:szCs w:val="17"/>
          <w:lang w:val="en-US"/>
        </w:rPr>
      </w:pPr>
      <w:r w:rsidRPr="00C36C3B">
        <w:rPr>
          <w:szCs w:val="17"/>
          <w:lang w:val="en-US"/>
        </w:rPr>
        <w:t>Abstract</w:t>
      </w:r>
    </w:p>
    <w:p w:rsidR="00975689" w:rsidRPr="00C36C3B" w:rsidRDefault="00975689" w:rsidP="00975689">
      <w:pPr>
        <w:pStyle w:val="Corpo"/>
        <w:rPr>
          <w:szCs w:val="17"/>
          <w:lang w:val="en-US"/>
        </w:rPr>
      </w:pPr>
      <w:r w:rsidRPr="00C36C3B">
        <w:rPr>
          <w:szCs w:val="17"/>
          <w:lang w:val="en-US"/>
        </w:rPr>
        <w:t>BACKGROUND:</w:t>
      </w:r>
    </w:p>
    <w:p w:rsidR="00975689" w:rsidRPr="00C36C3B" w:rsidRDefault="00975689" w:rsidP="00975689">
      <w:pPr>
        <w:pStyle w:val="Corpo"/>
        <w:rPr>
          <w:szCs w:val="17"/>
          <w:lang w:val="en-US"/>
        </w:rPr>
      </w:pPr>
      <w:r w:rsidRPr="00C36C3B">
        <w:rPr>
          <w:szCs w:val="17"/>
          <w:lang w:val="en-US"/>
        </w:rPr>
        <w:t>Cow's milk allergy is one of the most common allergies in infancy. It has an excellent prognosis since most cases resolve by 4 years of age. The complications associated with milk allergy include delayed growth and atopic conditions, such as asthma, allergic rhinitis, atopic dermatitis, and other food allergies.</w:t>
      </w:r>
    </w:p>
    <w:p w:rsidR="00975689" w:rsidRPr="00C36C3B" w:rsidRDefault="00975689" w:rsidP="00975689">
      <w:pPr>
        <w:pStyle w:val="Corpo"/>
        <w:rPr>
          <w:szCs w:val="17"/>
          <w:lang w:val="en-US"/>
        </w:rPr>
      </w:pPr>
      <w:r w:rsidRPr="00C36C3B">
        <w:rPr>
          <w:szCs w:val="17"/>
          <w:lang w:val="en-US"/>
        </w:rPr>
        <w:t>OBJECTIVE:</w:t>
      </w:r>
    </w:p>
    <w:p w:rsidR="00975689" w:rsidRPr="00C36C3B" w:rsidRDefault="00975689" w:rsidP="00975689">
      <w:pPr>
        <w:pStyle w:val="Corpo"/>
        <w:rPr>
          <w:szCs w:val="17"/>
          <w:lang w:val="en-US"/>
        </w:rPr>
      </w:pPr>
      <w:r w:rsidRPr="00C36C3B">
        <w:rPr>
          <w:szCs w:val="17"/>
          <w:lang w:val="en-US"/>
        </w:rPr>
        <w:t>To report a case of vitamin D deficiency rickets in a 2-year-old boy with cow's milk allergy.</w:t>
      </w:r>
    </w:p>
    <w:p w:rsidR="00975689" w:rsidRPr="00C36C3B" w:rsidRDefault="00975689" w:rsidP="00975689">
      <w:pPr>
        <w:pStyle w:val="Corpo"/>
        <w:rPr>
          <w:szCs w:val="17"/>
          <w:lang w:val="en-US"/>
        </w:rPr>
      </w:pPr>
      <w:r w:rsidRPr="00C36C3B">
        <w:rPr>
          <w:szCs w:val="17"/>
          <w:lang w:val="en-US"/>
        </w:rPr>
        <w:t>METHODS:</w:t>
      </w:r>
    </w:p>
    <w:p w:rsidR="00975689" w:rsidRPr="00C36C3B" w:rsidRDefault="00975689" w:rsidP="00975689">
      <w:pPr>
        <w:pStyle w:val="Corpo"/>
        <w:rPr>
          <w:szCs w:val="17"/>
          <w:lang w:val="en-US"/>
        </w:rPr>
      </w:pPr>
      <w:r w:rsidRPr="00C36C3B">
        <w:rPr>
          <w:szCs w:val="17"/>
          <w:lang w:val="en-US"/>
        </w:rPr>
        <w:t>We describe a patient with clinical and biochemical evidence of rickets, including decreased serum calcium, phosphate, and 25-hydroxy vitamin D levels and an elevated alkaline phosphatase level. A dietary history revealed the prolonged absence of dietary vitamin D because the child did not tolerate cow's milk. Skin prick testing and measurement of specific IgE to cow's milk were performed to determine whether there was an allergy to cow's milk.</w:t>
      </w:r>
    </w:p>
    <w:p w:rsidR="00975689" w:rsidRPr="00C36C3B" w:rsidRDefault="00975689" w:rsidP="00975689">
      <w:pPr>
        <w:pStyle w:val="Corpo"/>
        <w:rPr>
          <w:szCs w:val="17"/>
          <w:lang w:val="en-US"/>
        </w:rPr>
      </w:pPr>
      <w:r w:rsidRPr="00C36C3B">
        <w:rPr>
          <w:szCs w:val="17"/>
          <w:lang w:val="en-US"/>
        </w:rPr>
        <w:t>RESULTS:</w:t>
      </w:r>
    </w:p>
    <w:p w:rsidR="00975689" w:rsidRPr="00C36C3B" w:rsidRDefault="00975689" w:rsidP="00975689">
      <w:pPr>
        <w:pStyle w:val="Corpo"/>
        <w:rPr>
          <w:szCs w:val="17"/>
          <w:lang w:val="en-US"/>
        </w:rPr>
      </w:pPr>
      <w:r w:rsidRPr="00C36C3B">
        <w:rPr>
          <w:szCs w:val="17"/>
          <w:lang w:val="en-US"/>
        </w:rPr>
        <w:t>Results of skin prick testing and measurement of specific IgE to cow's milk confirmed an IgE-mediated sensitivity to cow's milk. Introduction of appropriate supplementation into the child's diet resulted in complete resolution of his symptoms.</w:t>
      </w:r>
    </w:p>
    <w:p w:rsidR="00975689" w:rsidRPr="00C36C3B" w:rsidRDefault="00975689" w:rsidP="00975689">
      <w:pPr>
        <w:pStyle w:val="Corpo"/>
        <w:rPr>
          <w:szCs w:val="17"/>
          <w:lang w:val="en-US"/>
        </w:rPr>
      </w:pPr>
      <w:r w:rsidRPr="00C36C3B">
        <w:rPr>
          <w:szCs w:val="17"/>
          <w:lang w:val="en-US"/>
        </w:rPr>
        <w:t>CONCLUSIONS:</w:t>
      </w:r>
    </w:p>
    <w:p w:rsidR="00975689" w:rsidRPr="00C36C3B" w:rsidRDefault="00975689" w:rsidP="00975689">
      <w:pPr>
        <w:pStyle w:val="Corpo"/>
        <w:rPr>
          <w:szCs w:val="17"/>
          <w:lang w:val="en-US"/>
        </w:rPr>
      </w:pPr>
      <w:r w:rsidRPr="00C36C3B">
        <w:rPr>
          <w:szCs w:val="17"/>
          <w:lang w:val="en-US"/>
        </w:rPr>
        <w:t>This case emphasizes that the management of cow's milk allergy involves strict avoidance of the allergenic food while also ensuring that essential dietary requirements are met. A dietary history is crucial at all pediatric visits, and inquiry about supplementation of vitamins and minerals is important, especially in children with food allergies.</w:t>
      </w:r>
    </w:p>
    <w:p w:rsidR="00975689" w:rsidRPr="00C36C3B" w:rsidRDefault="00975689" w:rsidP="00975689">
      <w:pPr>
        <w:pStyle w:val="Corpo"/>
        <w:rPr>
          <w:szCs w:val="17"/>
          <w:lang w:val="en-US"/>
        </w:rPr>
      </w:pPr>
      <w:r w:rsidRPr="00C36C3B">
        <w:rPr>
          <w:szCs w:val="17"/>
          <w:lang w:val="en-US"/>
        </w:rPr>
        <w:t>PMID: 16680934 [PubMed - indexed for MEDLINE]</w:t>
      </w:r>
    </w:p>
    <w:p w:rsidR="00975689" w:rsidRPr="00C36C3B" w:rsidRDefault="00975689" w:rsidP="00975689">
      <w:pPr>
        <w:pStyle w:val="Corpo"/>
        <w:rPr>
          <w:szCs w:val="17"/>
          <w:lang w:val="en-US"/>
        </w:rPr>
      </w:pPr>
    </w:p>
    <w:p w:rsidR="00975689" w:rsidRPr="00C36C3B" w:rsidRDefault="00975689" w:rsidP="00975689">
      <w:pPr>
        <w:pStyle w:val="Corpo"/>
        <w:rPr>
          <w:szCs w:val="17"/>
          <w:lang w:val="en-US"/>
        </w:rPr>
      </w:pPr>
      <w:r w:rsidRPr="00C36C3B">
        <w:rPr>
          <w:szCs w:val="17"/>
          <w:lang w:val="en-US"/>
        </w:rPr>
        <w:t>Pediatr Allergy Immunol. 2004 Dec;15(6):562-5.</w:t>
      </w:r>
    </w:p>
    <w:p w:rsidR="00975689" w:rsidRPr="00C36C3B" w:rsidRDefault="00975689" w:rsidP="00975689">
      <w:pPr>
        <w:pStyle w:val="Corpo"/>
        <w:rPr>
          <w:b/>
          <w:szCs w:val="17"/>
          <w:lang w:val="en-US"/>
        </w:rPr>
      </w:pPr>
      <w:r w:rsidRPr="00C36C3B">
        <w:rPr>
          <w:b/>
          <w:szCs w:val="17"/>
          <w:lang w:val="en-US"/>
        </w:rPr>
        <w:t>Bone mineral status in children with cow milk allergy.</w:t>
      </w:r>
    </w:p>
    <w:p w:rsidR="00975689" w:rsidRPr="00C36C3B" w:rsidRDefault="00975689" w:rsidP="00975689">
      <w:pPr>
        <w:pStyle w:val="Corpo"/>
        <w:rPr>
          <w:szCs w:val="17"/>
          <w:lang w:val="en-US"/>
        </w:rPr>
      </w:pPr>
      <w:r w:rsidRPr="00C36C3B">
        <w:rPr>
          <w:szCs w:val="17"/>
          <w:lang w:val="en-US"/>
        </w:rPr>
        <w:t>Jensen VB1, Jørgensen IM, Rasmussen KB, Mølgaard C, Prahl P.</w:t>
      </w:r>
    </w:p>
    <w:p w:rsidR="00975689" w:rsidRPr="00C36C3B" w:rsidRDefault="00975689" w:rsidP="00975689">
      <w:pPr>
        <w:pStyle w:val="Corpo"/>
        <w:rPr>
          <w:szCs w:val="17"/>
          <w:lang w:val="en-US"/>
        </w:rPr>
      </w:pPr>
      <w:r w:rsidRPr="00C36C3B">
        <w:rPr>
          <w:szCs w:val="17"/>
          <w:lang w:val="en-US"/>
        </w:rPr>
        <w:t>Author information</w:t>
      </w:r>
    </w:p>
    <w:p w:rsidR="00975689" w:rsidRPr="00C36C3B" w:rsidRDefault="00975689" w:rsidP="00975689">
      <w:pPr>
        <w:pStyle w:val="Corpo"/>
        <w:rPr>
          <w:szCs w:val="17"/>
          <w:lang w:val="en-US"/>
        </w:rPr>
      </w:pPr>
      <w:r w:rsidRPr="00C36C3B">
        <w:rPr>
          <w:szCs w:val="17"/>
          <w:lang w:val="en-US"/>
        </w:rPr>
        <w:t>Abstract</w:t>
      </w:r>
    </w:p>
    <w:p w:rsidR="00975689" w:rsidRPr="00C36C3B" w:rsidRDefault="00975689" w:rsidP="00975689">
      <w:pPr>
        <w:pStyle w:val="Corpo"/>
        <w:rPr>
          <w:szCs w:val="17"/>
          <w:lang w:val="en-US"/>
        </w:rPr>
      </w:pPr>
      <w:r w:rsidRPr="00C36C3B">
        <w:rPr>
          <w:szCs w:val="17"/>
          <w:lang w:val="en-US"/>
        </w:rPr>
        <w:t xml:space="preserve">To investigate bone mineral status in children with verified cow milk allergy for more than 4 yr compared with a large reference population of 343 local healthy controls. Whole body bone mineral content (BMC), projected bone area and bone mineral density (BMD) were determined by dual energy x-ray absorptiometry in nine children (8-17 yr old, one girl and eight boys). All children had cow milk allergy for more than 4 yr. All children had asthma and was treated with corticosteroids. BMC and BMD were reduced for age (p &lt; 0.01). Height for age was significantly reduced (p &lt; 0.01), indicating 'short' bones. BMC for bone area was borderline reduced (p = 0.05), indicating reduced bone mineralization. The growth of the children was reduced compared with there parents and siblings (p &lt; 0.01), and the bone age was retarded </w:t>
      </w:r>
      <w:r w:rsidRPr="00C36C3B">
        <w:rPr>
          <w:szCs w:val="17"/>
          <w:lang w:val="en-US"/>
        </w:rPr>
        <w:lastRenderedPageBreak/>
        <w:t>(mean 1.4 yr, p &lt; 0.01). Calcium consumption calculated from food intake was about 25% of the recommended. All laboratory tests were normal. Short bones were the main reason for reduced BMC and BMD for age in children with cow milk allergy, but a borderline low BMC for bone area indicated reduced bone mineralization of the bones. A supplementation of calcium to children with cow milk allergy is recommended.</w:t>
      </w:r>
    </w:p>
    <w:p w:rsidR="00975689" w:rsidRPr="00C36C3B" w:rsidRDefault="00975689" w:rsidP="00975689">
      <w:pPr>
        <w:pStyle w:val="Corpo"/>
        <w:rPr>
          <w:szCs w:val="17"/>
          <w:lang w:val="en-US"/>
        </w:rPr>
      </w:pPr>
      <w:r w:rsidRPr="00C36C3B">
        <w:rPr>
          <w:szCs w:val="17"/>
          <w:lang w:val="en-US"/>
        </w:rPr>
        <w:t>PMID: 15610372 [PubMed - indexed for MEDLINE]</w:t>
      </w:r>
    </w:p>
    <w:p w:rsidR="00975689" w:rsidRPr="00C36C3B" w:rsidRDefault="00975689" w:rsidP="00975689">
      <w:pPr>
        <w:pStyle w:val="Corpo"/>
        <w:rPr>
          <w:szCs w:val="17"/>
          <w:lang w:val="en-US"/>
        </w:rPr>
      </w:pPr>
    </w:p>
    <w:p w:rsidR="00975689" w:rsidRPr="00C36C3B" w:rsidRDefault="00975689" w:rsidP="00975689">
      <w:pPr>
        <w:pStyle w:val="Corpo"/>
        <w:rPr>
          <w:szCs w:val="17"/>
          <w:lang w:val="en-US"/>
        </w:rPr>
      </w:pPr>
      <w:r w:rsidRPr="00C36C3B">
        <w:rPr>
          <w:szCs w:val="17"/>
          <w:lang w:val="en-US"/>
        </w:rPr>
        <w:t>Arerugi. 2008 May;57(5):552-7.</w:t>
      </w:r>
    </w:p>
    <w:p w:rsidR="00975689" w:rsidRPr="00C36C3B" w:rsidRDefault="00975689" w:rsidP="00975689">
      <w:pPr>
        <w:pStyle w:val="Corpo"/>
        <w:rPr>
          <w:b/>
          <w:szCs w:val="17"/>
          <w:lang w:val="en-US"/>
        </w:rPr>
      </w:pPr>
      <w:r w:rsidRPr="00C36C3B">
        <w:rPr>
          <w:b/>
          <w:szCs w:val="17"/>
          <w:lang w:val="en-US"/>
        </w:rPr>
        <w:t>[Biotin deficiency in amino acid formula nutrition for an infant with milk protein allergy].</w:t>
      </w:r>
    </w:p>
    <w:p w:rsidR="00975689" w:rsidRPr="00C36C3B" w:rsidRDefault="00975689" w:rsidP="00975689">
      <w:pPr>
        <w:pStyle w:val="Corpo"/>
        <w:rPr>
          <w:szCs w:val="17"/>
          <w:lang w:val="en-US"/>
        </w:rPr>
      </w:pPr>
      <w:r w:rsidRPr="00C36C3B">
        <w:rPr>
          <w:szCs w:val="17"/>
          <w:lang w:val="en-US"/>
        </w:rPr>
        <w:t>[Article in Japanese]</w:t>
      </w:r>
    </w:p>
    <w:p w:rsidR="00975689" w:rsidRPr="00C36C3B" w:rsidRDefault="00975689" w:rsidP="00975689">
      <w:pPr>
        <w:pStyle w:val="Corpo"/>
        <w:rPr>
          <w:szCs w:val="17"/>
          <w:lang w:val="en-US"/>
        </w:rPr>
      </w:pPr>
      <w:r w:rsidRPr="00C36C3B">
        <w:rPr>
          <w:szCs w:val="17"/>
          <w:lang w:val="en-US"/>
        </w:rPr>
        <w:t>Mamada Y1, Murata T, Taniguchi A, Hasegawa Y, Suzuki T, Kohda K, Nasuno K, Watanabe T, Yamaguchi S, Ishiguro A.</w:t>
      </w:r>
    </w:p>
    <w:p w:rsidR="00975689" w:rsidRPr="00C36C3B" w:rsidRDefault="00975689" w:rsidP="00975689">
      <w:pPr>
        <w:pStyle w:val="Corpo"/>
        <w:rPr>
          <w:szCs w:val="17"/>
          <w:lang w:val="en-US"/>
        </w:rPr>
      </w:pPr>
      <w:r w:rsidRPr="00C36C3B">
        <w:rPr>
          <w:szCs w:val="17"/>
          <w:lang w:val="en-US"/>
        </w:rPr>
        <w:t>Author information</w:t>
      </w:r>
    </w:p>
    <w:p w:rsidR="00975689" w:rsidRPr="00C36C3B" w:rsidRDefault="00975689" w:rsidP="00975689">
      <w:pPr>
        <w:pStyle w:val="Corpo"/>
        <w:rPr>
          <w:szCs w:val="17"/>
          <w:lang w:val="en-US"/>
        </w:rPr>
      </w:pPr>
      <w:r w:rsidRPr="00C36C3B">
        <w:rPr>
          <w:szCs w:val="17"/>
          <w:lang w:val="en-US"/>
        </w:rPr>
        <w:t>Abstract</w:t>
      </w:r>
    </w:p>
    <w:p w:rsidR="00975689" w:rsidRPr="00C36C3B" w:rsidRDefault="00975689" w:rsidP="00975689">
      <w:pPr>
        <w:pStyle w:val="Corpo"/>
        <w:rPr>
          <w:szCs w:val="17"/>
          <w:lang w:val="en-US"/>
        </w:rPr>
      </w:pPr>
      <w:r w:rsidRPr="00C36C3B">
        <w:rPr>
          <w:szCs w:val="17"/>
          <w:lang w:val="en-US"/>
        </w:rPr>
        <w:t>We reported a 4-month-old girl with biotin deficiency caused by amino acid formula. Two weeks after birth, she was diagnosed as having a milk protein allergy. After switching to amino acid formula from usual formula, her symptoms and laboratory findings became normal. About three weeks after the beginning of amino acid formula, she developed intractable skin erosions around the eyes, mouth, neck, and anogenital area. By measuring concentrations of some trace elements, she was diagnosed as having a biotin deficit, because of the organic aciduria and undetectable serum biotin concentration. Her serum biotinidase level was normal. Upon administration of oral biotin supplementation, all her symptoms and laboratory findings were dramatically improved. Since amino acid formula contains very few biotin, we should pay attention to biotin deficiency when infants receiving amino acid formula.</w:t>
      </w:r>
    </w:p>
    <w:p w:rsidR="00975689" w:rsidRPr="00C36C3B" w:rsidRDefault="00975689" w:rsidP="00975689">
      <w:pPr>
        <w:pStyle w:val="Corpo"/>
        <w:rPr>
          <w:szCs w:val="17"/>
          <w:lang w:val="en-US"/>
        </w:rPr>
      </w:pPr>
      <w:r w:rsidRPr="00C36C3B">
        <w:rPr>
          <w:szCs w:val="17"/>
          <w:lang w:val="en-US"/>
        </w:rPr>
        <w:t>PMID: 18520177 [PubMed - indexed for MEDLINE]</w:t>
      </w:r>
    </w:p>
    <w:p w:rsidR="00975689" w:rsidRPr="00C36C3B" w:rsidRDefault="00975689" w:rsidP="00975689">
      <w:pPr>
        <w:pStyle w:val="Corpo"/>
        <w:rPr>
          <w:szCs w:val="17"/>
          <w:lang w:val="en-US"/>
        </w:rPr>
      </w:pPr>
    </w:p>
    <w:p w:rsidR="00975689" w:rsidRPr="00C36C3B" w:rsidRDefault="00975689" w:rsidP="00975689">
      <w:pPr>
        <w:pStyle w:val="Corpo"/>
        <w:rPr>
          <w:szCs w:val="17"/>
        </w:rPr>
      </w:pPr>
      <w:r w:rsidRPr="00C36C3B">
        <w:rPr>
          <w:szCs w:val="17"/>
        </w:rPr>
        <w:t>Pediatr Int. 2014 Apr;56(2):286-8. doi: 10.1111/ped.12319.</w:t>
      </w:r>
    </w:p>
    <w:p w:rsidR="00975689" w:rsidRPr="00C36C3B" w:rsidRDefault="00975689" w:rsidP="00975689">
      <w:pPr>
        <w:pStyle w:val="Corpo"/>
        <w:rPr>
          <w:b/>
          <w:szCs w:val="17"/>
          <w:lang w:val="en-US"/>
        </w:rPr>
      </w:pPr>
      <w:r w:rsidRPr="00C36C3B">
        <w:rPr>
          <w:b/>
          <w:szCs w:val="17"/>
          <w:lang w:val="en-US"/>
        </w:rPr>
        <w:t>Biotin and carnitine deficiency due to hypoallergenic formula nutrition in infants with milk allergy.</w:t>
      </w:r>
    </w:p>
    <w:p w:rsidR="00975689" w:rsidRPr="00C36C3B" w:rsidRDefault="00975689" w:rsidP="00975689">
      <w:pPr>
        <w:pStyle w:val="Corpo"/>
        <w:rPr>
          <w:szCs w:val="17"/>
          <w:lang w:val="en-US"/>
        </w:rPr>
      </w:pPr>
      <w:r w:rsidRPr="00C36C3B">
        <w:rPr>
          <w:szCs w:val="17"/>
          <w:lang w:val="en-US"/>
        </w:rPr>
        <w:t>Hayashi H1, Tokuriki S, Okuno T, Shigematsu Y, Yasushi A, Matsuyama G, Sawada K, Ohshima Y.</w:t>
      </w:r>
    </w:p>
    <w:p w:rsidR="00975689" w:rsidRPr="00C36C3B" w:rsidRDefault="00975689" w:rsidP="00975689">
      <w:pPr>
        <w:pStyle w:val="Corpo"/>
        <w:rPr>
          <w:szCs w:val="17"/>
          <w:lang w:val="en-US"/>
        </w:rPr>
      </w:pPr>
      <w:r w:rsidRPr="00C36C3B">
        <w:rPr>
          <w:szCs w:val="17"/>
          <w:lang w:val="en-US"/>
        </w:rPr>
        <w:t>Author information</w:t>
      </w:r>
    </w:p>
    <w:p w:rsidR="00975689" w:rsidRPr="00C36C3B" w:rsidRDefault="00975689" w:rsidP="00975689">
      <w:pPr>
        <w:pStyle w:val="Corpo"/>
        <w:rPr>
          <w:szCs w:val="17"/>
          <w:lang w:val="en-US"/>
        </w:rPr>
      </w:pPr>
      <w:r w:rsidRPr="00C36C3B">
        <w:rPr>
          <w:szCs w:val="17"/>
          <w:lang w:val="en-US"/>
        </w:rPr>
        <w:t>Abstract</w:t>
      </w:r>
    </w:p>
    <w:p w:rsidR="00975689" w:rsidRPr="00C36C3B" w:rsidRDefault="00975689" w:rsidP="00975689">
      <w:pPr>
        <w:pStyle w:val="Corpo"/>
        <w:rPr>
          <w:szCs w:val="17"/>
          <w:lang w:val="en-US"/>
        </w:rPr>
      </w:pPr>
      <w:r w:rsidRPr="00C36C3B">
        <w:rPr>
          <w:szCs w:val="17"/>
          <w:lang w:val="en-US"/>
        </w:rPr>
        <w:t>Amino acid formulas and hydrolyzed formulas given to infants in Japan with milk allergies theoretically contain little, if any, biotin and carnitine. We assessed biotin and carnitine insufficiency in six infants with milk allergy who were fed amino acid formulas and/or hydrolyzed formulas, by measuring urine 3-hydroxyisovaleric acid (3-HIA) and serum free carnitine (C0), respectively. All patients presented with elevated urine 3-HIA and lowered serum C0 compared with post-menstrual age-matched infants who were fed breast milk or standard infant formulas. Supplementation with biotin and L-carnitine immediately improved the insufficiency. Care should be taken to avoid biotin and carnitine deficiency in allergic infants fed amino acid or hydrolyzed formulas.</w:t>
      </w:r>
    </w:p>
    <w:p w:rsidR="00975689" w:rsidRPr="00C36C3B" w:rsidRDefault="00975689" w:rsidP="00975689">
      <w:pPr>
        <w:pStyle w:val="Corpo"/>
        <w:rPr>
          <w:szCs w:val="17"/>
          <w:lang w:val="en-US"/>
        </w:rPr>
      </w:pPr>
      <w:r w:rsidRPr="00C36C3B">
        <w:rPr>
          <w:szCs w:val="17"/>
          <w:lang w:val="en-US"/>
        </w:rPr>
        <w:lastRenderedPageBreak/>
        <w:t>© 2014 Japan Pediatric Society.</w:t>
      </w:r>
    </w:p>
    <w:p w:rsidR="00975689" w:rsidRPr="00C36C3B" w:rsidRDefault="00975689" w:rsidP="00975689">
      <w:pPr>
        <w:pStyle w:val="Corpo"/>
        <w:rPr>
          <w:szCs w:val="17"/>
          <w:lang w:val="en-US"/>
        </w:rPr>
      </w:pPr>
      <w:r w:rsidRPr="00C36C3B">
        <w:rPr>
          <w:szCs w:val="17"/>
          <w:lang w:val="en-US"/>
        </w:rPr>
        <w:t>KEYWORDS:</w:t>
      </w:r>
    </w:p>
    <w:p w:rsidR="00975689" w:rsidRPr="00C36C3B" w:rsidRDefault="00975689" w:rsidP="00975689">
      <w:pPr>
        <w:pStyle w:val="Corpo"/>
        <w:rPr>
          <w:szCs w:val="17"/>
          <w:lang w:val="en-US"/>
        </w:rPr>
      </w:pPr>
      <w:r w:rsidRPr="00C36C3B">
        <w:rPr>
          <w:szCs w:val="17"/>
          <w:lang w:val="en-US"/>
        </w:rPr>
        <w:t>amino acid formula; biotin deficiency; carnitine deficiency; hydrolyzed formula; milk allergy</w:t>
      </w:r>
    </w:p>
    <w:p w:rsidR="00975689" w:rsidRPr="00C36C3B" w:rsidRDefault="00975689" w:rsidP="00975689">
      <w:pPr>
        <w:pStyle w:val="Corpo"/>
        <w:rPr>
          <w:szCs w:val="17"/>
          <w:lang w:val="en-US"/>
        </w:rPr>
      </w:pPr>
      <w:r w:rsidRPr="00C36C3B">
        <w:rPr>
          <w:szCs w:val="17"/>
          <w:lang w:val="en-US"/>
        </w:rPr>
        <w:t>PMID: 24730636 [PubMed - in process]</w:t>
      </w:r>
    </w:p>
    <w:p w:rsidR="00975689" w:rsidRPr="00C36C3B" w:rsidRDefault="00975689" w:rsidP="00975689">
      <w:pPr>
        <w:pStyle w:val="Corpo"/>
        <w:rPr>
          <w:szCs w:val="17"/>
          <w:lang w:val="en-US"/>
        </w:rPr>
      </w:pPr>
    </w:p>
    <w:p w:rsidR="00975689" w:rsidRPr="00C36C3B" w:rsidRDefault="00975689" w:rsidP="00975689">
      <w:pPr>
        <w:pStyle w:val="Corpo"/>
        <w:rPr>
          <w:szCs w:val="17"/>
          <w:lang w:val="en-US"/>
        </w:rPr>
      </w:pPr>
      <w:r w:rsidRPr="00C36C3B">
        <w:rPr>
          <w:szCs w:val="17"/>
          <w:lang w:val="en-US"/>
        </w:rPr>
        <w:t>JIMD Rep. 2014 May 6. [Epub ahead of print]</w:t>
      </w:r>
    </w:p>
    <w:p w:rsidR="00975689" w:rsidRPr="00C36C3B" w:rsidRDefault="00975689" w:rsidP="00975689">
      <w:pPr>
        <w:pStyle w:val="Corpo"/>
        <w:rPr>
          <w:b/>
          <w:szCs w:val="17"/>
          <w:lang w:val="en-US"/>
        </w:rPr>
      </w:pPr>
      <w:r w:rsidRPr="00C36C3B">
        <w:rPr>
          <w:b/>
          <w:szCs w:val="17"/>
          <w:lang w:val="en-US"/>
        </w:rPr>
        <w:t>Carnitine Profile and Effect of Suppletion in Children with Renal Fanconi Syndrome due to Cystinosis.</w:t>
      </w:r>
    </w:p>
    <w:p w:rsidR="00975689" w:rsidRPr="00C36C3B" w:rsidRDefault="00975689" w:rsidP="00975689">
      <w:pPr>
        <w:pStyle w:val="Corpo"/>
        <w:rPr>
          <w:szCs w:val="17"/>
          <w:lang w:val="en-US"/>
        </w:rPr>
      </w:pPr>
      <w:r w:rsidRPr="00C36C3B">
        <w:rPr>
          <w:szCs w:val="17"/>
          <w:lang w:val="en-US"/>
        </w:rPr>
        <w:t>Besouw M1, Cornelissen E, Cassiman D, Kluijtmans L, van den Heuvel L, Levtchenko E.</w:t>
      </w:r>
    </w:p>
    <w:p w:rsidR="00975689" w:rsidRPr="00C36C3B" w:rsidRDefault="00975689" w:rsidP="00975689">
      <w:pPr>
        <w:pStyle w:val="Corpo"/>
        <w:rPr>
          <w:szCs w:val="17"/>
          <w:lang w:val="en-US"/>
        </w:rPr>
      </w:pPr>
      <w:r w:rsidRPr="00C36C3B">
        <w:rPr>
          <w:szCs w:val="17"/>
          <w:lang w:val="en-US"/>
        </w:rPr>
        <w:t>Author information</w:t>
      </w:r>
    </w:p>
    <w:p w:rsidR="00975689" w:rsidRPr="00C36C3B" w:rsidRDefault="00975689" w:rsidP="00975689">
      <w:pPr>
        <w:pStyle w:val="Corpo"/>
        <w:rPr>
          <w:szCs w:val="17"/>
          <w:lang w:val="en-US"/>
        </w:rPr>
      </w:pPr>
      <w:r w:rsidRPr="00C36C3B">
        <w:rPr>
          <w:szCs w:val="17"/>
          <w:lang w:val="en-US"/>
        </w:rPr>
        <w:t>Abstract</w:t>
      </w:r>
    </w:p>
    <w:p w:rsidR="00975689" w:rsidRPr="00C36C3B" w:rsidRDefault="00975689" w:rsidP="00975689">
      <w:pPr>
        <w:pStyle w:val="Corpo"/>
        <w:rPr>
          <w:szCs w:val="17"/>
          <w:lang w:val="en-US"/>
        </w:rPr>
      </w:pPr>
      <w:r w:rsidRPr="00C36C3B">
        <w:rPr>
          <w:szCs w:val="17"/>
          <w:lang w:val="en-US"/>
        </w:rPr>
        <w:t>Background: Cystinosis is an autosomal recessive disorder marked by intralysosomal cystine accumulation. Patients present with generalized proximal tubular dysfunction called renal Fanconi syndrome. Urinary carnitine loss results in plasma and muscle carnitine deficiency, but no clinical signs of carnitine deficiency have been described. Also, the optimal dose of carnitine supplementation is undefined. This study aimed to determine whether currently recommended carnitine doses result in adequate correction of plasma carnitine. Methods: Five cystinosis patients with renal Fanconi syndrome, aged 2-18 years, were included. L-carnitine was prescribed 50 mg/kg/day since diagnosis: median 36 (range 18-207)</w:t>
      </w:r>
      <w:r w:rsidRPr="00C36C3B">
        <w:rPr>
          <w:rFonts w:ascii="Cambria Math" w:hAnsi="Cambria Math" w:cs="Cambria Math"/>
          <w:szCs w:val="17"/>
          <w:lang w:val="en-US"/>
        </w:rPr>
        <w:t> </w:t>
      </w:r>
      <w:r w:rsidRPr="00C36C3B">
        <w:rPr>
          <w:rFonts w:ascii="Arial" w:hAnsi="Arial" w:cs="Arial"/>
          <w:szCs w:val="17"/>
          <w:lang w:val="en-US"/>
        </w:rPr>
        <w:t>months. Total and free plasma and urine carnitine and ca</w:t>
      </w:r>
      <w:r w:rsidRPr="00C36C3B">
        <w:rPr>
          <w:szCs w:val="17"/>
          <w:lang w:val="en-US"/>
        </w:rPr>
        <w:t>rnitine profiles were measured at study onset, after stopping L-carnitine for 3 months and 3 months after reintroducing L-carnitine 50 mg/kg/day. Results: At study onset, plasma free carnitine was normal in all patients, total carnitine (1/5), acetylcarnitine (3/5), and several short- and medium-chain acylcarnitines ≤10 carbons (5/5) were increased indicating carnitine over-supplementation. Three months after cessation, carnitine profiles normalized and 3/5 patients showed plasma carnitine deficiency. Three months after reintroduction, plasma free carnitine normalized in all patients, however, carnitine profiles were disturbed in 4/5 patients. Urine free carnitine, acetylcarnitine, and acylcarnitines ≤10 carbons were increased in all patients independent of carnitine supplementation. Conclusion: Administration of recommended doses L-carnitine (50 mg/kg/day) resulted in over-supplementation. Although the drug is considered to be rather safe, long-term effects of over-supplementation remain unknown warranting cautious use of high doses. Plasma carnitine profile might be used as a monitor, to prevent overdosing.</w:t>
      </w:r>
    </w:p>
    <w:p w:rsidR="00975689" w:rsidRDefault="00975689" w:rsidP="00975689">
      <w:pPr>
        <w:pStyle w:val="Corpo"/>
        <w:rPr>
          <w:szCs w:val="17"/>
          <w:lang w:val="en-US"/>
        </w:rPr>
      </w:pPr>
      <w:r w:rsidRPr="00C36C3B">
        <w:rPr>
          <w:szCs w:val="17"/>
          <w:lang w:val="en-US"/>
        </w:rPr>
        <w:t>PMID: 24798266 [PubMed - as supplied by publisher]</w:t>
      </w:r>
    </w:p>
    <w:p w:rsidR="00975689" w:rsidRDefault="00975689" w:rsidP="00975689">
      <w:pPr>
        <w:pStyle w:val="Corpo"/>
        <w:rPr>
          <w:szCs w:val="17"/>
          <w:lang w:val="en-US"/>
        </w:rPr>
      </w:pPr>
    </w:p>
    <w:p w:rsidR="00975689" w:rsidRPr="00297071" w:rsidRDefault="00975689" w:rsidP="00975689">
      <w:pPr>
        <w:pStyle w:val="Corpo"/>
        <w:rPr>
          <w:szCs w:val="17"/>
          <w:lang w:val="en-US"/>
        </w:rPr>
      </w:pPr>
      <w:r w:rsidRPr="00297071">
        <w:rPr>
          <w:szCs w:val="17"/>
          <w:lang w:val="en-US"/>
        </w:rPr>
        <w:t>Allergy. 2014 Jul 10. doi: 10.1111/all.12483. [Epub ahead of print]</w:t>
      </w:r>
    </w:p>
    <w:p w:rsidR="00975689" w:rsidRPr="00297071" w:rsidRDefault="00975689" w:rsidP="00975689">
      <w:pPr>
        <w:pStyle w:val="Corpo"/>
        <w:rPr>
          <w:b/>
          <w:szCs w:val="17"/>
          <w:lang w:val="en-US"/>
        </w:rPr>
      </w:pPr>
      <w:r w:rsidRPr="00297071">
        <w:rPr>
          <w:b/>
          <w:szCs w:val="17"/>
          <w:lang w:val="en-US"/>
        </w:rPr>
        <w:t>Tolerance to egg proteins in egg-sensitized infants without previous consumption.</w:t>
      </w:r>
    </w:p>
    <w:p w:rsidR="00975689" w:rsidRPr="00297071" w:rsidRDefault="00975689" w:rsidP="00975689">
      <w:pPr>
        <w:pStyle w:val="Corpo"/>
        <w:rPr>
          <w:szCs w:val="17"/>
        </w:rPr>
      </w:pPr>
      <w:r w:rsidRPr="00297071">
        <w:rPr>
          <w:szCs w:val="17"/>
        </w:rPr>
        <w:t>Alvaro M1, García-Paba MB, Giner MT, Piquer M, Domínguez O, Lozano J, Jiménez R, Machinena A, Martín-Mateos MA, Plaza AM.</w:t>
      </w:r>
    </w:p>
    <w:p w:rsidR="00975689" w:rsidRPr="004517FE" w:rsidRDefault="00975689" w:rsidP="00975689">
      <w:pPr>
        <w:pStyle w:val="Corpo"/>
        <w:rPr>
          <w:szCs w:val="17"/>
        </w:rPr>
      </w:pPr>
    </w:p>
    <w:p w:rsidR="00975689" w:rsidRPr="00297071" w:rsidRDefault="00975689" w:rsidP="00975689">
      <w:pPr>
        <w:pStyle w:val="Corpo"/>
        <w:rPr>
          <w:szCs w:val="17"/>
          <w:lang w:val="en-US"/>
        </w:rPr>
      </w:pPr>
      <w:r w:rsidRPr="00297071">
        <w:rPr>
          <w:szCs w:val="17"/>
          <w:lang w:val="en-US"/>
        </w:rPr>
        <w:lastRenderedPageBreak/>
        <w:t>BACKGROUND:</w:t>
      </w:r>
      <w:r>
        <w:rPr>
          <w:szCs w:val="17"/>
          <w:lang w:val="en-US"/>
        </w:rPr>
        <w:t xml:space="preserve"> </w:t>
      </w:r>
      <w:r w:rsidRPr="00297071">
        <w:rPr>
          <w:szCs w:val="17"/>
          <w:lang w:val="en-US"/>
        </w:rPr>
        <w:t>Egg-sensitized infants who have never eaten egg may react at first ingestion. We sought to determine the association between skin prick test (SPT) and specific IgE (sIgE) to egg proteins (EP) and oral food challenge (OFC) outcomes to find cut-off points which can diagnose egg allergy.</w:t>
      </w:r>
      <w:r>
        <w:rPr>
          <w:szCs w:val="17"/>
          <w:lang w:val="en-US"/>
        </w:rPr>
        <w:t xml:space="preserve"> </w:t>
      </w:r>
      <w:r w:rsidRPr="00297071">
        <w:rPr>
          <w:szCs w:val="17"/>
          <w:lang w:val="en-US"/>
        </w:rPr>
        <w:t>METHODS:</w:t>
      </w:r>
      <w:r>
        <w:rPr>
          <w:szCs w:val="17"/>
          <w:lang w:val="en-US"/>
        </w:rPr>
        <w:t xml:space="preserve"> </w:t>
      </w:r>
      <w:r w:rsidRPr="00297071">
        <w:rPr>
          <w:szCs w:val="17"/>
          <w:lang w:val="en-US"/>
        </w:rPr>
        <w:t>One hundred and fifty-four infants up to 18 months, with cow's milk allergy (CMA) and/or atopic dermatitis (AD) without previous egg consumption, were recruited. SPT to EP were performed. If it was positive, sIgE was performed. If positive SPT and/or sIgE (n = 94), OFC was performed between 12 and 18 months. Receiver operating characteristic (ROC) curves were plotted, and the outcome of the OFC was related to SPT and sIgE. The cut-off points with the best diagnostic accuracy were found.</w:t>
      </w:r>
      <w:r>
        <w:rPr>
          <w:szCs w:val="17"/>
          <w:lang w:val="en-US"/>
        </w:rPr>
        <w:t xml:space="preserve"> </w:t>
      </w:r>
      <w:r w:rsidRPr="00297071">
        <w:rPr>
          <w:szCs w:val="17"/>
          <w:lang w:val="en-US"/>
        </w:rPr>
        <w:t>RESULTS:</w:t>
      </w:r>
      <w:r>
        <w:rPr>
          <w:szCs w:val="17"/>
          <w:lang w:val="en-US"/>
        </w:rPr>
        <w:t xml:space="preserve"> </w:t>
      </w:r>
      <w:r w:rsidRPr="00297071">
        <w:rPr>
          <w:szCs w:val="17"/>
          <w:lang w:val="en-US"/>
        </w:rPr>
        <w:t>Ninety-four patients were sensitized to egg (69%) and 60 nonsensitized (31%). Of the sensitized, 27 tolerated cooked (CE) and raw egg (RE) (28.7%). Sixty-seven were allergic (71.3%): 29 reacted to CE, seven to egg yolk (EY) and 22 to egg white (EW) and 38 reacted to RE. 69.2% tolerated CE. EW SPT and ovalbumin (OVA) sIgE have the best area under the curve (AUC). The higher positive predictive values (PPV) were obtained for EW SPT and EW sIgE.</w:t>
      </w:r>
      <w:r>
        <w:rPr>
          <w:szCs w:val="17"/>
          <w:lang w:val="en-US"/>
        </w:rPr>
        <w:t xml:space="preserve"> </w:t>
      </w:r>
      <w:r w:rsidRPr="00297071">
        <w:rPr>
          <w:szCs w:val="17"/>
          <w:lang w:val="en-US"/>
        </w:rPr>
        <w:t>CONCLUSIONS:</w:t>
      </w:r>
      <w:r>
        <w:rPr>
          <w:szCs w:val="17"/>
          <w:lang w:val="en-US"/>
        </w:rPr>
        <w:t xml:space="preserve"> </w:t>
      </w:r>
      <w:r w:rsidRPr="00297071">
        <w:rPr>
          <w:szCs w:val="17"/>
          <w:lang w:val="en-US"/>
        </w:rPr>
        <w:t>In egg-sensitized infants with EW SPT ≥8 mm and/or EW sIgE ≥8.36 KU/l, egg diagnostic OFC can be avoided as there is 94% probability of becoming positive. In the other patients, OFC should be performed safely and early to avoid unnecessary diets.</w:t>
      </w:r>
    </w:p>
    <w:p w:rsidR="00975689" w:rsidRDefault="00975689" w:rsidP="00975689">
      <w:pPr>
        <w:pStyle w:val="Corpo"/>
        <w:rPr>
          <w:szCs w:val="17"/>
          <w:lang w:val="en-US"/>
        </w:rPr>
      </w:pPr>
    </w:p>
    <w:p w:rsidR="00975689" w:rsidRDefault="00975689" w:rsidP="00975689">
      <w:pPr>
        <w:pStyle w:val="Corpo"/>
        <w:rPr>
          <w:szCs w:val="17"/>
          <w:lang w:val="en-US"/>
        </w:rPr>
      </w:pPr>
      <w:r w:rsidRPr="00297071">
        <w:rPr>
          <w:szCs w:val="17"/>
          <w:lang w:val="en-US"/>
        </w:rPr>
        <w:t>PMID: 25040899 [PubMed - as supplied by publisher]</w:t>
      </w:r>
    </w:p>
    <w:p w:rsidR="00975689" w:rsidRPr="000B0E15" w:rsidRDefault="00975689" w:rsidP="00975689">
      <w:pPr>
        <w:pStyle w:val="Corpo"/>
        <w:rPr>
          <w:szCs w:val="17"/>
          <w:lang w:val="en-US"/>
        </w:rPr>
      </w:pPr>
    </w:p>
    <w:p w:rsidR="00975689" w:rsidRPr="000B0E15" w:rsidRDefault="00975689" w:rsidP="00975689">
      <w:pPr>
        <w:pStyle w:val="Corpo"/>
        <w:rPr>
          <w:lang w:val="en-US"/>
        </w:rPr>
      </w:pPr>
      <w:r w:rsidRPr="000B0E15">
        <w:rPr>
          <w:lang w:val="en-US"/>
        </w:rPr>
        <w:t>Allergy. 2014 Jul 10. doi: 10.1111/all.12483. [Epub ahead of print]</w:t>
      </w:r>
    </w:p>
    <w:p w:rsidR="00975689" w:rsidRPr="000B0E15" w:rsidRDefault="00975689" w:rsidP="00975689">
      <w:pPr>
        <w:pStyle w:val="Corpo"/>
        <w:rPr>
          <w:b/>
          <w:lang w:val="en-US"/>
        </w:rPr>
      </w:pPr>
      <w:r w:rsidRPr="000B0E15">
        <w:rPr>
          <w:b/>
          <w:lang w:val="en-US"/>
        </w:rPr>
        <w:t>Tolerance to egg proteins in egg-sensitized infants without previous consumption.</w:t>
      </w:r>
    </w:p>
    <w:p w:rsidR="00975689" w:rsidRPr="000B0E15" w:rsidRDefault="00975689" w:rsidP="00975689">
      <w:pPr>
        <w:pStyle w:val="Corpo"/>
      </w:pPr>
      <w:r w:rsidRPr="000B0E15">
        <w:t>Alvaro M1, García-Paba MB, Giner MT, Piquer M, Domínguez O, Lozano J, Jiménez R, Machinena A, Martín-Mateos MA, Plaza AM.</w:t>
      </w:r>
    </w:p>
    <w:p w:rsidR="00975689" w:rsidRPr="000B0E15" w:rsidRDefault="00975689" w:rsidP="00975689">
      <w:pPr>
        <w:pStyle w:val="Corpo"/>
        <w:rPr>
          <w:lang w:val="en-US"/>
        </w:rPr>
      </w:pPr>
      <w:r w:rsidRPr="000B0E15">
        <w:rPr>
          <w:lang w:val="en-US"/>
        </w:rPr>
        <w:t>BACKGROUND:</w:t>
      </w:r>
      <w:r>
        <w:rPr>
          <w:lang w:val="en-US"/>
        </w:rPr>
        <w:t xml:space="preserve"> </w:t>
      </w:r>
      <w:r w:rsidRPr="000B0E15">
        <w:rPr>
          <w:lang w:val="en-US"/>
        </w:rPr>
        <w:t>Egg-sensitized infants who have never eaten egg may react at first ingestion. We sought to determine the association between skin prick test (SPT) and specific IgE (sIgE) to egg proteins (EP) and oral food challenge (OFC) outcomes to find cut-off points which can diagnose egg allergy.</w:t>
      </w:r>
      <w:r>
        <w:rPr>
          <w:lang w:val="en-US"/>
        </w:rPr>
        <w:t xml:space="preserve"> </w:t>
      </w:r>
      <w:r w:rsidRPr="000B0E15">
        <w:rPr>
          <w:lang w:val="en-US"/>
        </w:rPr>
        <w:t>METHODS:</w:t>
      </w:r>
      <w:r>
        <w:rPr>
          <w:lang w:val="en-US"/>
        </w:rPr>
        <w:t xml:space="preserve"> </w:t>
      </w:r>
      <w:r w:rsidRPr="000B0E15">
        <w:rPr>
          <w:lang w:val="en-US"/>
        </w:rPr>
        <w:t>One hundred and fifty-four infants up to 18 months, with cow's milk allergy (CMA) and/or atopic dermatitis (AD) without previous egg consumption, were recruited. SPT to EP were performed. If it was positive, sIgE was performed. If positive SPT and/or sIgE (n = 94), OFC was performed between 12 and 18 months. Receiver operating characteristic (ROC) curves were plotted, and the outcome of the OFC was related to SPT and sIgE. The cut-off points with the best diagnostic accuracy were found.</w:t>
      </w:r>
      <w:r>
        <w:rPr>
          <w:lang w:val="en-US"/>
        </w:rPr>
        <w:t xml:space="preserve"> </w:t>
      </w:r>
      <w:r w:rsidRPr="000B0E15">
        <w:rPr>
          <w:lang w:val="en-US"/>
        </w:rPr>
        <w:t>RESULTS:</w:t>
      </w:r>
      <w:r>
        <w:rPr>
          <w:lang w:val="en-US"/>
        </w:rPr>
        <w:t xml:space="preserve"> </w:t>
      </w:r>
      <w:r w:rsidRPr="000B0E15">
        <w:rPr>
          <w:lang w:val="en-US"/>
        </w:rPr>
        <w:t>Ninety-four patients were sensitized to egg (69%) and 60 nonsensitized (31%). Of the sensitized, 27 tolerated cooked (CE) and raw egg (RE) (28.7%). Sixty-seven were allergic (71.3%): 29 reacted to CE, seven to egg yolk (EY) and 22 to egg white (EW) and 38 reacted to RE. 69.2% tolerated CE. EW SPT and ovalbumin (OVA) sIgE have the best area under the curve (AUC). The higher positive predictive values (PPV) were obtained for EW SPT and EW sIgE.</w:t>
      </w:r>
      <w:r>
        <w:rPr>
          <w:lang w:val="en-US"/>
        </w:rPr>
        <w:t xml:space="preserve"> </w:t>
      </w:r>
      <w:r w:rsidRPr="000B0E15">
        <w:rPr>
          <w:lang w:val="en-US"/>
        </w:rPr>
        <w:t>CONCLUSIONS:</w:t>
      </w:r>
      <w:r>
        <w:rPr>
          <w:lang w:val="en-US"/>
        </w:rPr>
        <w:t xml:space="preserve"> </w:t>
      </w:r>
      <w:r w:rsidRPr="000B0E15">
        <w:rPr>
          <w:lang w:val="en-US"/>
        </w:rPr>
        <w:t xml:space="preserve">In egg-sensitized infants with EW SPT ≥8 mm and/or EW sIgE ≥8.36 KU/l, egg diagnostic OFC can be avoided as there is 94% probability of becoming </w:t>
      </w:r>
      <w:r w:rsidRPr="000B0E15">
        <w:rPr>
          <w:lang w:val="en-US"/>
        </w:rPr>
        <w:lastRenderedPageBreak/>
        <w:t>positive. In the other patients, OFC should be performed safely and early to avoid unnecessary diets.</w:t>
      </w:r>
    </w:p>
    <w:p w:rsidR="00975689" w:rsidRPr="000B0E15" w:rsidRDefault="00975689" w:rsidP="00975689">
      <w:pPr>
        <w:pStyle w:val="Corpo"/>
        <w:rPr>
          <w:lang w:val="en-US"/>
        </w:rPr>
      </w:pPr>
      <w:r w:rsidRPr="000B0E15">
        <w:rPr>
          <w:lang w:val="en-US"/>
        </w:rPr>
        <w:t>PMID: 25040899 [PubMed - as supplied by publisher]</w:t>
      </w:r>
    </w:p>
    <w:p w:rsidR="00975689" w:rsidRDefault="00975689" w:rsidP="00975689">
      <w:pPr>
        <w:pStyle w:val="Corpo"/>
        <w:rPr>
          <w:lang w:val="en-US"/>
        </w:rPr>
      </w:pPr>
    </w:p>
    <w:p w:rsidR="00975689" w:rsidRPr="000B0E15" w:rsidRDefault="00975689" w:rsidP="00975689">
      <w:pPr>
        <w:pStyle w:val="Corpo"/>
        <w:rPr>
          <w:lang w:val="en-US"/>
        </w:rPr>
      </w:pPr>
      <w:r w:rsidRPr="000B0E15">
        <w:rPr>
          <w:lang w:val="en-US"/>
        </w:rPr>
        <w:t>Pediatr Allergy Immunol Pulmonol. 2014 Jun 1;27(2):42-50.</w:t>
      </w:r>
    </w:p>
    <w:p w:rsidR="00975689" w:rsidRPr="000B0E15" w:rsidRDefault="00975689" w:rsidP="00975689">
      <w:pPr>
        <w:pStyle w:val="Corpo"/>
        <w:rPr>
          <w:b/>
          <w:lang w:val="en-US"/>
        </w:rPr>
      </w:pPr>
      <w:r w:rsidRPr="000B0E15">
        <w:rPr>
          <w:b/>
          <w:lang w:val="en-US"/>
        </w:rPr>
        <w:t>Oral Immunotherapy for Treatment of Immunoglobulin E-Mediated Food Allergy: The Transition to Clinical Practice.</w:t>
      </w:r>
    </w:p>
    <w:p w:rsidR="00975689" w:rsidRPr="000B0E15" w:rsidRDefault="00975689" w:rsidP="00975689">
      <w:pPr>
        <w:pStyle w:val="Corpo"/>
      </w:pPr>
      <w:r w:rsidRPr="000B0E15">
        <w:t>Pajno GB1, Cox L2, Caminiti L1, Ramistella V1, Crisafulli G1.</w:t>
      </w:r>
    </w:p>
    <w:p w:rsidR="00975689" w:rsidRPr="00F112BD" w:rsidRDefault="00975689" w:rsidP="00975689">
      <w:pPr>
        <w:pStyle w:val="Corpo"/>
      </w:pPr>
    </w:p>
    <w:p w:rsidR="00975689" w:rsidRDefault="00975689" w:rsidP="00975689">
      <w:pPr>
        <w:pStyle w:val="Corpo"/>
        <w:rPr>
          <w:lang w:val="en-US"/>
        </w:rPr>
      </w:pPr>
      <w:r w:rsidRPr="000B0E15">
        <w:rPr>
          <w:lang w:val="en-US"/>
        </w:rPr>
        <w:t>Today, there is neither an effective nor an active treatment for food allergy. Allergy immunotherapy has been proposed as an attractive strategy to actively treat food allergy. Oral immunotherapy (OIT), also known as oral desensitization, is a method of inducing the body's immune system to tolerate a food that causes an allergic overreaction. It has been studied for the use in treatment of immunoglobulin E-mediated food allergy to the most common foods, including milk, egg, and peanut. OIT has been able to desensitize subjects to varying degrees. However, many questions remain unanswered, including efficient formulation, optimal dosing, and induction protocol to achieve full tolerance, transition of OIT to clinical practice, and maximal safety profile. This review focuses on the use of OIT as a new and active treatment for food allergy. The possibility of transition of OIT to clinical practice represents, in this field, the next pivotal step with the goal of improving the quality of life of patients with food allergy and their families.</w:t>
      </w:r>
    </w:p>
    <w:p w:rsidR="00975689" w:rsidRPr="000B0E15" w:rsidRDefault="00975689" w:rsidP="00975689">
      <w:pPr>
        <w:pStyle w:val="Corpo"/>
        <w:rPr>
          <w:lang w:val="en-US"/>
        </w:rPr>
      </w:pPr>
    </w:p>
    <w:p w:rsidR="00975689" w:rsidRDefault="00975689" w:rsidP="00975689">
      <w:pPr>
        <w:pStyle w:val="Corpo"/>
        <w:rPr>
          <w:lang w:val="en-US"/>
        </w:rPr>
      </w:pPr>
      <w:r w:rsidRPr="000B0E15">
        <w:rPr>
          <w:lang w:val="en-US"/>
        </w:rPr>
        <w:t>PMID: 24963452 [PubMed]</w:t>
      </w:r>
    </w:p>
    <w:p w:rsidR="00975689" w:rsidRDefault="00975689" w:rsidP="00975689">
      <w:pPr>
        <w:pStyle w:val="Corpo"/>
        <w:rPr>
          <w:lang w:val="en-US"/>
        </w:rPr>
      </w:pPr>
    </w:p>
    <w:p w:rsidR="00975689" w:rsidRPr="0059081B" w:rsidRDefault="00975689" w:rsidP="00975689">
      <w:pPr>
        <w:pStyle w:val="Corpo"/>
        <w:rPr>
          <w:lang w:val="en-US"/>
        </w:rPr>
      </w:pPr>
      <w:r w:rsidRPr="0059081B">
        <w:rPr>
          <w:lang w:val="en-US"/>
        </w:rPr>
        <w:t>Phytother Res. 2012 Jan 6. doi: 10.1002/ptr.3712. [Epub ahead of print]</w:t>
      </w:r>
    </w:p>
    <w:p w:rsidR="00975689" w:rsidRPr="0059081B" w:rsidRDefault="00975689" w:rsidP="00975689">
      <w:pPr>
        <w:pStyle w:val="Corpo"/>
        <w:rPr>
          <w:b/>
          <w:lang w:val="en-US"/>
        </w:rPr>
      </w:pPr>
      <w:r w:rsidRPr="0059081B">
        <w:rPr>
          <w:b/>
          <w:lang w:val="en-US"/>
        </w:rPr>
        <w:t>Therapeutic Effects and Safety of Rhodiola rosea Extract WS® 1375 in Subjects with Life-stress Symptoms - Results of an Open-label Study.</w:t>
      </w:r>
    </w:p>
    <w:p w:rsidR="00975689" w:rsidRPr="0059081B" w:rsidRDefault="00975689" w:rsidP="00975689">
      <w:pPr>
        <w:pStyle w:val="Corpo"/>
        <w:rPr>
          <w:lang w:val="en-US"/>
        </w:rPr>
      </w:pPr>
      <w:r w:rsidRPr="0059081B">
        <w:rPr>
          <w:lang w:val="en-US"/>
        </w:rPr>
        <w:t>Edwards D, Heufelder A, Zimmermann A.</w:t>
      </w:r>
    </w:p>
    <w:p w:rsidR="00975689" w:rsidRPr="0059081B" w:rsidRDefault="00975689" w:rsidP="00975689">
      <w:pPr>
        <w:pStyle w:val="Corpo"/>
        <w:rPr>
          <w:lang w:val="en-US"/>
        </w:rPr>
      </w:pPr>
      <w:r w:rsidRPr="0059081B">
        <w:rPr>
          <w:lang w:val="en-US"/>
        </w:rPr>
        <w:t>Source</w:t>
      </w:r>
    </w:p>
    <w:p w:rsidR="00975689" w:rsidRPr="0059081B" w:rsidRDefault="00975689" w:rsidP="00975689">
      <w:pPr>
        <w:pStyle w:val="Corpo"/>
        <w:rPr>
          <w:lang w:val="en-US"/>
        </w:rPr>
      </w:pPr>
      <w:r w:rsidRPr="0059081B">
        <w:rPr>
          <w:lang w:val="en-US"/>
        </w:rPr>
        <w:t>White House Surgery, Horsefair, Chipping Norton, UK.</w:t>
      </w:r>
    </w:p>
    <w:p w:rsidR="00975689" w:rsidRPr="0059081B" w:rsidRDefault="00975689" w:rsidP="00975689">
      <w:pPr>
        <w:pStyle w:val="Corpo"/>
        <w:rPr>
          <w:lang w:val="en-US"/>
        </w:rPr>
      </w:pPr>
      <w:r w:rsidRPr="0059081B">
        <w:rPr>
          <w:lang w:val="en-US"/>
        </w:rPr>
        <w:t>Abstract</w:t>
      </w:r>
    </w:p>
    <w:p w:rsidR="00975689" w:rsidRPr="0059081B" w:rsidRDefault="00975689" w:rsidP="00975689">
      <w:pPr>
        <w:pStyle w:val="Corpo"/>
        <w:rPr>
          <w:lang w:val="en-US"/>
        </w:rPr>
      </w:pPr>
      <w:r w:rsidRPr="0059081B">
        <w:rPr>
          <w:lang w:val="en-US"/>
        </w:rPr>
        <w:t>The trial was conducted to investigate the therapeutic effects and safety of a 4</w:t>
      </w:r>
      <w:r w:rsidRPr="0059081B">
        <w:rPr>
          <w:rFonts w:ascii="Cambria Math" w:hAnsi="Cambria Math" w:cs="Cambria Math"/>
          <w:lang w:val="en-US"/>
        </w:rPr>
        <w:t> </w:t>
      </w:r>
      <w:r w:rsidRPr="0059081B">
        <w:rPr>
          <w:lang w:val="en-US"/>
        </w:rPr>
        <w:t>week treatment with Rhodiola rosea extract WS® 1375 in subjects with life-stress symptoms. This was a multicentre, non-randomized, open-label, single-arm trial. One hundred and one subjects were enrolled in this clinical study and received the study drug at a dose of 200</w:t>
      </w:r>
      <w:r w:rsidRPr="0059081B">
        <w:rPr>
          <w:rFonts w:ascii="Cambria Math" w:hAnsi="Cambria Math" w:cs="Cambria Math"/>
          <w:lang w:val="en-US"/>
        </w:rPr>
        <w:t> </w:t>
      </w:r>
      <w:r w:rsidRPr="0059081B">
        <w:rPr>
          <w:lang w:val="en-US"/>
        </w:rPr>
        <w:t>mg twice daily for 4</w:t>
      </w:r>
      <w:r w:rsidRPr="0059081B">
        <w:rPr>
          <w:rFonts w:ascii="Cambria Math" w:hAnsi="Cambria Math" w:cs="Cambria Math"/>
          <w:lang w:val="en-US"/>
        </w:rPr>
        <w:t> </w:t>
      </w:r>
      <w:r w:rsidRPr="0059081B">
        <w:rPr>
          <w:lang w:val="en-US"/>
        </w:rPr>
        <w:t>weeks. Assessments with seven questionnaires included Numerical Analogue Scales of Subjective Stress Symptoms, Perceived Stress Questionnaire, Multidimensional Fatigue Inventory 20, Numbers Connecting Test, Sheehan Disability Scale and Clinical Global Impressions to cover various aspects of stress symptoms and adverse events. Invariably, all tests showed clinically relevant improvements with regard to stress symptoms, disability, functional impairment and overall therapeutic effect. Improvements were observed even after 3</w:t>
      </w:r>
      <w:r w:rsidRPr="0059081B">
        <w:rPr>
          <w:rFonts w:ascii="Cambria Math" w:hAnsi="Cambria Math" w:cs="Cambria Math"/>
          <w:lang w:val="en-US"/>
        </w:rPr>
        <w:t> </w:t>
      </w:r>
      <w:r w:rsidRPr="0059081B">
        <w:rPr>
          <w:lang w:val="en-US"/>
        </w:rPr>
        <w:t>days of treatment, as were continuing improvements after 1 and 4</w:t>
      </w:r>
      <w:r w:rsidRPr="0059081B">
        <w:rPr>
          <w:rFonts w:ascii="Cambria Math" w:hAnsi="Cambria Math" w:cs="Cambria Math"/>
          <w:lang w:val="en-US"/>
        </w:rPr>
        <w:t> </w:t>
      </w:r>
      <w:r w:rsidRPr="0059081B">
        <w:rPr>
          <w:lang w:val="en-US"/>
        </w:rPr>
        <w:t xml:space="preserve">weeks. Rhodiola rosea extract WS® </w:t>
      </w:r>
      <w:r w:rsidRPr="0059081B">
        <w:rPr>
          <w:lang w:val="en-US"/>
        </w:rPr>
        <w:lastRenderedPageBreak/>
        <w:t>1375 was safe and generally well tolerated. Adverse events were mostly of mild intensity and no serious adverse events were reported. Rhodiola extract at a dose of 200</w:t>
      </w:r>
      <w:r w:rsidRPr="0059081B">
        <w:rPr>
          <w:rFonts w:ascii="Cambria Math" w:hAnsi="Cambria Math" w:cs="Cambria Math"/>
          <w:lang w:val="en-US"/>
        </w:rPr>
        <w:t> </w:t>
      </w:r>
      <w:r w:rsidRPr="0059081B">
        <w:rPr>
          <w:lang w:val="en-US"/>
        </w:rPr>
        <w:t>mg twice daily for 4</w:t>
      </w:r>
      <w:r w:rsidRPr="0059081B">
        <w:rPr>
          <w:rFonts w:ascii="Cambria Math" w:hAnsi="Cambria Math" w:cs="Cambria Math"/>
          <w:lang w:val="en-US"/>
        </w:rPr>
        <w:t> </w:t>
      </w:r>
      <w:r w:rsidRPr="0059081B">
        <w:rPr>
          <w:lang w:val="en-US"/>
        </w:rPr>
        <w:t>weeks is safe and effective in improving life-stress symptoms to a clinically relevant degree. Copyright © 2012 John Wiley &amp; Sons, Ltd.</w:t>
      </w:r>
    </w:p>
    <w:p w:rsidR="00975689" w:rsidRPr="0059081B" w:rsidRDefault="00975689" w:rsidP="00975689">
      <w:pPr>
        <w:pStyle w:val="Corpo"/>
        <w:rPr>
          <w:lang w:val="en-US"/>
        </w:rPr>
      </w:pPr>
      <w:r w:rsidRPr="0059081B">
        <w:rPr>
          <w:lang w:val="en-US"/>
        </w:rPr>
        <w:t>Copyright © 2012 John Wiley &amp; Sons, Ltd.</w:t>
      </w:r>
    </w:p>
    <w:p w:rsidR="00975689" w:rsidRDefault="00975689" w:rsidP="00975689">
      <w:pPr>
        <w:pStyle w:val="Corpo"/>
        <w:rPr>
          <w:lang w:val="en-US"/>
        </w:rPr>
      </w:pPr>
      <w:r w:rsidRPr="0059081B">
        <w:rPr>
          <w:lang w:val="en-US"/>
        </w:rPr>
        <w:t>PMID: 22228617 [PubMed - as supplied by publisher]</w:t>
      </w:r>
      <w:r w:rsidRPr="00D655ED">
        <w:rPr>
          <w:lang w:val="en-US"/>
        </w:rPr>
        <w:t>.</w:t>
      </w:r>
    </w:p>
    <w:p w:rsidR="00975689" w:rsidRDefault="00975689" w:rsidP="00975689">
      <w:pPr>
        <w:pStyle w:val="Corpo"/>
        <w:rPr>
          <w:lang w:val="en-US"/>
        </w:rPr>
      </w:pPr>
    </w:p>
    <w:p w:rsidR="00975689" w:rsidRDefault="00975689" w:rsidP="00975689">
      <w:pPr>
        <w:pStyle w:val="Corpo"/>
        <w:rPr>
          <w:lang w:val="en-US"/>
        </w:rPr>
      </w:pPr>
    </w:p>
    <w:p w:rsidR="00975689" w:rsidRPr="0059081B" w:rsidRDefault="00975689" w:rsidP="00975689">
      <w:pPr>
        <w:pStyle w:val="Corpo"/>
        <w:rPr>
          <w:lang w:val="en-US"/>
        </w:rPr>
      </w:pPr>
      <w:r w:rsidRPr="0059081B">
        <w:rPr>
          <w:lang w:val="en-US"/>
        </w:rPr>
        <w:t>Neuro Endocrinol Lett. 2010;31(5):663-6.</w:t>
      </w:r>
    </w:p>
    <w:p w:rsidR="00975689" w:rsidRPr="0059081B" w:rsidRDefault="00975689" w:rsidP="00975689">
      <w:pPr>
        <w:pStyle w:val="Corpo"/>
        <w:rPr>
          <w:b/>
          <w:lang w:val="en-US"/>
        </w:rPr>
      </w:pPr>
      <w:r w:rsidRPr="0059081B">
        <w:rPr>
          <w:b/>
          <w:lang w:val="en-US"/>
        </w:rPr>
        <w:t>An open-label trial of L-5-hydroxytryptophan in subjects with romantic stress.</w:t>
      </w:r>
    </w:p>
    <w:p w:rsidR="00975689" w:rsidRPr="0074042E" w:rsidRDefault="00975689" w:rsidP="00975689">
      <w:pPr>
        <w:pStyle w:val="Corpo"/>
      </w:pPr>
      <w:r w:rsidRPr="0074042E">
        <w:t>Emanuele E, Bertona M, Minoretti P, Geroldi D.</w:t>
      </w:r>
    </w:p>
    <w:p w:rsidR="00975689" w:rsidRPr="0059081B" w:rsidRDefault="00975689" w:rsidP="00975689">
      <w:pPr>
        <w:pStyle w:val="Corpo"/>
        <w:rPr>
          <w:lang w:val="en-US"/>
        </w:rPr>
      </w:pPr>
      <w:r w:rsidRPr="0059081B">
        <w:rPr>
          <w:lang w:val="en-US"/>
        </w:rPr>
        <w:t>Source</w:t>
      </w:r>
    </w:p>
    <w:p w:rsidR="00975689" w:rsidRPr="0059081B" w:rsidRDefault="00975689" w:rsidP="00975689">
      <w:pPr>
        <w:pStyle w:val="Corpo"/>
        <w:rPr>
          <w:lang w:val="en-US"/>
        </w:rPr>
      </w:pPr>
      <w:r w:rsidRPr="0059081B">
        <w:rPr>
          <w:lang w:val="en-US"/>
        </w:rPr>
        <w:t>Department of Health Sciences, Section of Psychiatry, University of Pavia, Pavia, Italy. enzo.em@libero.it</w:t>
      </w:r>
    </w:p>
    <w:p w:rsidR="00975689" w:rsidRPr="0059081B" w:rsidRDefault="00975689" w:rsidP="00975689">
      <w:pPr>
        <w:pStyle w:val="Corpo"/>
        <w:rPr>
          <w:lang w:val="en-US"/>
        </w:rPr>
      </w:pPr>
      <w:r w:rsidRPr="0059081B">
        <w:rPr>
          <w:lang w:val="en-US"/>
        </w:rPr>
        <w:t>Abstract</w:t>
      </w:r>
    </w:p>
    <w:p w:rsidR="00975689" w:rsidRPr="0059081B" w:rsidRDefault="00975689" w:rsidP="00975689">
      <w:pPr>
        <w:pStyle w:val="Corpo"/>
        <w:rPr>
          <w:lang w:val="en-US"/>
        </w:rPr>
      </w:pPr>
      <w:r w:rsidRPr="0059081B">
        <w:rPr>
          <w:lang w:val="en-US"/>
        </w:rPr>
        <w:t>This open-label trial assessed the clinical efficacy of L-5-hydroxytryptophan (5-HTP), a natural serotonin precursor, in nondepressed young subjects with high levels of romantic stress. Since both neurotrophins and serotonin have been linked to human romantic attachment, we sought to investigate the changes in serum brain-derived neurotrophic factor (BDNF) levels and platelet serotonin content in relation to the changes in romantic stress throughout the study. A total of 15 healthy subjects (11 females and 4 males, mean age: 23.3 ± 2.1 years) who experienced a recent romantic break-up or reported recent romantic problems took part in the study. The participants were treated openly for 6 weeks with L-5-hydroxytryptophan (60 mg Griffonia simplicifolia extract containing 12.8 mg 5-HTP b.i.d., Amorex, Coropharm, Villach, Austria). The subjects were evaluated at baseline, at 3 weeks and at the end of the 6-week trial using an adapted version of the Seiffge-Krenke's Problem Questionnaire. BDNF and platelet serotonin content were determined at baseline, at 3 weeks, and after the completion of the 6-week trial. We observed significant improvements in romantic stress scores from weeks 0 through 3 (p=0.007) but no further significant improvement was evident from weeks 3 through 6 (p=0.19). At 6 weeks, subjects had a significant increase from baseline in both BDNF and platelet serotonin values. Our data suggest that direct modulation of the serotonergic system may have use for the treatment of psychological suffering associated with unreciprocated romantic love.</w:t>
      </w:r>
    </w:p>
    <w:p w:rsidR="00975689" w:rsidRDefault="00975689" w:rsidP="00975689">
      <w:pPr>
        <w:pStyle w:val="Corpo"/>
        <w:rPr>
          <w:lang w:val="en-US"/>
        </w:rPr>
      </w:pPr>
      <w:r w:rsidRPr="0059081B">
        <w:rPr>
          <w:lang w:val="en-US"/>
        </w:rPr>
        <w:t>PMID: 21178946 [PubMed - indexed for MEDLINE]</w:t>
      </w:r>
    </w:p>
    <w:p w:rsidR="00975689" w:rsidRDefault="00975689" w:rsidP="00975689">
      <w:pPr>
        <w:pStyle w:val="Corpo"/>
        <w:rPr>
          <w:lang w:val="en-US"/>
        </w:rPr>
      </w:pPr>
    </w:p>
    <w:p w:rsidR="00975689" w:rsidRDefault="00975689" w:rsidP="00975689">
      <w:pPr>
        <w:pStyle w:val="Corpo"/>
        <w:rPr>
          <w:lang w:val="en-US"/>
        </w:rPr>
      </w:pPr>
    </w:p>
    <w:p w:rsidR="00975689" w:rsidRDefault="00975689" w:rsidP="00975689">
      <w:pPr>
        <w:pStyle w:val="Corpo"/>
        <w:rPr>
          <w:lang w:val="en-US"/>
        </w:rPr>
      </w:pPr>
    </w:p>
    <w:p w:rsidR="00975689" w:rsidRPr="00A05DFA" w:rsidRDefault="00975689" w:rsidP="00975689">
      <w:pPr>
        <w:pStyle w:val="Corpo"/>
        <w:rPr>
          <w:lang w:val="en-US"/>
        </w:rPr>
      </w:pPr>
      <w:r w:rsidRPr="00A05DFA">
        <w:rPr>
          <w:lang w:val="en-US"/>
        </w:rPr>
        <w:t>Psychopharmacology (Berl). 2002 Jan;159(3):319-24. Epub 2001 Nov 20.</w:t>
      </w:r>
    </w:p>
    <w:p w:rsidR="00975689" w:rsidRPr="00A05DFA" w:rsidRDefault="00975689" w:rsidP="00975689">
      <w:pPr>
        <w:pStyle w:val="Corpo"/>
        <w:rPr>
          <w:b/>
          <w:lang w:val="en-US"/>
        </w:rPr>
      </w:pPr>
      <w:r w:rsidRPr="00A05DFA">
        <w:rPr>
          <w:b/>
          <w:lang w:val="en-US"/>
        </w:rPr>
        <w:t>A randomized controlled trial of high dose ascorbic acid for reduction of blood pressure, cortisol, and subjective responses to psychological stress.</w:t>
      </w:r>
    </w:p>
    <w:p w:rsidR="00975689" w:rsidRPr="00A05DFA" w:rsidRDefault="00975689" w:rsidP="00975689">
      <w:pPr>
        <w:pStyle w:val="Corpo"/>
        <w:rPr>
          <w:lang w:val="en-US"/>
        </w:rPr>
      </w:pPr>
      <w:r w:rsidRPr="00A05DFA">
        <w:rPr>
          <w:lang w:val="en-US"/>
        </w:rPr>
        <w:t>Brody S, Preut R, Schommer K, Schürmeyer TH.</w:t>
      </w:r>
    </w:p>
    <w:p w:rsidR="00975689" w:rsidRPr="00A05DFA" w:rsidRDefault="00975689" w:rsidP="00975689">
      <w:pPr>
        <w:pStyle w:val="Corpo"/>
        <w:rPr>
          <w:lang w:val="en-US"/>
        </w:rPr>
      </w:pPr>
      <w:r w:rsidRPr="00A05DFA">
        <w:rPr>
          <w:lang w:val="en-US"/>
        </w:rPr>
        <w:t>Source</w:t>
      </w:r>
    </w:p>
    <w:p w:rsidR="00975689" w:rsidRPr="00A05DFA" w:rsidRDefault="00975689" w:rsidP="00975689">
      <w:pPr>
        <w:pStyle w:val="Corpo"/>
        <w:rPr>
          <w:lang w:val="en-US"/>
        </w:rPr>
      </w:pPr>
      <w:r w:rsidRPr="00A05DFA">
        <w:rPr>
          <w:lang w:val="en-US"/>
        </w:rPr>
        <w:lastRenderedPageBreak/>
        <w:t>Center for psychomatic and Psychobiological Research, University of Trier, Trier, Germany. stuartbrody@hotmail.com</w:t>
      </w:r>
    </w:p>
    <w:p w:rsidR="00975689" w:rsidRPr="00A05DFA" w:rsidRDefault="00975689" w:rsidP="00975689">
      <w:pPr>
        <w:pStyle w:val="Corpo"/>
        <w:rPr>
          <w:lang w:val="en-US"/>
        </w:rPr>
      </w:pPr>
      <w:r w:rsidRPr="00A05DFA">
        <w:rPr>
          <w:lang w:val="en-US"/>
        </w:rPr>
        <w:t>Abstract</w:t>
      </w:r>
    </w:p>
    <w:p w:rsidR="00975689" w:rsidRPr="00A05DFA" w:rsidRDefault="00975689" w:rsidP="00975689">
      <w:pPr>
        <w:pStyle w:val="Corpo"/>
        <w:rPr>
          <w:lang w:val="en-US"/>
        </w:rPr>
      </w:pPr>
      <w:r w:rsidRPr="00A05DFA">
        <w:rPr>
          <w:lang w:val="en-US"/>
        </w:rPr>
        <w:t>RATIONALE:</w:t>
      </w:r>
    </w:p>
    <w:p w:rsidR="00975689" w:rsidRPr="00A05DFA" w:rsidRDefault="00975689" w:rsidP="00975689">
      <w:pPr>
        <w:pStyle w:val="Corpo"/>
        <w:rPr>
          <w:lang w:val="en-US"/>
        </w:rPr>
      </w:pPr>
      <w:r w:rsidRPr="00A05DFA">
        <w:rPr>
          <w:lang w:val="en-US"/>
        </w:rPr>
        <w:t>Physiological responses to stress are considered disruptive to health. High-dose ascorbic acid has reduced indices of stress in laboratory animals.</w:t>
      </w:r>
    </w:p>
    <w:p w:rsidR="00975689" w:rsidRPr="00A05DFA" w:rsidRDefault="00975689" w:rsidP="00975689">
      <w:pPr>
        <w:pStyle w:val="Corpo"/>
        <w:rPr>
          <w:lang w:val="en-US"/>
        </w:rPr>
      </w:pPr>
      <w:r w:rsidRPr="00A05DFA">
        <w:rPr>
          <w:lang w:val="en-US"/>
        </w:rPr>
        <w:t>METHODS:</w:t>
      </w:r>
    </w:p>
    <w:p w:rsidR="00975689" w:rsidRPr="00A05DFA" w:rsidRDefault="00975689" w:rsidP="00975689">
      <w:pPr>
        <w:pStyle w:val="Corpo"/>
        <w:rPr>
          <w:lang w:val="en-US"/>
        </w:rPr>
      </w:pPr>
      <w:r w:rsidRPr="00A05DFA">
        <w:rPr>
          <w:lang w:val="en-US"/>
        </w:rPr>
        <w:t>We conducted a randomized double-blind, placebo-controlled 14-day trial of sustained-release ascorbic acid (60 healthy young adults; 3 x1000 mg/day Cetebe) and placebo (60 healthy young adults) for reduction of blood pressure, cortisol, and subjective response to acute psychological stress (Trier Social Stress Test, TSST, consisting of public speaking and mental arithmetic). Six subjects from each group were excluded.</w:t>
      </w:r>
    </w:p>
    <w:p w:rsidR="00975689" w:rsidRPr="00A05DFA" w:rsidRDefault="00975689" w:rsidP="00975689">
      <w:pPr>
        <w:pStyle w:val="Corpo"/>
        <w:rPr>
          <w:lang w:val="en-US"/>
        </w:rPr>
      </w:pPr>
      <w:r w:rsidRPr="00A05DFA">
        <w:rPr>
          <w:lang w:val="en-US"/>
        </w:rPr>
        <w:t>RESULTS:</w:t>
      </w:r>
    </w:p>
    <w:p w:rsidR="00975689" w:rsidRPr="00A05DFA" w:rsidRDefault="00975689" w:rsidP="00975689">
      <w:pPr>
        <w:pStyle w:val="Corpo"/>
        <w:rPr>
          <w:lang w:val="en-US"/>
        </w:rPr>
      </w:pPr>
      <w:r w:rsidRPr="00A05DFA">
        <w:rPr>
          <w:lang w:val="en-US"/>
        </w:rPr>
        <w:t>Compared to the placebo group, the ascorbic acid group had less systolic blood pressure (an increase of 23 versus 31 mmHg), diastolic blood pressure, and subjective stress responses to the TSST; and also had faster salivary cortisol recovery (but not smaller overall cortisol response). Cortisol response to 1 microg ACTH, and reported side-effects during the trial did not differ between groups. Plasma ascorbic acid level at the end of the trial but not pre-trial was associated with reduced stress reactivity of systolic blood pressure, diastolic blood pressure, and subjective stress, and with greater salivary cortisol recovery.</w:t>
      </w:r>
    </w:p>
    <w:p w:rsidR="00975689" w:rsidRPr="00A05DFA" w:rsidRDefault="00975689" w:rsidP="00975689">
      <w:pPr>
        <w:pStyle w:val="Corpo"/>
        <w:rPr>
          <w:lang w:val="en-US"/>
        </w:rPr>
      </w:pPr>
      <w:r w:rsidRPr="00A05DFA">
        <w:rPr>
          <w:lang w:val="en-US"/>
        </w:rPr>
        <w:t>CONCLUSIONS:</w:t>
      </w:r>
    </w:p>
    <w:p w:rsidR="00975689" w:rsidRPr="00A05DFA" w:rsidRDefault="00975689" w:rsidP="00975689">
      <w:pPr>
        <w:pStyle w:val="Corpo"/>
        <w:rPr>
          <w:lang w:val="en-US"/>
        </w:rPr>
      </w:pPr>
      <w:r w:rsidRPr="00A05DFA">
        <w:rPr>
          <w:lang w:val="en-US"/>
        </w:rPr>
        <w:t>Treatment with high-dose sustained-release ascorbic acid palliates blood pressure, cortisol, and subjective response to acute psychological stress. These effects are not attributable to modification of adrenal responsiveness.</w:t>
      </w:r>
    </w:p>
    <w:p w:rsidR="00975689" w:rsidRDefault="00975689" w:rsidP="00975689">
      <w:pPr>
        <w:pStyle w:val="Corpo"/>
        <w:rPr>
          <w:lang w:val="en-US"/>
        </w:rPr>
      </w:pPr>
      <w:r w:rsidRPr="00A05DFA">
        <w:rPr>
          <w:lang w:val="en-US"/>
        </w:rPr>
        <w:t>PMID: 11862365 [PubMed - indexed for MEDLINE]</w:t>
      </w:r>
    </w:p>
    <w:p w:rsidR="00975689" w:rsidRDefault="00975689" w:rsidP="00975689">
      <w:pPr>
        <w:pStyle w:val="Corpo"/>
        <w:rPr>
          <w:lang w:val="en-US"/>
        </w:rPr>
      </w:pPr>
    </w:p>
    <w:p w:rsidR="00975689" w:rsidRDefault="00975689" w:rsidP="00975689">
      <w:pPr>
        <w:pStyle w:val="Corpo"/>
        <w:rPr>
          <w:lang w:val="en-US"/>
        </w:rPr>
      </w:pPr>
    </w:p>
    <w:p w:rsidR="00975689" w:rsidRDefault="00975689" w:rsidP="00975689">
      <w:pPr>
        <w:pStyle w:val="Corpo"/>
        <w:rPr>
          <w:lang w:val="en-US"/>
        </w:rPr>
      </w:pPr>
    </w:p>
    <w:p w:rsidR="00975689" w:rsidRPr="00A05DFA" w:rsidRDefault="00975689" w:rsidP="00975689">
      <w:pPr>
        <w:pStyle w:val="Corpo"/>
        <w:rPr>
          <w:lang w:val="en-US"/>
        </w:rPr>
      </w:pPr>
      <w:r w:rsidRPr="00A05DFA">
        <w:rPr>
          <w:lang w:val="en-US"/>
        </w:rPr>
        <w:t>J Int Soc Sports Nutr. 2008 Jul 28;5:11.</w:t>
      </w:r>
    </w:p>
    <w:p w:rsidR="00975689" w:rsidRPr="00A05DFA" w:rsidRDefault="00975689" w:rsidP="00975689">
      <w:pPr>
        <w:pStyle w:val="Corpo"/>
        <w:rPr>
          <w:b/>
          <w:lang w:val="en-US"/>
        </w:rPr>
      </w:pPr>
      <w:r w:rsidRPr="00A05DFA">
        <w:rPr>
          <w:b/>
          <w:lang w:val="en-US"/>
        </w:rPr>
        <w:t>The effects of phosphatidylserine on endocrine response to moderate intensity exercise.</w:t>
      </w:r>
    </w:p>
    <w:p w:rsidR="00975689" w:rsidRPr="00A05DFA" w:rsidRDefault="00975689" w:rsidP="00975689">
      <w:pPr>
        <w:pStyle w:val="Corpo"/>
        <w:rPr>
          <w:lang w:val="en-US"/>
        </w:rPr>
      </w:pPr>
      <w:r w:rsidRPr="00A05DFA">
        <w:rPr>
          <w:lang w:val="en-US"/>
        </w:rPr>
        <w:t>Starks MA, Starks SL, Kingsley M, Purpura M, Jäger R.</w:t>
      </w:r>
    </w:p>
    <w:p w:rsidR="00975689" w:rsidRPr="00A05DFA" w:rsidRDefault="00975689" w:rsidP="00975689">
      <w:pPr>
        <w:pStyle w:val="Corpo"/>
        <w:rPr>
          <w:lang w:val="en-US"/>
        </w:rPr>
      </w:pPr>
      <w:r w:rsidRPr="00A05DFA">
        <w:rPr>
          <w:lang w:val="en-US"/>
        </w:rPr>
        <w:t>Source</w:t>
      </w:r>
    </w:p>
    <w:p w:rsidR="00975689" w:rsidRPr="00A05DFA" w:rsidRDefault="00975689" w:rsidP="00975689">
      <w:pPr>
        <w:pStyle w:val="Corpo"/>
        <w:rPr>
          <w:lang w:val="en-US"/>
        </w:rPr>
      </w:pPr>
      <w:r w:rsidRPr="00A05DFA">
        <w:rPr>
          <w:lang w:val="en-US"/>
        </w:rPr>
        <w:t>The University of Mississippi, 215 Turner, University, MS 38655, USA. mstarts@olemiss.edu</w:t>
      </w:r>
    </w:p>
    <w:p w:rsidR="00975689" w:rsidRPr="00A05DFA" w:rsidRDefault="00975689" w:rsidP="00975689">
      <w:pPr>
        <w:pStyle w:val="Corpo"/>
        <w:rPr>
          <w:lang w:val="en-US"/>
        </w:rPr>
      </w:pPr>
      <w:r w:rsidRPr="00A05DFA">
        <w:rPr>
          <w:lang w:val="en-US"/>
        </w:rPr>
        <w:t>Abstract</w:t>
      </w:r>
    </w:p>
    <w:p w:rsidR="00975689" w:rsidRPr="00A05DFA" w:rsidRDefault="00975689" w:rsidP="00975689">
      <w:pPr>
        <w:pStyle w:val="Corpo"/>
        <w:rPr>
          <w:lang w:val="en-US"/>
        </w:rPr>
      </w:pPr>
      <w:r w:rsidRPr="00A05DFA">
        <w:rPr>
          <w:lang w:val="en-US"/>
        </w:rPr>
        <w:t>BACKGROUND:</w:t>
      </w:r>
    </w:p>
    <w:p w:rsidR="00975689" w:rsidRPr="00A05DFA" w:rsidRDefault="00975689" w:rsidP="00975689">
      <w:pPr>
        <w:pStyle w:val="Corpo"/>
        <w:rPr>
          <w:lang w:val="en-US"/>
        </w:rPr>
      </w:pPr>
      <w:r w:rsidRPr="00A05DFA">
        <w:rPr>
          <w:lang w:val="en-US"/>
        </w:rPr>
        <w:t xml:space="preserve">Previous research has indicated that phosphatidylserine (PS) supplementation has the potential to attenuate the serum cortisol response to acute exercise stress. Equivocal findings suggest that this effect might be dose dependent. This study aimed to examine the influence of short-term supplementation with a moderate dose of PS (600 </w:t>
      </w:r>
      <w:r w:rsidRPr="00A05DFA">
        <w:rPr>
          <w:lang w:val="en-US"/>
        </w:rPr>
        <w:lastRenderedPageBreak/>
        <w:t>mg per day) on plasma concentrations of cortisol, lactate, growth hormone and testosterone before, during, and following moderate intensity exercise in healthy males.</w:t>
      </w:r>
    </w:p>
    <w:p w:rsidR="00975689" w:rsidRPr="00A05DFA" w:rsidRDefault="00975689" w:rsidP="00975689">
      <w:pPr>
        <w:pStyle w:val="Corpo"/>
        <w:rPr>
          <w:lang w:val="en-US"/>
        </w:rPr>
      </w:pPr>
      <w:r w:rsidRPr="00A05DFA">
        <w:rPr>
          <w:lang w:val="en-US"/>
        </w:rPr>
        <w:t>METHODS:</w:t>
      </w:r>
    </w:p>
    <w:p w:rsidR="00975689" w:rsidRPr="00A05DFA" w:rsidRDefault="00975689" w:rsidP="00975689">
      <w:pPr>
        <w:pStyle w:val="Corpo"/>
        <w:rPr>
          <w:lang w:val="en-US"/>
        </w:rPr>
      </w:pPr>
      <w:r w:rsidRPr="00A05DFA">
        <w:rPr>
          <w:lang w:val="en-US"/>
        </w:rPr>
        <w:t>10 healthy male subjects participated in the study. Each subject was assigned to ingest 600 mg PS or placebo per day for 10 days using a double-blind, placebo-controlled, crossover design. Serial venous blood samples were taken at rest, after a 15 minute moderate intensity exercise protocol on a cycle ergometer that consisted of five 3-minute incremental stages beginning at 65% and ending at 85% VO2 max, and during a 65 minute passive recovery. Plasma samples were assessed for cortisol, growth hormone, testosterone, lactate and testosterone to cortisol ratio for treatment (PS or placebo).</w:t>
      </w:r>
    </w:p>
    <w:p w:rsidR="00975689" w:rsidRPr="00A05DFA" w:rsidRDefault="00975689" w:rsidP="00975689">
      <w:pPr>
        <w:pStyle w:val="Corpo"/>
        <w:rPr>
          <w:lang w:val="en-US"/>
        </w:rPr>
      </w:pPr>
      <w:r w:rsidRPr="00A05DFA">
        <w:rPr>
          <w:lang w:val="en-US"/>
        </w:rPr>
        <w:t>RESULTS:</w:t>
      </w:r>
    </w:p>
    <w:p w:rsidR="00975689" w:rsidRPr="00A05DFA" w:rsidRDefault="00975689" w:rsidP="00975689">
      <w:pPr>
        <w:pStyle w:val="Corpo"/>
        <w:rPr>
          <w:lang w:val="en-US"/>
        </w:rPr>
      </w:pPr>
      <w:r w:rsidRPr="00A05DFA">
        <w:rPr>
          <w:lang w:val="en-US"/>
        </w:rPr>
        <w:t>Mean peak cortisol concentrations and area under the curve (AUC) were lower following PS (39 +/- 1% and 35 +/- 0%, respectively) when compared to placebo (p &lt; 0.05). PS increased AUC for testosterone to cortisol ratio (184 +/- 5%) when compared to placebo (p &lt; 0.05). PS and placebo supplementation had no effect on lactate or growth hormone levels.</w:t>
      </w:r>
    </w:p>
    <w:p w:rsidR="00975689" w:rsidRPr="00A05DFA" w:rsidRDefault="00975689" w:rsidP="00975689">
      <w:pPr>
        <w:pStyle w:val="Corpo"/>
        <w:rPr>
          <w:lang w:val="en-US"/>
        </w:rPr>
      </w:pPr>
      <w:r w:rsidRPr="00A05DFA">
        <w:rPr>
          <w:lang w:val="en-US"/>
        </w:rPr>
        <w:t>CONCLUSION:</w:t>
      </w:r>
    </w:p>
    <w:p w:rsidR="00975689" w:rsidRPr="00A05DFA" w:rsidRDefault="00975689" w:rsidP="00975689">
      <w:pPr>
        <w:pStyle w:val="Corpo"/>
        <w:rPr>
          <w:lang w:val="en-US"/>
        </w:rPr>
      </w:pPr>
      <w:r w:rsidRPr="00A05DFA">
        <w:rPr>
          <w:lang w:val="en-US"/>
        </w:rPr>
        <w:t>The findings suggest that PS is an effective supplement for combating exercise-induced stress and preventing the physiological deterioration that can accompany too much exercise. PS supplementation promotes a desired hormonal status for athletes by blunting increases in cortisol levels.</w:t>
      </w:r>
    </w:p>
    <w:p w:rsidR="00975689" w:rsidRDefault="00975689" w:rsidP="00975689">
      <w:pPr>
        <w:pStyle w:val="Corpo"/>
        <w:rPr>
          <w:lang w:val="en-US"/>
        </w:rPr>
      </w:pPr>
      <w:r w:rsidRPr="00A05DFA">
        <w:rPr>
          <w:lang w:val="en-US"/>
        </w:rPr>
        <w:t>PMID: 18662395 [PubMed] PMCID: PMC2503954</w:t>
      </w:r>
    </w:p>
    <w:p w:rsidR="00975689" w:rsidRDefault="00975689" w:rsidP="00975689">
      <w:pPr>
        <w:pStyle w:val="Corpo"/>
        <w:rPr>
          <w:lang w:val="en-US"/>
        </w:rPr>
      </w:pPr>
    </w:p>
    <w:p w:rsidR="00975689" w:rsidRDefault="00975689" w:rsidP="00975689">
      <w:pPr>
        <w:pStyle w:val="Corpo"/>
        <w:rPr>
          <w:lang w:val="en-US"/>
        </w:rPr>
      </w:pPr>
    </w:p>
    <w:p w:rsidR="00975689" w:rsidRDefault="00975689" w:rsidP="00975689">
      <w:pPr>
        <w:pStyle w:val="Corpo"/>
        <w:rPr>
          <w:lang w:val="en-US"/>
        </w:rPr>
      </w:pPr>
    </w:p>
    <w:p w:rsidR="00975689" w:rsidRPr="00A05DFA" w:rsidRDefault="00975689" w:rsidP="00975689">
      <w:pPr>
        <w:pStyle w:val="Corpo"/>
        <w:rPr>
          <w:lang w:val="en-US"/>
        </w:rPr>
      </w:pPr>
      <w:r w:rsidRPr="00A05DFA">
        <w:rPr>
          <w:lang w:val="en-US"/>
        </w:rPr>
        <w:t>J Endocrinol. 2011 Aug;210(2):199-207. Epub 2011 May 12.</w:t>
      </w:r>
    </w:p>
    <w:p w:rsidR="00975689" w:rsidRPr="00A05DFA" w:rsidRDefault="00975689" w:rsidP="00975689">
      <w:pPr>
        <w:pStyle w:val="Corpo"/>
        <w:rPr>
          <w:b/>
          <w:lang w:val="en-US"/>
        </w:rPr>
      </w:pPr>
      <w:r w:rsidRPr="00A05DFA">
        <w:rPr>
          <w:b/>
          <w:lang w:val="en-US"/>
        </w:rPr>
        <w:t>POMC overexpression in the ventral tegmental area ameliorates dietary obesity.</w:t>
      </w:r>
    </w:p>
    <w:p w:rsidR="00975689" w:rsidRPr="00A05DFA" w:rsidRDefault="00975689" w:rsidP="00975689">
      <w:pPr>
        <w:pStyle w:val="Corpo"/>
        <w:rPr>
          <w:lang w:val="en-US"/>
        </w:rPr>
      </w:pPr>
      <w:r w:rsidRPr="00A05DFA">
        <w:rPr>
          <w:lang w:val="en-US"/>
        </w:rPr>
        <w:t>Andino LM, Ryder DJ, Shapiro A, Matheny MK, Zhang Y, Judge MK, Cheng KY, Tümer N, Scarpace PJ.</w:t>
      </w:r>
    </w:p>
    <w:p w:rsidR="00975689" w:rsidRPr="00A05DFA" w:rsidRDefault="00975689" w:rsidP="00975689">
      <w:pPr>
        <w:pStyle w:val="Corpo"/>
        <w:rPr>
          <w:lang w:val="en-US"/>
        </w:rPr>
      </w:pPr>
      <w:r w:rsidRPr="00A05DFA">
        <w:rPr>
          <w:lang w:val="en-US"/>
        </w:rPr>
        <w:t>Source</w:t>
      </w:r>
    </w:p>
    <w:p w:rsidR="00975689" w:rsidRPr="00A05DFA" w:rsidRDefault="00975689" w:rsidP="00975689">
      <w:pPr>
        <w:pStyle w:val="Corpo"/>
        <w:rPr>
          <w:lang w:val="en-US"/>
        </w:rPr>
      </w:pPr>
      <w:r w:rsidRPr="00A05DFA">
        <w:rPr>
          <w:lang w:val="en-US"/>
        </w:rPr>
        <w:t>Departments of Pharmacology and Therapeutics Aging and Geriatrics, University of Florida College of Medicine, PO Box 100267, Gainesville, Florida 32610, USA.</w:t>
      </w:r>
    </w:p>
    <w:p w:rsidR="00975689" w:rsidRPr="00A05DFA" w:rsidRDefault="00975689" w:rsidP="00975689">
      <w:pPr>
        <w:pStyle w:val="Corpo"/>
        <w:rPr>
          <w:lang w:val="en-US"/>
        </w:rPr>
      </w:pPr>
      <w:r w:rsidRPr="00A05DFA">
        <w:rPr>
          <w:lang w:val="en-US"/>
        </w:rPr>
        <w:t>Abstract</w:t>
      </w:r>
    </w:p>
    <w:p w:rsidR="00975689" w:rsidRPr="00A05DFA" w:rsidRDefault="00975689" w:rsidP="00975689">
      <w:pPr>
        <w:pStyle w:val="Corpo"/>
        <w:rPr>
          <w:lang w:val="en-US"/>
        </w:rPr>
      </w:pPr>
      <w:r w:rsidRPr="00A05DFA">
        <w:rPr>
          <w:lang w:val="en-US"/>
        </w:rPr>
        <w:t xml:space="preserve">The activation of proopiomelanocortin (POMC) neurons in different regions of the brain, including the arcuate nucleus of the hypothalamus (ARC) and the nucleus of the solitary tract curtails feeding and attenuates body weight. In this study, we compared the effects of delivery of a recombinant adeno-associated viral (rAAV) construct encoding POMC to the ARC with delivery to the ventral tegmental area (VTA). F344×Brown Norway rats were high-fat (HF) fed for 14 days after which self-complementary rAAV constructs expressing either green fluorescent protein or the POMC gene were injected using coordinates targeting either the VTA or the ARC. Corresponding increased POMC levels were found at the predicted injection sites and subsequent </w:t>
      </w:r>
      <w:r w:rsidRPr="00A05DFA">
        <w:rPr>
          <w:rFonts w:ascii="Arial" w:hAnsi="Arial" w:cs="Arial"/>
          <w:lang w:val="en-US"/>
        </w:rPr>
        <w:t>α</w:t>
      </w:r>
      <w:r w:rsidRPr="00A05DFA">
        <w:rPr>
          <w:rFonts w:cs="Futura Lt BT"/>
          <w:lang w:val="en-US"/>
        </w:rPr>
        <w:t>-melanocyte-stimulating hormone levels were observed. Food intake an</w:t>
      </w:r>
      <w:r w:rsidRPr="00A05DFA">
        <w:rPr>
          <w:lang w:val="en-US"/>
        </w:rPr>
        <w:t xml:space="preserve">d </w:t>
      </w:r>
      <w:r w:rsidRPr="00A05DFA">
        <w:rPr>
          <w:lang w:val="en-US"/>
        </w:rPr>
        <w:lastRenderedPageBreak/>
        <w:t>body weight were measured for 4 months. Although caloric intake was unaltered by POMC overexpression, weight gain was tempered with POMC overexpression in either the VTA or the ARC compared with controls. There were parallel decreases in adipose tissue reserves. In addition, levels of oxygen consumption and brown adipose tissue uncoupling protein 1 were significantly elevated with POMC treatment in the VTA. Interestingly, tyrosine hydroxylase levels were increased in both the ARC and VTA with POMC overexpression in either the ARC or the VTA. In conclusion, these data indicate a role for POMC overexpression within the VTA reward center to combat HF-induced obesity.</w:t>
      </w:r>
    </w:p>
    <w:p w:rsidR="00975689" w:rsidRDefault="00975689" w:rsidP="00975689">
      <w:pPr>
        <w:pStyle w:val="Corpo"/>
        <w:rPr>
          <w:lang w:val="en-US"/>
        </w:rPr>
      </w:pPr>
      <w:r w:rsidRPr="00A05DFA">
        <w:rPr>
          <w:lang w:val="en-US"/>
        </w:rPr>
        <w:t>PMID: 21565854 [PubMed - indexed for MEDLINE]</w:t>
      </w:r>
    </w:p>
    <w:p w:rsidR="00975689" w:rsidRDefault="00975689" w:rsidP="00975689">
      <w:pPr>
        <w:pStyle w:val="Corpo"/>
        <w:rPr>
          <w:lang w:val="en-US"/>
        </w:rPr>
      </w:pPr>
    </w:p>
    <w:p w:rsidR="00975689" w:rsidRDefault="00975689" w:rsidP="00975689">
      <w:pPr>
        <w:pStyle w:val="Corpo"/>
        <w:rPr>
          <w:lang w:val="en-US"/>
        </w:rPr>
      </w:pPr>
    </w:p>
    <w:p w:rsidR="00975689" w:rsidRDefault="00975689" w:rsidP="00975689">
      <w:pPr>
        <w:pStyle w:val="Corpo"/>
        <w:rPr>
          <w:lang w:val="en-US"/>
        </w:rPr>
      </w:pPr>
    </w:p>
    <w:p w:rsidR="00975689" w:rsidRPr="00A05DFA" w:rsidRDefault="00975689" w:rsidP="00975689">
      <w:pPr>
        <w:pStyle w:val="Corpo"/>
        <w:rPr>
          <w:lang w:val="en-US"/>
        </w:rPr>
      </w:pPr>
      <w:r w:rsidRPr="00A05DFA">
        <w:rPr>
          <w:lang w:val="en-US"/>
        </w:rPr>
        <w:t>Nord J Psychiatry. 2007;61(5):343-8.</w:t>
      </w:r>
    </w:p>
    <w:p w:rsidR="00975689" w:rsidRPr="00A05DFA" w:rsidRDefault="00975689" w:rsidP="00975689">
      <w:pPr>
        <w:pStyle w:val="Corpo"/>
        <w:rPr>
          <w:b/>
          <w:lang w:val="en-US"/>
        </w:rPr>
      </w:pPr>
      <w:r w:rsidRPr="00A05DFA">
        <w:rPr>
          <w:b/>
          <w:lang w:val="en-US"/>
        </w:rPr>
        <w:t>Clinical trial of Rhodiola rosea L. extract SHR-5 in the treatment of mild to moderate depression.</w:t>
      </w:r>
    </w:p>
    <w:p w:rsidR="00975689" w:rsidRPr="00A05DFA" w:rsidRDefault="00975689" w:rsidP="00975689">
      <w:pPr>
        <w:pStyle w:val="Corpo"/>
        <w:rPr>
          <w:lang w:val="en-US"/>
        </w:rPr>
      </w:pPr>
      <w:r w:rsidRPr="00A05DFA">
        <w:rPr>
          <w:lang w:val="en-US"/>
        </w:rPr>
        <w:t>Darbinyan V, Aslanyan G, Amroyan E, Gabrielyan E, Malmström C, Panossian A.</w:t>
      </w:r>
    </w:p>
    <w:p w:rsidR="00975689" w:rsidRPr="00A05DFA" w:rsidRDefault="00975689" w:rsidP="00975689">
      <w:pPr>
        <w:pStyle w:val="Corpo"/>
        <w:rPr>
          <w:lang w:val="en-US"/>
        </w:rPr>
      </w:pPr>
      <w:r w:rsidRPr="00A05DFA">
        <w:rPr>
          <w:lang w:val="en-US"/>
        </w:rPr>
        <w:t>Source</w:t>
      </w:r>
    </w:p>
    <w:p w:rsidR="00975689" w:rsidRPr="00A05DFA" w:rsidRDefault="00975689" w:rsidP="00975689">
      <w:pPr>
        <w:pStyle w:val="Corpo"/>
        <w:rPr>
          <w:lang w:val="en-US"/>
        </w:rPr>
      </w:pPr>
      <w:r w:rsidRPr="00A05DFA">
        <w:rPr>
          <w:lang w:val="en-US"/>
        </w:rPr>
        <w:t>Department of Neurology, Armenian State Medical University, Yerevan, Armenia.</w:t>
      </w:r>
    </w:p>
    <w:p w:rsidR="00975689" w:rsidRPr="00A05DFA" w:rsidRDefault="00975689" w:rsidP="00975689">
      <w:pPr>
        <w:pStyle w:val="Corpo"/>
        <w:rPr>
          <w:lang w:val="en-US"/>
        </w:rPr>
      </w:pPr>
      <w:r w:rsidRPr="00A05DFA">
        <w:rPr>
          <w:lang w:val="en-US"/>
        </w:rPr>
        <w:t>Erratum in</w:t>
      </w:r>
    </w:p>
    <w:p w:rsidR="00975689" w:rsidRPr="00A05DFA" w:rsidRDefault="00975689" w:rsidP="00975689">
      <w:pPr>
        <w:pStyle w:val="Corpo"/>
        <w:rPr>
          <w:lang w:val="en-US"/>
        </w:rPr>
      </w:pPr>
      <w:r w:rsidRPr="00A05DFA">
        <w:rPr>
          <w:lang w:val="en-US"/>
        </w:rPr>
        <w:t>Nord J Psychiatry. 2007;61(6):503.</w:t>
      </w:r>
    </w:p>
    <w:p w:rsidR="00975689" w:rsidRPr="00A05DFA" w:rsidRDefault="00975689" w:rsidP="00975689">
      <w:pPr>
        <w:pStyle w:val="Corpo"/>
        <w:rPr>
          <w:lang w:val="en-US"/>
        </w:rPr>
      </w:pPr>
      <w:r w:rsidRPr="00A05DFA">
        <w:rPr>
          <w:lang w:val="en-US"/>
        </w:rPr>
        <w:t>Abstract</w:t>
      </w:r>
    </w:p>
    <w:p w:rsidR="00975689" w:rsidRPr="00A05DFA" w:rsidRDefault="00975689" w:rsidP="00975689">
      <w:pPr>
        <w:pStyle w:val="Corpo"/>
        <w:rPr>
          <w:lang w:val="en-US"/>
        </w:rPr>
      </w:pPr>
      <w:r w:rsidRPr="00A05DFA">
        <w:rPr>
          <w:lang w:val="en-US"/>
        </w:rPr>
        <w:t>The objective of this study was to assess the efficacy and safety of standardized extract SHR-5 of rhizomes of Rhodiola rosea L. in patients suffering from a current episode of mild/moderate depression. The phase III clinical trial was carried out as a randomized double-blind placebo-controlled study with parallel groups over 6 weeks. Participants, males and females aged 18-70 years, were selected according to DSM-IV diagnostic criteria for depression, the severity of which was determined by scores gained in Beck Depression Inventory and Hamilton Rating Scale for Depression (HAMD) questionnaires. Patients with initial HAMD scores between 21 and 31 were randomized into three groups, one of which (group A: 31 patients) received two tablets daily of SHR-5 (340 mg/day), a second (group B: 29 patients) received two tablets twice per day of SHR-5 (680 mg/day), and a third (group C: 29 patients) received two placebo tablets daily. The efficacy of SHR-5 extract with respect to depressive complaints was assessed on days 0 and 42 of the study period from total and specific subgroup HAMD scores. For individuals in groups A and B, overall depression, together with insomnia, emotional instability and somatization, but not self-esteem, improved significantly following medication, whilst the placebo group did not show such improvements. No serious side-effects were reported in any of the groups A-C. It is concluded that the standardized extract SHR-5 shows anti-depressive potency in patients with mild to moderate depression when administered in dosages of either 340 or 680 mg/day over a 6-week period.</w:t>
      </w:r>
    </w:p>
    <w:p w:rsidR="00975689" w:rsidRDefault="00975689" w:rsidP="00975689">
      <w:pPr>
        <w:pStyle w:val="Corpo"/>
        <w:rPr>
          <w:lang w:val="en-US"/>
        </w:rPr>
      </w:pPr>
      <w:r w:rsidRPr="00A05DFA">
        <w:rPr>
          <w:lang w:val="en-US"/>
        </w:rPr>
        <w:t>PMID: 17990195 [PubMed - indexed for MEDLINE]</w:t>
      </w:r>
    </w:p>
    <w:p w:rsidR="00975689" w:rsidRDefault="00975689" w:rsidP="00975689">
      <w:pPr>
        <w:pStyle w:val="Corpo"/>
        <w:rPr>
          <w:lang w:val="en-US"/>
        </w:rPr>
      </w:pPr>
    </w:p>
    <w:p w:rsidR="00975689" w:rsidRDefault="00975689" w:rsidP="00975689">
      <w:pPr>
        <w:pStyle w:val="Corpo"/>
        <w:rPr>
          <w:lang w:val="en-US"/>
        </w:rPr>
      </w:pPr>
    </w:p>
    <w:p w:rsidR="00975689" w:rsidRPr="00A05DFA" w:rsidRDefault="00975689" w:rsidP="00975689">
      <w:pPr>
        <w:pStyle w:val="Corpo"/>
        <w:rPr>
          <w:lang w:val="en-US"/>
        </w:rPr>
      </w:pPr>
      <w:r w:rsidRPr="00A05DFA">
        <w:rPr>
          <w:lang w:val="en-US"/>
        </w:rPr>
        <w:t>Zhong Xi Yi Jie He Xue Bao. 2004 May;2(3):231-4, 238.</w:t>
      </w:r>
    </w:p>
    <w:p w:rsidR="00975689" w:rsidRPr="00A05DFA" w:rsidRDefault="00975689" w:rsidP="00975689">
      <w:pPr>
        <w:pStyle w:val="Corpo"/>
        <w:rPr>
          <w:b/>
          <w:lang w:val="en-US"/>
        </w:rPr>
      </w:pPr>
      <w:r w:rsidRPr="00A05DFA">
        <w:rPr>
          <w:b/>
          <w:lang w:val="en-US"/>
        </w:rPr>
        <w:t>[Discussion on clinical efficacy of Hypericum perforatum for depression abroad].</w:t>
      </w:r>
    </w:p>
    <w:p w:rsidR="00975689" w:rsidRPr="00A05DFA" w:rsidRDefault="00975689" w:rsidP="00975689">
      <w:pPr>
        <w:pStyle w:val="Corpo"/>
        <w:rPr>
          <w:lang w:val="en-US"/>
        </w:rPr>
      </w:pPr>
      <w:r w:rsidRPr="00A05DFA">
        <w:rPr>
          <w:lang w:val="en-US"/>
        </w:rPr>
        <w:t>[Article in Chinese]</w:t>
      </w:r>
    </w:p>
    <w:p w:rsidR="00975689" w:rsidRPr="00A05DFA" w:rsidRDefault="00975689" w:rsidP="00975689">
      <w:pPr>
        <w:pStyle w:val="Corpo"/>
        <w:rPr>
          <w:lang w:val="en-US"/>
        </w:rPr>
      </w:pPr>
      <w:r w:rsidRPr="00A05DFA">
        <w:rPr>
          <w:lang w:val="en-US"/>
        </w:rPr>
        <w:t>Yang DP, Gan LC, Hu HY.</w:t>
      </w:r>
    </w:p>
    <w:p w:rsidR="00975689" w:rsidRPr="00A05DFA" w:rsidRDefault="00975689" w:rsidP="00975689">
      <w:pPr>
        <w:pStyle w:val="Corpo"/>
        <w:rPr>
          <w:lang w:val="en-US"/>
        </w:rPr>
      </w:pPr>
      <w:r w:rsidRPr="00A05DFA">
        <w:rPr>
          <w:lang w:val="en-US"/>
        </w:rPr>
        <w:t>Source</w:t>
      </w:r>
    </w:p>
    <w:p w:rsidR="00975689" w:rsidRPr="00A05DFA" w:rsidRDefault="00975689" w:rsidP="00975689">
      <w:pPr>
        <w:pStyle w:val="Corpo"/>
        <w:rPr>
          <w:lang w:val="en-US"/>
        </w:rPr>
      </w:pPr>
      <w:r w:rsidRPr="00A05DFA">
        <w:rPr>
          <w:lang w:val="en-US"/>
        </w:rPr>
        <w:t>Laboratory of Pharmacognosy and Natural Medicinal Chemistry, School of Pharmacy, Sun Yat Sen University, Guangzhou, Guangdong Province 510275, China. ls39@zsu.edu.cn</w:t>
      </w:r>
    </w:p>
    <w:p w:rsidR="00975689" w:rsidRPr="00A05DFA" w:rsidRDefault="00975689" w:rsidP="00975689">
      <w:pPr>
        <w:pStyle w:val="Corpo"/>
        <w:rPr>
          <w:lang w:val="en-US"/>
        </w:rPr>
      </w:pPr>
      <w:r w:rsidRPr="00A05DFA">
        <w:rPr>
          <w:lang w:val="en-US"/>
        </w:rPr>
        <w:t>Abstract</w:t>
      </w:r>
    </w:p>
    <w:p w:rsidR="00975689" w:rsidRPr="00A05DFA" w:rsidRDefault="00975689" w:rsidP="00975689">
      <w:pPr>
        <w:pStyle w:val="Corpo"/>
        <w:rPr>
          <w:lang w:val="en-US"/>
        </w:rPr>
      </w:pPr>
      <w:r w:rsidRPr="00A05DFA">
        <w:rPr>
          <w:lang w:val="en-US"/>
        </w:rPr>
        <w:t>The development of molecular pharmacology and neuropharmacology accelerated the studies on molecular mechanism of Hypericum perforatum for depression. The clinical trials indicated that this galenical was superior to the traditional synthetic drugs for antidepression. This preparation had good tolerability and safety. Clinical pharmacokinetics and pharmacodynamics provided further evidence for clinical application of Hypericum. The clinical efficacy of Hypericum for depression was notable and credible.</w:t>
      </w:r>
    </w:p>
    <w:p w:rsidR="00975689" w:rsidRDefault="00975689" w:rsidP="00975689">
      <w:pPr>
        <w:pStyle w:val="Corpo"/>
        <w:rPr>
          <w:lang w:val="en-US"/>
        </w:rPr>
      </w:pPr>
      <w:r w:rsidRPr="00A05DFA">
        <w:rPr>
          <w:lang w:val="en-US"/>
        </w:rPr>
        <w:t>PMID: 15339458 [PubMed - indexed for MEDLINE]</w:t>
      </w:r>
    </w:p>
    <w:p w:rsidR="00975689" w:rsidRDefault="00975689" w:rsidP="00975689">
      <w:pPr>
        <w:pStyle w:val="Corpo"/>
        <w:rPr>
          <w:lang w:val="en-US"/>
        </w:rPr>
      </w:pPr>
    </w:p>
    <w:p w:rsidR="00975689" w:rsidRDefault="00975689" w:rsidP="00975689">
      <w:pPr>
        <w:pStyle w:val="Corpo"/>
        <w:rPr>
          <w:lang w:val="en-US"/>
        </w:rPr>
      </w:pPr>
    </w:p>
    <w:p w:rsidR="00975689" w:rsidRDefault="00975689" w:rsidP="00975689">
      <w:pPr>
        <w:pStyle w:val="Corpo"/>
        <w:rPr>
          <w:lang w:val="en-US"/>
        </w:rPr>
      </w:pPr>
    </w:p>
    <w:p w:rsidR="00975689" w:rsidRPr="0074042E" w:rsidRDefault="00975689" w:rsidP="00975689">
      <w:pPr>
        <w:pStyle w:val="Corpo"/>
      </w:pPr>
      <w:r w:rsidRPr="0074042E">
        <w:t>Eur J Nutr. 2005 Mar;44(2):128-32. Epub 2004 Nov 2.</w:t>
      </w:r>
    </w:p>
    <w:p w:rsidR="00975689" w:rsidRPr="00A05DFA" w:rsidRDefault="00975689" w:rsidP="00975689">
      <w:pPr>
        <w:pStyle w:val="Corpo"/>
        <w:rPr>
          <w:b/>
          <w:lang w:val="en-US"/>
        </w:rPr>
      </w:pPr>
      <w:r w:rsidRPr="00A05DFA">
        <w:rPr>
          <w:b/>
          <w:lang w:val="en-US"/>
        </w:rPr>
        <w:t>Effects of a tryptic hydrolysate from bovine milk alphaS1-casein on hemodynamic responses in healthy human volunteers facing successive mental and physical stress situations.</w:t>
      </w:r>
    </w:p>
    <w:p w:rsidR="00975689" w:rsidRPr="00A05DFA" w:rsidRDefault="00975689" w:rsidP="00975689">
      <w:pPr>
        <w:pStyle w:val="Corpo"/>
        <w:rPr>
          <w:lang w:val="en-US"/>
        </w:rPr>
      </w:pPr>
      <w:r w:rsidRPr="00A05DFA">
        <w:rPr>
          <w:lang w:val="en-US"/>
        </w:rPr>
        <w:t>Messaoudi M, Lefranc-Millot C, Desor D, Demagny B, Bourdon L.</w:t>
      </w:r>
    </w:p>
    <w:p w:rsidR="00975689" w:rsidRPr="00A05DFA" w:rsidRDefault="00975689" w:rsidP="00975689">
      <w:pPr>
        <w:pStyle w:val="Corpo"/>
        <w:rPr>
          <w:lang w:val="en-US"/>
        </w:rPr>
      </w:pPr>
      <w:r w:rsidRPr="00A05DFA">
        <w:rPr>
          <w:lang w:val="en-US"/>
        </w:rPr>
        <w:t>Source</w:t>
      </w:r>
    </w:p>
    <w:p w:rsidR="00975689" w:rsidRPr="00A05DFA" w:rsidRDefault="00975689" w:rsidP="00975689">
      <w:pPr>
        <w:pStyle w:val="Corpo"/>
        <w:rPr>
          <w:lang w:val="en-US"/>
        </w:rPr>
      </w:pPr>
      <w:r w:rsidRPr="00A05DFA">
        <w:rPr>
          <w:lang w:val="en-US"/>
        </w:rPr>
        <w:t>ETAP-Applied Ethology 13, rue du Bois de la Champelle, 54500, Vandoeuvre-lès-Nancy, France. etap@etap-lab.com</w:t>
      </w:r>
    </w:p>
    <w:p w:rsidR="00975689" w:rsidRPr="00A05DFA" w:rsidRDefault="00975689" w:rsidP="00975689">
      <w:pPr>
        <w:pStyle w:val="Corpo"/>
        <w:rPr>
          <w:lang w:val="en-US"/>
        </w:rPr>
      </w:pPr>
      <w:r w:rsidRPr="00A05DFA">
        <w:rPr>
          <w:lang w:val="en-US"/>
        </w:rPr>
        <w:t>Abstract</w:t>
      </w:r>
    </w:p>
    <w:p w:rsidR="00975689" w:rsidRPr="00A05DFA" w:rsidRDefault="00975689" w:rsidP="00975689">
      <w:pPr>
        <w:pStyle w:val="Corpo"/>
        <w:rPr>
          <w:lang w:val="en-US"/>
        </w:rPr>
      </w:pPr>
      <w:r w:rsidRPr="00A05DFA">
        <w:rPr>
          <w:lang w:val="en-US"/>
        </w:rPr>
        <w:t>BACKGROUND:</w:t>
      </w:r>
    </w:p>
    <w:p w:rsidR="00975689" w:rsidRPr="00A05DFA" w:rsidRDefault="00975689" w:rsidP="00975689">
      <w:pPr>
        <w:pStyle w:val="Corpo"/>
        <w:rPr>
          <w:lang w:val="en-US"/>
        </w:rPr>
      </w:pPr>
      <w:r w:rsidRPr="00A05DFA">
        <w:rPr>
          <w:lang w:val="en-US"/>
        </w:rPr>
        <w:t>Preclinical results in rats have demonstrated anxiolytic-like effects of a tryptic bovine alphaS1-casein hydrolysate.</w:t>
      </w:r>
    </w:p>
    <w:p w:rsidR="00975689" w:rsidRPr="00A05DFA" w:rsidRDefault="00975689" w:rsidP="00975689">
      <w:pPr>
        <w:pStyle w:val="Corpo"/>
        <w:rPr>
          <w:lang w:val="en-US"/>
        </w:rPr>
      </w:pPr>
      <w:r w:rsidRPr="00A05DFA">
        <w:rPr>
          <w:lang w:val="en-US"/>
        </w:rPr>
        <w:t>AIM OF THE STUDY:</w:t>
      </w:r>
    </w:p>
    <w:p w:rsidR="00975689" w:rsidRPr="00A05DFA" w:rsidRDefault="00975689" w:rsidP="00975689">
      <w:pPr>
        <w:pStyle w:val="Corpo"/>
        <w:rPr>
          <w:lang w:val="en-US"/>
        </w:rPr>
      </w:pPr>
      <w:r w:rsidRPr="00A05DFA">
        <w:rPr>
          <w:lang w:val="en-US"/>
        </w:rPr>
        <w:t>We investigated the putative effects of this tryptic hydrolysate on systolic (SBP), diastolic (DBP) blood pressures, heart rate (HR) values and plasma cortisol concentrations (CC) in human healthy volunteers facing successive stress situations.</w:t>
      </w:r>
    </w:p>
    <w:p w:rsidR="00975689" w:rsidRPr="00A05DFA" w:rsidRDefault="00975689" w:rsidP="00975689">
      <w:pPr>
        <w:pStyle w:val="Corpo"/>
        <w:rPr>
          <w:lang w:val="en-US"/>
        </w:rPr>
      </w:pPr>
      <w:r w:rsidRPr="00A05DFA">
        <w:rPr>
          <w:lang w:val="en-US"/>
        </w:rPr>
        <w:t>METHODS:</w:t>
      </w:r>
    </w:p>
    <w:p w:rsidR="00975689" w:rsidRPr="00A05DFA" w:rsidRDefault="00975689" w:rsidP="00975689">
      <w:pPr>
        <w:pStyle w:val="Corpo"/>
        <w:rPr>
          <w:lang w:val="en-US"/>
        </w:rPr>
      </w:pPr>
      <w:r w:rsidRPr="00A05DFA">
        <w:rPr>
          <w:lang w:val="en-US"/>
        </w:rPr>
        <w:t xml:space="preserve">The subjects were (double blind) randomly allocated to ingest three times, 12 hours apart, two capsules containing either 200 mg of alphaS1-casein hydrolysate (TS) or bovine skimmed milk powder as a placebo (CS). On the morning of the test day, a first blood sample for baseline measurement of CC was taken before the subjects were submitted to the Stroop test (ST) and, after a 30-min rest, to a Cold Pressor test (CPT). </w:t>
      </w:r>
      <w:r w:rsidRPr="00A05DFA">
        <w:rPr>
          <w:lang w:val="en-US"/>
        </w:rPr>
        <w:lastRenderedPageBreak/>
        <w:t>SBP, DBP, and HR were continuously recorded for 5 min before the ST and during each stress situation. A second blood sample was taken 15 min after the end of the CPT condition.</w:t>
      </w:r>
    </w:p>
    <w:p w:rsidR="00975689" w:rsidRPr="00A05DFA" w:rsidRDefault="00975689" w:rsidP="00975689">
      <w:pPr>
        <w:pStyle w:val="Corpo"/>
        <w:rPr>
          <w:lang w:val="en-US"/>
        </w:rPr>
      </w:pPr>
      <w:r w:rsidRPr="00A05DFA">
        <w:rPr>
          <w:lang w:val="en-US"/>
        </w:rPr>
        <w:t>RESULTS:</w:t>
      </w:r>
    </w:p>
    <w:p w:rsidR="00975689" w:rsidRPr="00A05DFA" w:rsidRDefault="00975689" w:rsidP="00975689">
      <w:pPr>
        <w:pStyle w:val="Corpo"/>
        <w:rPr>
          <w:lang w:val="en-US"/>
        </w:rPr>
      </w:pPr>
      <w:r w:rsidRPr="00A05DFA">
        <w:rPr>
          <w:lang w:val="en-US"/>
        </w:rPr>
        <w:t>ST and ST + CPT combined test situations increased SBP, DBP and HR. The significant "Treatment x SBP" and "Treatment x DBP" interactions indicated the lower percentage changes in SBP and DBP of the TS. In addition, the results showed a significant decrease of the CC in the TS but not in the CS throughout the ST + CPT combined stress tests. HR remained stable in TS between the initial rest period and the CPT unlike what happened in CS.</w:t>
      </w:r>
    </w:p>
    <w:p w:rsidR="00975689" w:rsidRPr="00A05DFA" w:rsidRDefault="00975689" w:rsidP="00975689">
      <w:pPr>
        <w:pStyle w:val="Corpo"/>
        <w:rPr>
          <w:lang w:val="en-US"/>
        </w:rPr>
      </w:pPr>
      <w:r w:rsidRPr="00A05DFA">
        <w:rPr>
          <w:lang w:val="en-US"/>
        </w:rPr>
        <w:t>CONCLUSION:</w:t>
      </w:r>
    </w:p>
    <w:p w:rsidR="00975689" w:rsidRPr="00A05DFA" w:rsidRDefault="00975689" w:rsidP="00975689">
      <w:pPr>
        <w:pStyle w:val="Corpo"/>
        <w:rPr>
          <w:lang w:val="en-US"/>
        </w:rPr>
      </w:pPr>
      <w:r w:rsidRPr="00A05DFA">
        <w:rPr>
          <w:lang w:val="en-US"/>
        </w:rPr>
        <w:t>On the basis of blood pressure and cortisol changes, these results suggest an antistress profile of this alphaS1-casein hydrolysate in human subjects.</w:t>
      </w:r>
    </w:p>
    <w:p w:rsidR="00975689" w:rsidRPr="00D655ED" w:rsidRDefault="00975689" w:rsidP="00975689">
      <w:pPr>
        <w:pStyle w:val="Corpo"/>
        <w:rPr>
          <w:lang w:val="en-US"/>
        </w:rPr>
      </w:pPr>
      <w:r w:rsidRPr="00A05DFA">
        <w:rPr>
          <w:lang w:val="en-US"/>
        </w:rPr>
        <w:t>PMID: 15517308 [PubMed - indexed for MEDLINE]</w:t>
      </w:r>
    </w:p>
    <w:p w:rsidR="00975689" w:rsidRDefault="00975689" w:rsidP="00975689">
      <w:pPr>
        <w:pStyle w:val="Corpo"/>
        <w:rPr>
          <w:lang w:val="en-US"/>
        </w:rPr>
      </w:pPr>
    </w:p>
    <w:p w:rsidR="00975689" w:rsidRPr="00975689" w:rsidRDefault="00935914" w:rsidP="00975689">
      <w:pPr>
        <w:pStyle w:val="Corpo"/>
      </w:pPr>
      <w:hyperlink r:id="rId8" w:tooltip="Acta biochimica Polonica." w:history="1">
        <w:r w:rsidR="00975689" w:rsidRPr="00E973BC">
          <w:rPr>
            <w:rStyle w:val="Hyperlink"/>
            <w:color w:val="808080" w:themeColor="background1" w:themeShade="80"/>
            <w:szCs w:val="20"/>
            <w:u w:val="none"/>
          </w:rPr>
          <w:t>Acta Biochim Pol.</w:t>
        </w:r>
      </w:hyperlink>
      <w:r w:rsidR="00975689" w:rsidRPr="00E973BC">
        <w:rPr>
          <w:rStyle w:val="apple-converted-space"/>
          <w:szCs w:val="20"/>
        </w:rPr>
        <w:t> </w:t>
      </w:r>
      <w:r w:rsidR="00975689" w:rsidRPr="00E973BC">
        <w:t>2010;57(</w:t>
      </w:r>
      <w:r w:rsidR="00975689" w:rsidRPr="00E973BC">
        <w:rPr>
          <w:rStyle w:val="highlight"/>
          <w:szCs w:val="20"/>
        </w:rPr>
        <w:t>4</w:t>
      </w:r>
      <w:r w:rsidR="00975689" w:rsidRPr="00E973BC">
        <w:t xml:space="preserve">):585-8. </w:t>
      </w:r>
      <w:r w:rsidR="00975689" w:rsidRPr="00975689">
        <w:t>Epub 2010 Dec 10.</w:t>
      </w:r>
    </w:p>
    <w:p w:rsidR="00975689" w:rsidRPr="00C15160" w:rsidRDefault="00975689" w:rsidP="00975689">
      <w:pPr>
        <w:pStyle w:val="Corpo"/>
        <w:rPr>
          <w:b/>
          <w:szCs w:val="30"/>
          <w:lang w:val="en-US"/>
        </w:rPr>
      </w:pPr>
      <w:r w:rsidRPr="00C15160">
        <w:rPr>
          <w:b/>
          <w:szCs w:val="30"/>
          <w:lang w:val="en-US"/>
        </w:rPr>
        <w:t>Adult-type hypolactasia and lactose malabsorption in Poland.</w:t>
      </w:r>
    </w:p>
    <w:p w:rsidR="00975689" w:rsidRPr="00C15160" w:rsidRDefault="00935914" w:rsidP="00975689">
      <w:pPr>
        <w:pStyle w:val="Corpo"/>
        <w:rPr>
          <w:lang w:val="en-US"/>
        </w:rPr>
      </w:pPr>
      <w:hyperlink r:id="rId9" w:history="1">
        <w:r w:rsidR="00975689" w:rsidRPr="00C15160">
          <w:rPr>
            <w:rStyle w:val="Hyperlink"/>
            <w:color w:val="808080" w:themeColor="background1" w:themeShade="80"/>
            <w:u w:val="none"/>
            <w:lang w:val="en-US"/>
          </w:rPr>
          <w:t>M</w:t>
        </w:r>
        <w:r w:rsidR="00975689" w:rsidRPr="00C15160">
          <w:rPr>
            <w:rStyle w:val="Hyperlink"/>
            <w:rFonts w:ascii="Arial" w:hAnsi="Arial" w:cs="Arial"/>
            <w:color w:val="808080" w:themeColor="background1" w:themeShade="80"/>
            <w:u w:val="none"/>
            <w:lang w:val="en-US"/>
          </w:rPr>
          <w:t>ą</w:t>
        </w:r>
        <w:r w:rsidR="00975689" w:rsidRPr="00C15160">
          <w:rPr>
            <w:rStyle w:val="Hyperlink"/>
            <w:rFonts w:cs="Futura Lt BT"/>
            <w:color w:val="808080" w:themeColor="background1" w:themeShade="80"/>
            <w:u w:val="none"/>
            <w:lang w:val="en-US"/>
          </w:rPr>
          <w:t>dry E</w:t>
        </w:r>
      </w:hyperlink>
      <w:r w:rsidR="00975689" w:rsidRPr="00C15160">
        <w:rPr>
          <w:szCs w:val="19"/>
          <w:lang w:val="en-US"/>
        </w:rPr>
        <w:t>1</w:t>
      </w:r>
      <w:r w:rsidR="00975689" w:rsidRPr="00C15160">
        <w:rPr>
          <w:lang w:val="en-US"/>
        </w:rPr>
        <w:t>,</w:t>
      </w:r>
      <w:r w:rsidR="00975689" w:rsidRPr="00C15160">
        <w:rPr>
          <w:rStyle w:val="apple-converted-space"/>
          <w:lang w:val="en-US"/>
        </w:rPr>
        <w:t> </w:t>
      </w:r>
      <w:hyperlink r:id="rId10" w:history="1">
        <w:r w:rsidR="00975689" w:rsidRPr="00C15160">
          <w:rPr>
            <w:rStyle w:val="Hyperlink"/>
            <w:color w:val="808080" w:themeColor="background1" w:themeShade="80"/>
            <w:u w:val="none"/>
            <w:lang w:val="en-US"/>
          </w:rPr>
          <w:t>Lisowska A</w:t>
        </w:r>
      </w:hyperlink>
      <w:r w:rsidR="00975689" w:rsidRPr="00C15160">
        <w:rPr>
          <w:lang w:val="en-US"/>
        </w:rPr>
        <w:t>,</w:t>
      </w:r>
      <w:r w:rsidR="00975689" w:rsidRPr="00C15160">
        <w:rPr>
          <w:rStyle w:val="apple-converted-space"/>
          <w:lang w:val="en-US"/>
        </w:rPr>
        <w:t> </w:t>
      </w:r>
      <w:hyperlink r:id="rId11" w:history="1">
        <w:r w:rsidR="00975689" w:rsidRPr="00C15160">
          <w:rPr>
            <w:rStyle w:val="Hyperlink"/>
            <w:color w:val="808080" w:themeColor="background1" w:themeShade="80"/>
            <w:u w:val="none"/>
            <w:lang w:val="en-US"/>
          </w:rPr>
          <w:t>Kwiecie</w:t>
        </w:r>
        <w:r w:rsidR="00975689" w:rsidRPr="00C15160">
          <w:rPr>
            <w:rStyle w:val="Hyperlink"/>
            <w:rFonts w:ascii="Arial" w:hAnsi="Arial" w:cs="Arial"/>
            <w:color w:val="808080" w:themeColor="background1" w:themeShade="80"/>
            <w:u w:val="none"/>
            <w:lang w:val="en-US"/>
          </w:rPr>
          <w:t>ń</w:t>
        </w:r>
        <w:r w:rsidR="00975689" w:rsidRPr="00C15160">
          <w:rPr>
            <w:rStyle w:val="Hyperlink"/>
            <w:rFonts w:cs="Futura Lt BT"/>
            <w:color w:val="808080" w:themeColor="background1" w:themeShade="80"/>
            <w:u w:val="none"/>
            <w:lang w:val="en-US"/>
          </w:rPr>
          <w:t xml:space="preserve"> J</w:t>
        </w:r>
      </w:hyperlink>
      <w:r w:rsidR="00975689" w:rsidRPr="00C15160">
        <w:rPr>
          <w:lang w:val="en-US"/>
        </w:rPr>
        <w:t>,</w:t>
      </w:r>
      <w:r w:rsidR="00975689" w:rsidRPr="00C15160">
        <w:rPr>
          <w:rStyle w:val="apple-converted-space"/>
          <w:lang w:val="en-US"/>
        </w:rPr>
        <w:t> </w:t>
      </w:r>
      <w:hyperlink r:id="rId12" w:history="1">
        <w:r w:rsidR="00975689" w:rsidRPr="00C15160">
          <w:rPr>
            <w:rStyle w:val="Hyperlink"/>
            <w:color w:val="808080" w:themeColor="background1" w:themeShade="80"/>
            <w:u w:val="none"/>
            <w:lang w:val="en-US"/>
          </w:rPr>
          <w:t>Marciniak R</w:t>
        </w:r>
      </w:hyperlink>
      <w:r w:rsidR="00975689" w:rsidRPr="00C15160">
        <w:rPr>
          <w:lang w:val="en-US"/>
        </w:rPr>
        <w:t>,</w:t>
      </w:r>
      <w:r w:rsidR="00975689" w:rsidRPr="00C15160">
        <w:rPr>
          <w:rStyle w:val="apple-converted-space"/>
          <w:lang w:val="en-US"/>
        </w:rPr>
        <w:t> </w:t>
      </w:r>
      <w:hyperlink r:id="rId13" w:history="1">
        <w:r w:rsidR="00975689" w:rsidRPr="00C15160">
          <w:rPr>
            <w:rStyle w:val="Hyperlink"/>
            <w:color w:val="808080" w:themeColor="background1" w:themeShade="80"/>
            <w:u w:val="none"/>
            <w:lang w:val="en-US"/>
          </w:rPr>
          <w:t>Korzon-Burakowska A</w:t>
        </w:r>
      </w:hyperlink>
      <w:r w:rsidR="00975689" w:rsidRPr="00C15160">
        <w:rPr>
          <w:lang w:val="en-US"/>
        </w:rPr>
        <w:t>,</w:t>
      </w:r>
      <w:r w:rsidR="00975689" w:rsidRPr="00C15160">
        <w:rPr>
          <w:rStyle w:val="apple-converted-space"/>
          <w:lang w:val="en-US"/>
        </w:rPr>
        <w:t> </w:t>
      </w:r>
      <w:hyperlink r:id="rId14" w:history="1">
        <w:r w:rsidR="00975689" w:rsidRPr="00C15160">
          <w:rPr>
            <w:rStyle w:val="Hyperlink"/>
            <w:color w:val="808080" w:themeColor="background1" w:themeShade="80"/>
            <w:u w:val="none"/>
            <w:lang w:val="en-US"/>
          </w:rPr>
          <w:t>Drzymała-Czy</w:t>
        </w:r>
        <w:r w:rsidR="00975689" w:rsidRPr="00C15160">
          <w:rPr>
            <w:rStyle w:val="Hyperlink"/>
            <w:rFonts w:ascii="Arial" w:hAnsi="Arial" w:cs="Arial"/>
            <w:color w:val="808080" w:themeColor="background1" w:themeShade="80"/>
            <w:u w:val="none"/>
            <w:lang w:val="en-US"/>
          </w:rPr>
          <w:t>ż</w:t>
        </w:r>
        <w:r w:rsidR="00975689" w:rsidRPr="00C15160">
          <w:rPr>
            <w:rStyle w:val="Hyperlink"/>
            <w:rFonts w:cs="Futura Lt BT"/>
            <w:color w:val="808080" w:themeColor="background1" w:themeShade="80"/>
            <w:u w:val="none"/>
            <w:lang w:val="en-US"/>
          </w:rPr>
          <w:t xml:space="preserve"> S</w:t>
        </w:r>
      </w:hyperlink>
      <w:r w:rsidR="00975689" w:rsidRPr="00C15160">
        <w:rPr>
          <w:lang w:val="en-US"/>
        </w:rPr>
        <w:t>,</w:t>
      </w:r>
      <w:r w:rsidR="00975689" w:rsidRPr="00C15160">
        <w:rPr>
          <w:rStyle w:val="apple-converted-space"/>
          <w:lang w:val="en-US"/>
        </w:rPr>
        <w:t> </w:t>
      </w:r>
      <w:hyperlink r:id="rId15" w:history="1">
        <w:r w:rsidR="00975689" w:rsidRPr="00C15160">
          <w:rPr>
            <w:rStyle w:val="Hyperlink"/>
            <w:color w:val="808080" w:themeColor="background1" w:themeShade="80"/>
            <w:u w:val="none"/>
            <w:lang w:val="en-US"/>
          </w:rPr>
          <w:t>Mojs E</w:t>
        </w:r>
      </w:hyperlink>
      <w:r w:rsidR="00975689" w:rsidRPr="00C15160">
        <w:rPr>
          <w:lang w:val="en-US"/>
        </w:rPr>
        <w:t>,</w:t>
      </w:r>
      <w:r w:rsidR="00975689" w:rsidRPr="00C15160">
        <w:rPr>
          <w:rStyle w:val="apple-converted-space"/>
          <w:lang w:val="en-US"/>
        </w:rPr>
        <w:t> </w:t>
      </w:r>
      <w:hyperlink r:id="rId16" w:history="1">
        <w:r w:rsidR="00975689" w:rsidRPr="00C15160">
          <w:rPr>
            <w:rStyle w:val="Hyperlink"/>
            <w:color w:val="808080" w:themeColor="background1" w:themeShade="80"/>
            <w:u w:val="none"/>
            <w:lang w:val="en-US"/>
          </w:rPr>
          <w:t>Walkowiak J</w:t>
        </w:r>
      </w:hyperlink>
      <w:r w:rsidR="00975689" w:rsidRPr="00C15160">
        <w:rPr>
          <w:lang w:val="en-US"/>
        </w:rPr>
        <w:t>.</w:t>
      </w:r>
    </w:p>
    <w:p w:rsidR="00975689" w:rsidRPr="00C15160" w:rsidRDefault="00975689" w:rsidP="00975689">
      <w:pPr>
        <w:pStyle w:val="Corpo"/>
        <w:rPr>
          <w:lang w:val="en-US"/>
        </w:rPr>
      </w:pPr>
      <w:r w:rsidRPr="00C15160">
        <w:rPr>
          <w:lang w:val="en-US"/>
        </w:rPr>
        <w:t>Abstract</w:t>
      </w:r>
    </w:p>
    <w:p w:rsidR="00975689" w:rsidRPr="00C15160" w:rsidRDefault="00975689" w:rsidP="00975689">
      <w:pPr>
        <w:pStyle w:val="Corpo"/>
        <w:rPr>
          <w:lang w:val="en-US"/>
        </w:rPr>
      </w:pPr>
      <w:r w:rsidRPr="00E973BC">
        <w:rPr>
          <w:lang w:val="en-US"/>
        </w:rPr>
        <w:t>BACKGROUND: The available data on the incidence</w:t>
      </w:r>
      <w:r w:rsidRPr="00E973BC">
        <w:rPr>
          <w:rStyle w:val="apple-converted-space"/>
          <w:szCs w:val="20"/>
          <w:lang w:val="en-US"/>
        </w:rPr>
        <w:t> </w:t>
      </w:r>
      <w:r w:rsidRPr="00E973BC">
        <w:rPr>
          <w:rStyle w:val="highlight"/>
          <w:szCs w:val="20"/>
          <w:lang w:val="en-US"/>
        </w:rPr>
        <w:t>of</w:t>
      </w:r>
      <w:r w:rsidRPr="00E973BC">
        <w:rPr>
          <w:rStyle w:val="apple-converted-space"/>
          <w:szCs w:val="20"/>
          <w:lang w:val="en-US"/>
        </w:rPr>
        <w:t> </w:t>
      </w:r>
      <w:r w:rsidRPr="00E973BC">
        <w:rPr>
          <w:lang w:val="en-US"/>
        </w:rPr>
        <w:t xml:space="preserve">lactose malabsorption are contradictory. </w:t>
      </w:r>
      <w:r w:rsidRPr="00C017EB">
        <w:rPr>
          <w:lang w:val="en-US"/>
        </w:rPr>
        <w:t>Potential bias in random selection is a major drawback</w:t>
      </w:r>
      <w:r w:rsidRPr="00C017EB">
        <w:rPr>
          <w:rStyle w:val="apple-converted-space"/>
          <w:szCs w:val="20"/>
          <w:lang w:val="en-US"/>
        </w:rPr>
        <w:t> </w:t>
      </w:r>
      <w:r w:rsidRPr="00C017EB">
        <w:rPr>
          <w:rStyle w:val="highlight"/>
          <w:szCs w:val="20"/>
          <w:lang w:val="en-US"/>
        </w:rPr>
        <w:t>of</w:t>
      </w:r>
      <w:r w:rsidRPr="00C017EB">
        <w:rPr>
          <w:rStyle w:val="apple-converted-space"/>
          <w:szCs w:val="20"/>
          <w:lang w:val="en-US"/>
        </w:rPr>
        <w:t> </w:t>
      </w:r>
      <w:r w:rsidRPr="00C017EB">
        <w:rPr>
          <w:lang w:val="en-US"/>
        </w:rPr>
        <w:t>studies performed to-date. Moreover, molecular analysis</w:t>
      </w:r>
      <w:r w:rsidRPr="00C017EB">
        <w:rPr>
          <w:rStyle w:val="apple-converted-space"/>
          <w:szCs w:val="20"/>
          <w:lang w:val="en-US"/>
        </w:rPr>
        <w:t> </w:t>
      </w:r>
      <w:r w:rsidRPr="00C017EB">
        <w:rPr>
          <w:rStyle w:val="highlight"/>
          <w:szCs w:val="20"/>
          <w:lang w:val="en-US"/>
        </w:rPr>
        <w:t>of</w:t>
      </w:r>
      <w:r w:rsidRPr="00C017EB">
        <w:rPr>
          <w:rStyle w:val="apple-converted-space"/>
          <w:szCs w:val="20"/>
          <w:lang w:val="en-US"/>
        </w:rPr>
        <w:t> </w:t>
      </w:r>
      <w:r w:rsidRPr="00C017EB">
        <w:rPr>
          <w:lang w:val="en-US"/>
        </w:rPr>
        <w:t>polymorphism -13910 C&gt;T upstream</w:t>
      </w:r>
      <w:r w:rsidRPr="00C017EB">
        <w:rPr>
          <w:rStyle w:val="apple-converted-space"/>
          <w:szCs w:val="20"/>
          <w:lang w:val="en-US"/>
        </w:rPr>
        <w:t> </w:t>
      </w:r>
      <w:r w:rsidRPr="00C017EB">
        <w:rPr>
          <w:rStyle w:val="highlight"/>
          <w:szCs w:val="20"/>
          <w:lang w:val="en-US"/>
        </w:rPr>
        <w:t>of</w:t>
      </w:r>
      <w:r w:rsidRPr="00C017EB">
        <w:rPr>
          <w:rStyle w:val="apple-converted-space"/>
          <w:szCs w:val="20"/>
          <w:lang w:val="en-US"/>
        </w:rPr>
        <w:t> </w:t>
      </w:r>
      <w:r w:rsidRPr="00C017EB">
        <w:rPr>
          <w:lang w:val="en-US"/>
        </w:rPr>
        <w:t>the lactase (LCT) gene (NM_005915.</w:t>
      </w:r>
      <w:r w:rsidRPr="00C017EB">
        <w:rPr>
          <w:rStyle w:val="highlight"/>
          <w:szCs w:val="20"/>
          <w:lang w:val="en-US"/>
        </w:rPr>
        <w:t>4</w:t>
      </w:r>
      <w:r w:rsidRPr="00C017EB">
        <w:rPr>
          <w:lang w:val="en-US"/>
        </w:rPr>
        <w:t xml:space="preserve">:c.1917+326C&gt;T; rs4988235) has not been reported in those studies. </w:t>
      </w:r>
      <w:r w:rsidRPr="00C15160">
        <w:rPr>
          <w:lang w:val="en-US"/>
        </w:rPr>
        <w:t>Therefore, in this study we aimed to assess genetic predisposition and clinical manifestation</w:t>
      </w:r>
      <w:r w:rsidRPr="00C15160">
        <w:rPr>
          <w:rStyle w:val="apple-converted-space"/>
          <w:szCs w:val="20"/>
          <w:lang w:val="en-US"/>
        </w:rPr>
        <w:t> </w:t>
      </w:r>
      <w:r w:rsidRPr="00C15160">
        <w:rPr>
          <w:rStyle w:val="highlight"/>
          <w:szCs w:val="20"/>
          <w:lang w:val="en-US"/>
        </w:rPr>
        <w:t>of</w:t>
      </w:r>
      <w:r w:rsidRPr="00C15160">
        <w:rPr>
          <w:rStyle w:val="apple-converted-space"/>
          <w:szCs w:val="20"/>
          <w:lang w:val="en-US"/>
        </w:rPr>
        <w:t> </w:t>
      </w:r>
      <w:r w:rsidRPr="00C15160">
        <w:rPr>
          <w:lang w:val="en-US"/>
        </w:rPr>
        <w:t>adult-type hypolactasia (ATH).</w:t>
      </w:r>
    </w:p>
    <w:p w:rsidR="00975689" w:rsidRPr="00C15160" w:rsidRDefault="00975689" w:rsidP="00975689">
      <w:pPr>
        <w:pStyle w:val="Corpo"/>
        <w:rPr>
          <w:lang w:val="en-US"/>
        </w:rPr>
      </w:pPr>
      <w:r w:rsidRPr="00E973BC">
        <w:rPr>
          <w:lang w:val="en-US"/>
        </w:rPr>
        <w:t>PATIENTS AND METHODS: In two-hundred randomly chosen healthy subjects (HS) aged from 18 to 20 years, the presence</w:t>
      </w:r>
      <w:r w:rsidRPr="00E973BC">
        <w:rPr>
          <w:rStyle w:val="highlight"/>
          <w:szCs w:val="20"/>
          <w:lang w:val="en-US"/>
        </w:rPr>
        <w:t>of</w:t>
      </w:r>
      <w:r w:rsidRPr="00E973BC">
        <w:rPr>
          <w:rStyle w:val="apple-converted-space"/>
          <w:szCs w:val="20"/>
          <w:lang w:val="en-US"/>
        </w:rPr>
        <w:t> </w:t>
      </w:r>
      <w:r w:rsidRPr="00E973BC">
        <w:rPr>
          <w:lang w:val="en-US"/>
        </w:rPr>
        <w:t>-13910 C&gt;T polymorphic variants upstream</w:t>
      </w:r>
      <w:r w:rsidRPr="00E973BC">
        <w:rPr>
          <w:rStyle w:val="apple-converted-space"/>
          <w:szCs w:val="20"/>
          <w:lang w:val="en-US"/>
        </w:rPr>
        <w:t> </w:t>
      </w:r>
      <w:r w:rsidRPr="00E973BC">
        <w:rPr>
          <w:rStyle w:val="highlight"/>
          <w:szCs w:val="20"/>
          <w:lang w:val="en-US"/>
        </w:rPr>
        <w:t>of</w:t>
      </w:r>
      <w:r w:rsidRPr="00E973BC">
        <w:rPr>
          <w:rStyle w:val="apple-converted-space"/>
          <w:szCs w:val="20"/>
          <w:lang w:val="en-US"/>
        </w:rPr>
        <w:t> </w:t>
      </w:r>
      <w:r w:rsidRPr="00E973BC">
        <w:rPr>
          <w:lang w:val="en-US"/>
        </w:rPr>
        <w:t xml:space="preserve">the LCT gene was assessed. </w:t>
      </w:r>
      <w:r w:rsidRPr="00C15160">
        <w:rPr>
          <w:lang w:val="en-US"/>
        </w:rPr>
        <w:t>In a subgroup</w:t>
      </w:r>
      <w:r w:rsidRPr="00C15160">
        <w:rPr>
          <w:rStyle w:val="apple-converted-space"/>
          <w:szCs w:val="20"/>
          <w:lang w:val="en-US"/>
        </w:rPr>
        <w:t> </w:t>
      </w:r>
      <w:r w:rsidRPr="00C15160">
        <w:rPr>
          <w:rStyle w:val="highlight"/>
          <w:szCs w:val="20"/>
          <w:lang w:val="en-US"/>
        </w:rPr>
        <w:t>of</w:t>
      </w:r>
      <w:r w:rsidRPr="00C15160">
        <w:rPr>
          <w:rStyle w:val="apple-converted-space"/>
          <w:szCs w:val="20"/>
          <w:lang w:val="en-US"/>
        </w:rPr>
        <w:t> </w:t>
      </w:r>
      <w:r w:rsidRPr="00C15160">
        <w:rPr>
          <w:lang w:val="en-US"/>
        </w:rPr>
        <w:t>subjects with genotype predisposing to ATH, hydrogen-methane breath test (BT) with lactose loading was conducted to determine the current state</w:t>
      </w:r>
      <w:r w:rsidRPr="00C15160">
        <w:rPr>
          <w:rStyle w:val="apple-converted-space"/>
          <w:szCs w:val="20"/>
          <w:lang w:val="en-US"/>
        </w:rPr>
        <w:t> </w:t>
      </w:r>
      <w:r w:rsidRPr="00C15160">
        <w:rPr>
          <w:rStyle w:val="highlight"/>
          <w:szCs w:val="20"/>
          <w:lang w:val="en-US"/>
        </w:rPr>
        <w:t>of</w:t>
      </w:r>
      <w:r w:rsidRPr="00C15160">
        <w:rPr>
          <w:lang w:val="en-US"/>
        </w:rPr>
        <w:t>lactase activity. In addition, clinical symptoms typical for lactose malabsorption were assessed using the questionnaire method.</w:t>
      </w:r>
    </w:p>
    <w:p w:rsidR="00975689" w:rsidRPr="00C15160" w:rsidRDefault="00975689" w:rsidP="00975689">
      <w:pPr>
        <w:pStyle w:val="Corpo"/>
        <w:rPr>
          <w:lang w:val="en-US"/>
        </w:rPr>
      </w:pPr>
      <w:r w:rsidRPr="00E973BC">
        <w:rPr>
          <w:lang w:val="en-US"/>
        </w:rPr>
        <w:t>RESULTS: Sixty-three out</w:t>
      </w:r>
      <w:r w:rsidRPr="00E973BC">
        <w:rPr>
          <w:rStyle w:val="apple-converted-space"/>
          <w:szCs w:val="20"/>
          <w:lang w:val="en-US"/>
        </w:rPr>
        <w:t> </w:t>
      </w:r>
      <w:r w:rsidRPr="00E973BC">
        <w:rPr>
          <w:rStyle w:val="highlight"/>
          <w:szCs w:val="20"/>
          <w:lang w:val="en-US"/>
        </w:rPr>
        <w:t>of</w:t>
      </w:r>
      <w:r w:rsidRPr="00E973BC">
        <w:rPr>
          <w:rStyle w:val="apple-converted-space"/>
          <w:szCs w:val="20"/>
          <w:lang w:val="en-US"/>
        </w:rPr>
        <w:t> </w:t>
      </w:r>
      <w:r w:rsidRPr="00E973BC">
        <w:rPr>
          <w:lang w:val="en-US"/>
        </w:rPr>
        <w:t xml:space="preserve">200 (31.5 %) HS had -13910 C/C genotype. </w:t>
      </w:r>
      <w:r w:rsidRPr="00C15160">
        <w:rPr>
          <w:lang w:val="en-US"/>
        </w:rPr>
        <w:t>Thus, genetically determined lactase persistence is expected in the remaining 137 (68.5 %) subjects. Thirteen out</w:t>
      </w:r>
      <w:r w:rsidRPr="00C15160">
        <w:rPr>
          <w:rStyle w:val="apple-converted-space"/>
          <w:szCs w:val="20"/>
          <w:lang w:val="en-US"/>
        </w:rPr>
        <w:t> </w:t>
      </w:r>
      <w:r w:rsidRPr="00C15160">
        <w:rPr>
          <w:rStyle w:val="highlight"/>
          <w:szCs w:val="20"/>
          <w:lang w:val="en-US"/>
        </w:rPr>
        <w:t>of</w:t>
      </w:r>
      <w:r w:rsidRPr="00C15160">
        <w:rPr>
          <w:rStyle w:val="apple-converted-space"/>
          <w:szCs w:val="20"/>
          <w:lang w:val="en-US"/>
        </w:rPr>
        <w:t> </w:t>
      </w:r>
      <w:r w:rsidRPr="00C15160">
        <w:rPr>
          <w:lang w:val="en-US"/>
        </w:rPr>
        <w:t>53 (24.5 %) HS having -13910 C/C genotype were proved to be lactose intolerant. Recalculating the data for the entire studied population it implies the incidence</w:t>
      </w:r>
      <w:r w:rsidRPr="00C15160">
        <w:rPr>
          <w:rStyle w:val="apple-converted-space"/>
          <w:szCs w:val="20"/>
          <w:lang w:val="en-US"/>
        </w:rPr>
        <w:t> </w:t>
      </w:r>
      <w:r w:rsidRPr="00C15160">
        <w:rPr>
          <w:rStyle w:val="highlight"/>
          <w:szCs w:val="20"/>
          <w:lang w:val="en-US"/>
        </w:rPr>
        <w:t>of</w:t>
      </w:r>
      <w:r w:rsidRPr="00C15160">
        <w:rPr>
          <w:rStyle w:val="apple-converted-space"/>
          <w:szCs w:val="20"/>
          <w:lang w:val="en-US"/>
        </w:rPr>
        <w:t> </w:t>
      </w:r>
      <w:r w:rsidRPr="00C15160">
        <w:rPr>
          <w:lang w:val="en-US"/>
        </w:rPr>
        <w:t>lactose malabsorption in 7.7 %</w:t>
      </w:r>
      <w:r w:rsidRPr="00C15160">
        <w:rPr>
          <w:rStyle w:val="apple-converted-space"/>
          <w:szCs w:val="20"/>
          <w:lang w:val="en-US"/>
        </w:rPr>
        <w:t> </w:t>
      </w:r>
      <w:r w:rsidRPr="00C15160">
        <w:rPr>
          <w:rStyle w:val="highlight"/>
          <w:szCs w:val="20"/>
          <w:lang w:val="en-US"/>
        </w:rPr>
        <w:t>of</w:t>
      </w:r>
      <w:r w:rsidRPr="00C15160">
        <w:rPr>
          <w:rStyle w:val="apple-converted-space"/>
          <w:szCs w:val="20"/>
          <w:lang w:val="en-US"/>
        </w:rPr>
        <w:t> </w:t>
      </w:r>
      <w:r w:rsidRPr="00C15160">
        <w:rPr>
          <w:lang w:val="en-US"/>
        </w:rPr>
        <w:t>subjects. Only three out</w:t>
      </w:r>
      <w:r w:rsidRPr="00C15160">
        <w:rPr>
          <w:rStyle w:val="apple-converted-space"/>
          <w:szCs w:val="20"/>
          <w:lang w:val="en-US"/>
        </w:rPr>
        <w:t> </w:t>
      </w:r>
      <w:r w:rsidRPr="00C15160">
        <w:rPr>
          <w:rStyle w:val="highlight"/>
          <w:szCs w:val="20"/>
          <w:lang w:val="en-US"/>
        </w:rPr>
        <w:t>of</w:t>
      </w:r>
      <w:r w:rsidRPr="00C15160">
        <w:rPr>
          <w:rStyle w:val="apple-converted-space"/>
          <w:szCs w:val="20"/>
          <w:lang w:val="en-US"/>
        </w:rPr>
        <w:t> </w:t>
      </w:r>
      <w:r w:rsidRPr="00C15160">
        <w:rPr>
          <w:lang w:val="en-US"/>
        </w:rPr>
        <w:t>13 (23.1 %) subjects with abnormal BT results, reported clinical symptoms related to lactose consumption.</w:t>
      </w:r>
    </w:p>
    <w:p w:rsidR="00975689" w:rsidRPr="00C15160" w:rsidRDefault="00975689" w:rsidP="00975689">
      <w:pPr>
        <w:pStyle w:val="Corpo"/>
        <w:rPr>
          <w:lang w:val="en-US"/>
        </w:rPr>
      </w:pPr>
      <w:r w:rsidRPr="00E973BC">
        <w:rPr>
          <w:lang w:val="en-US"/>
        </w:rPr>
        <w:t>CONCLUSIONS: Significantly lower than previously reported incidence</w:t>
      </w:r>
      <w:r w:rsidRPr="00E973BC">
        <w:rPr>
          <w:rStyle w:val="apple-converted-space"/>
          <w:szCs w:val="20"/>
          <w:lang w:val="en-US"/>
        </w:rPr>
        <w:t> </w:t>
      </w:r>
      <w:r w:rsidRPr="00E973BC">
        <w:rPr>
          <w:rStyle w:val="highlight"/>
          <w:szCs w:val="20"/>
          <w:lang w:val="en-US"/>
        </w:rPr>
        <w:t>of</w:t>
      </w:r>
      <w:r w:rsidRPr="00E973BC">
        <w:rPr>
          <w:rStyle w:val="apple-converted-space"/>
          <w:szCs w:val="20"/>
          <w:lang w:val="en-US"/>
        </w:rPr>
        <w:t> </w:t>
      </w:r>
      <w:r w:rsidRPr="00E973BC">
        <w:rPr>
          <w:lang w:val="en-US"/>
        </w:rPr>
        <w:t xml:space="preserve">clinically detectable lactose malabsorption in young healthy adults in Poland has been documented. </w:t>
      </w:r>
      <w:r w:rsidRPr="00C15160">
        <w:rPr>
          <w:lang w:val="en-US"/>
        </w:rPr>
        <w:t>The -13910 C/C genotype upstream</w:t>
      </w:r>
      <w:r w:rsidRPr="00C15160">
        <w:rPr>
          <w:rStyle w:val="apple-converted-space"/>
          <w:szCs w:val="20"/>
          <w:lang w:val="en-US"/>
        </w:rPr>
        <w:t> </w:t>
      </w:r>
      <w:r w:rsidRPr="00C15160">
        <w:rPr>
          <w:rStyle w:val="highlight"/>
          <w:szCs w:val="20"/>
          <w:lang w:val="en-US"/>
        </w:rPr>
        <w:t>of</w:t>
      </w:r>
      <w:r w:rsidRPr="00C15160">
        <w:rPr>
          <w:rStyle w:val="apple-converted-space"/>
          <w:szCs w:val="20"/>
          <w:lang w:val="en-US"/>
        </w:rPr>
        <w:t> </w:t>
      </w:r>
      <w:r w:rsidRPr="00C15160">
        <w:rPr>
          <w:lang w:val="en-US"/>
        </w:rPr>
        <w:t xml:space="preserve">the LCT gene indicates a </w:t>
      </w:r>
      <w:r w:rsidRPr="00C15160">
        <w:rPr>
          <w:lang w:val="en-US"/>
        </w:rPr>
        <w:lastRenderedPageBreak/>
        <w:t>predisposition to ATH, but definitely does not define the current ability to tolerate lactose.</w:t>
      </w:r>
    </w:p>
    <w:p w:rsidR="00975689" w:rsidRPr="00E973BC" w:rsidRDefault="00975689" w:rsidP="00975689">
      <w:pPr>
        <w:pStyle w:val="Corpo"/>
        <w:rPr>
          <w:rStyle w:val="apple-converted-space"/>
          <w:szCs w:val="17"/>
          <w:lang w:val="en-US"/>
        </w:rPr>
      </w:pPr>
      <w:r w:rsidRPr="00E973BC">
        <w:rPr>
          <w:szCs w:val="17"/>
          <w:lang w:val="en-US"/>
        </w:rPr>
        <w:t>PMID:</w:t>
      </w:r>
      <w:r w:rsidRPr="00E973BC">
        <w:rPr>
          <w:rStyle w:val="apple-converted-space"/>
          <w:szCs w:val="17"/>
          <w:lang w:val="en-US"/>
        </w:rPr>
        <w:t> </w:t>
      </w:r>
      <w:r w:rsidRPr="00E973BC">
        <w:rPr>
          <w:szCs w:val="17"/>
          <w:lang w:val="en-US"/>
        </w:rPr>
        <w:t>21152447</w:t>
      </w:r>
      <w:r w:rsidRPr="00E973BC">
        <w:rPr>
          <w:rStyle w:val="apple-converted-space"/>
          <w:szCs w:val="17"/>
          <w:lang w:val="en-US"/>
        </w:rPr>
        <w:t> </w:t>
      </w:r>
      <w:r w:rsidRPr="00E973BC">
        <w:rPr>
          <w:szCs w:val="17"/>
          <w:lang w:val="en-US"/>
        </w:rPr>
        <w:t>[PubMed - indexed for MEDLINE]</w:t>
      </w:r>
      <w:r w:rsidRPr="00E973BC">
        <w:rPr>
          <w:rStyle w:val="apple-converted-space"/>
          <w:szCs w:val="17"/>
          <w:lang w:val="en-US"/>
        </w:rPr>
        <w:t> </w:t>
      </w:r>
    </w:p>
    <w:p w:rsidR="00975689" w:rsidRPr="00E973BC" w:rsidRDefault="00975689" w:rsidP="00975689">
      <w:pPr>
        <w:pStyle w:val="Corpo"/>
        <w:rPr>
          <w:rStyle w:val="apple-converted-space"/>
          <w:szCs w:val="17"/>
          <w:lang w:val="en-US"/>
        </w:rPr>
      </w:pPr>
    </w:p>
    <w:p w:rsidR="00975689" w:rsidRPr="00E973BC" w:rsidRDefault="00975689" w:rsidP="00975689">
      <w:pPr>
        <w:pStyle w:val="Corpo"/>
        <w:rPr>
          <w:szCs w:val="17"/>
          <w:lang w:val="en-US"/>
        </w:rPr>
      </w:pPr>
    </w:p>
    <w:p w:rsidR="00975689" w:rsidRPr="00C15160" w:rsidRDefault="00935914" w:rsidP="00975689">
      <w:pPr>
        <w:pStyle w:val="Corpo"/>
        <w:rPr>
          <w:lang w:val="en-US"/>
        </w:rPr>
      </w:pPr>
      <w:hyperlink r:id="rId17" w:tooltip="European review for medical and pharmacological sciences." w:history="1">
        <w:r w:rsidR="00975689" w:rsidRPr="00C017EB">
          <w:rPr>
            <w:rStyle w:val="Hyperlink"/>
            <w:color w:val="808080" w:themeColor="background1" w:themeShade="80"/>
            <w:szCs w:val="20"/>
            <w:u w:val="none"/>
            <w:lang w:val="en-US"/>
          </w:rPr>
          <w:t>Eur Rev Med Pharmacol Sci.</w:t>
        </w:r>
      </w:hyperlink>
      <w:r w:rsidR="00975689" w:rsidRPr="00C017EB">
        <w:rPr>
          <w:rStyle w:val="apple-converted-space"/>
          <w:szCs w:val="20"/>
          <w:lang w:val="en-US"/>
        </w:rPr>
        <w:t> </w:t>
      </w:r>
      <w:r w:rsidR="00975689" w:rsidRPr="00C15160">
        <w:rPr>
          <w:lang w:val="en-US"/>
        </w:rPr>
        <w:t>2010 Mar;14(3):163-70.</w:t>
      </w:r>
    </w:p>
    <w:p w:rsidR="00975689" w:rsidRPr="00C017EB" w:rsidRDefault="00975689" w:rsidP="00975689">
      <w:pPr>
        <w:pStyle w:val="Corpo"/>
        <w:rPr>
          <w:b/>
          <w:szCs w:val="30"/>
          <w:lang w:val="en-US"/>
        </w:rPr>
      </w:pPr>
      <w:r w:rsidRPr="00C017EB">
        <w:rPr>
          <w:b/>
          <w:szCs w:val="30"/>
          <w:lang w:val="en-US"/>
        </w:rPr>
        <w:t>The effect</w:t>
      </w:r>
      <w:r w:rsidRPr="00C017EB">
        <w:rPr>
          <w:rStyle w:val="apple-converted-space"/>
          <w:b/>
          <w:szCs w:val="30"/>
          <w:lang w:val="en-US"/>
        </w:rPr>
        <w:t> </w:t>
      </w:r>
      <w:r w:rsidRPr="00C017EB">
        <w:rPr>
          <w:rStyle w:val="highlight"/>
          <w:b/>
          <w:szCs w:val="30"/>
          <w:lang w:val="en-US"/>
        </w:rPr>
        <w:t>of</w:t>
      </w:r>
      <w:r w:rsidRPr="00C017EB">
        <w:rPr>
          <w:rStyle w:val="apple-converted-space"/>
          <w:b/>
          <w:szCs w:val="30"/>
          <w:lang w:val="en-US"/>
        </w:rPr>
        <w:t> </w:t>
      </w:r>
      <w:r w:rsidRPr="00C017EB">
        <w:rPr>
          <w:b/>
          <w:szCs w:val="30"/>
          <w:lang w:val="en-US"/>
        </w:rPr>
        <w:t>oral supplementation with Lactobacillus reuteri or tilactase in lactose intolerant patients: randomized trial.</w:t>
      </w:r>
    </w:p>
    <w:p w:rsidR="00975689" w:rsidRPr="00E973BC" w:rsidRDefault="00935914" w:rsidP="00975689">
      <w:pPr>
        <w:pStyle w:val="Corpo"/>
      </w:pPr>
      <w:hyperlink r:id="rId18" w:history="1">
        <w:r w:rsidR="00975689" w:rsidRPr="00E973BC">
          <w:rPr>
            <w:rStyle w:val="Hyperlink"/>
            <w:color w:val="808080" w:themeColor="background1" w:themeShade="80"/>
            <w:u w:val="none"/>
          </w:rPr>
          <w:t>Ojetti V</w:t>
        </w:r>
      </w:hyperlink>
      <w:r w:rsidR="00975689" w:rsidRPr="00E973BC">
        <w:rPr>
          <w:szCs w:val="19"/>
        </w:rPr>
        <w:t>1</w:t>
      </w:r>
      <w:r w:rsidR="00975689" w:rsidRPr="00E973BC">
        <w:t>,</w:t>
      </w:r>
      <w:r w:rsidR="00975689" w:rsidRPr="00E973BC">
        <w:rPr>
          <w:rStyle w:val="apple-converted-space"/>
        </w:rPr>
        <w:t> </w:t>
      </w:r>
      <w:hyperlink r:id="rId19" w:history="1">
        <w:r w:rsidR="00975689" w:rsidRPr="00E973BC">
          <w:rPr>
            <w:rStyle w:val="Hyperlink"/>
            <w:color w:val="808080" w:themeColor="background1" w:themeShade="80"/>
            <w:u w:val="none"/>
          </w:rPr>
          <w:t>Gigante G</w:t>
        </w:r>
      </w:hyperlink>
      <w:r w:rsidR="00975689" w:rsidRPr="00E973BC">
        <w:t>,</w:t>
      </w:r>
      <w:r w:rsidR="00975689" w:rsidRPr="00E973BC">
        <w:rPr>
          <w:rStyle w:val="apple-converted-space"/>
        </w:rPr>
        <w:t> </w:t>
      </w:r>
      <w:hyperlink r:id="rId20" w:history="1">
        <w:r w:rsidR="00975689" w:rsidRPr="00E973BC">
          <w:rPr>
            <w:rStyle w:val="Hyperlink"/>
            <w:color w:val="808080" w:themeColor="background1" w:themeShade="80"/>
            <w:u w:val="none"/>
          </w:rPr>
          <w:t>Gabrielli M</w:t>
        </w:r>
      </w:hyperlink>
      <w:r w:rsidR="00975689" w:rsidRPr="00E973BC">
        <w:t>,</w:t>
      </w:r>
      <w:r w:rsidR="00975689" w:rsidRPr="00E973BC">
        <w:rPr>
          <w:rStyle w:val="apple-converted-space"/>
        </w:rPr>
        <w:t> </w:t>
      </w:r>
      <w:hyperlink r:id="rId21" w:history="1">
        <w:r w:rsidR="00975689" w:rsidRPr="00E973BC">
          <w:rPr>
            <w:rStyle w:val="Hyperlink"/>
            <w:color w:val="808080" w:themeColor="background1" w:themeShade="80"/>
            <w:u w:val="none"/>
          </w:rPr>
          <w:t>Ainora ME</w:t>
        </w:r>
      </w:hyperlink>
      <w:r w:rsidR="00975689" w:rsidRPr="00E973BC">
        <w:t>,</w:t>
      </w:r>
      <w:r w:rsidR="00975689" w:rsidRPr="00E973BC">
        <w:rPr>
          <w:rStyle w:val="apple-converted-space"/>
        </w:rPr>
        <w:t> </w:t>
      </w:r>
      <w:hyperlink r:id="rId22" w:history="1">
        <w:r w:rsidR="00975689" w:rsidRPr="00E973BC">
          <w:rPr>
            <w:rStyle w:val="Hyperlink"/>
            <w:color w:val="808080" w:themeColor="background1" w:themeShade="80"/>
            <w:u w:val="none"/>
          </w:rPr>
          <w:t>Mannocci A</w:t>
        </w:r>
      </w:hyperlink>
      <w:r w:rsidR="00975689" w:rsidRPr="00E973BC">
        <w:t>,</w:t>
      </w:r>
      <w:r w:rsidR="00975689" w:rsidRPr="00E973BC">
        <w:rPr>
          <w:rStyle w:val="apple-converted-space"/>
        </w:rPr>
        <w:t> </w:t>
      </w:r>
      <w:hyperlink r:id="rId23" w:history="1">
        <w:r w:rsidR="00975689" w:rsidRPr="00E973BC">
          <w:rPr>
            <w:rStyle w:val="Hyperlink"/>
            <w:color w:val="808080" w:themeColor="background1" w:themeShade="80"/>
            <w:u w:val="none"/>
          </w:rPr>
          <w:t>Lauritano EC</w:t>
        </w:r>
      </w:hyperlink>
      <w:r w:rsidR="00975689" w:rsidRPr="00E973BC">
        <w:t>,</w:t>
      </w:r>
      <w:r w:rsidR="00975689" w:rsidRPr="00E973BC">
        <w:rPr>
          <w:rStyle w:val="apple-converted-space"/>
        </w:rPr>
        <w:t> </w:t>
      </w:r>
      <w:hyperlink r:id="rId24" w:history="1">
        <w:r w:rsidR="00975689" w:rsidRPr="00E973BC">
          <w:rPr>
            <w:rStyle w:val="Hyperlink"/>
            <w:color w:val="808080" w:themeColor="background1" w:themeShade="80"/>
            <w:u w:val="none"/>
          </w:rPr>
          <w:t>Gasbarrini G</w:t>
        </w:r>
      </w:hyperlink>
      <w:r w:rsidR="00975689" w:rsidRPr="00E973BC">
        <w:t>,</w:t>
      </w:r>
      <w:r w:rsidR="00975689" w:rsidRPr="00E973BC">
        <w:rPr>
          <w:rStyle w:val="apple-converted-space"/>
        </w:rPr>
        <w:t> </w:t>
      </w:r>
      <w:hyperlink r:id="rId25" w:history="1">
        <w:r w:rsidR="00975689" w:rsidRPr="00E973BC">
          <w:rPr>
            <w:rStyle w:val="Hyperlink"/>
            <w:color w:val="808080" w:themeColor="background1" w:themeShade="80"/>
            <w:u w:val="none"/>
          </w:rPr>
          <w:t>Gasbarrini A</w:t>
        </w:r>
      </w:hyperlink>
      <w:r w:rsidR="00975689" w:rsidRPr="00E973BC">
        <w:t>.</w:t>
      </w:r>
    </w:p>
    <w:p w:rsidR="00975689" w:rsidRPr="00C15160" w:rsidRDefault="00975689" w:rsidP="00975689">
      <w:pPr>
        <w:pStyle w:val="Corpo"/>
        <w:rPr>
          <w:lang w:val="en-US"/>
        </w:rPr>
      </w:pPr>
      <w:r w:rsidRPr="00C15160">
        <w:rPr>
          <w:lang w:val="en-US"/>
        </w:rPr>
        <w:t>Abstract</w:t>
      </w:r>
    </w:p>
    <w:p w:rsidR="00975689" w:rsidRPr="00C017EB" w:rsidRDefault="00975689" w:rsidP="00975689">
      <w:pPr>
        <w:pStyle w:val="Corpo"/>
        <w:rPr>
          <w:lang w:val="en-US"/>
        </w:rPr>
      </w:pPr>
      <w:r w:rsidRPr="00E973BC">
        <w:rPr>
          <w:lang w:val="en-US"/>
        </w:rPr>
        <w:t xml:space="preserve">BACKGROUND: Lactase enzyme supplements and probiotics with high beta-galactosidase activity may be valid treatment options for the lactose intolerance. </w:t>
      </w:r>
      <w:r w:rsidRPr="00C017EB">
        <w:rPr>
          <w:lang w:val="en-US"/>
        </w:rPr>
        <w:t>Aim</w:t>
      </w:r>
      <w:r w:rsidRPr="00C017EB">
        <w:rPr>
          <w:rStyle w:val="apple-converted-space"/>
          <w:szCs w:val="20"/>
          <w:lang w:val="en-US"/>
        </w:rPr>
        <w:t> </w:t>
      </w:r>
      <w:r w:rsidRPr="00C017EB">
        <w:rPr>
          <w:rStyle w:val="highlight"/>
          <w:szCs w:val="20"/>
          <w:lang w:val="en-US"/>
        </w:rPr>
        <w:t>of</w:t>
      </w:r>
      <w:r w:rsidRPr="00C017EB">
        <w:rPr>
          <w:rStyle w:val="apple-converted-space"/>
          <w:szCs w:val="20"/>
          <w:lang w:val="en-US"/>
        </w:rPr>
        <w:t> </w:t>
      </w:r>
      <w:r w:rsidRPr="00C017EB">
        <w:rPr>
          <w:lang w:val="en-US"/>
        </w:rPr>
        <w:t>this study was to assess whether supplementation with tilactase or Lactobacillus reuteri when compared to placebo affects hydrogen breath excretion and gastrointestinal symptoms in lactose intolerant patients during lactose breath test (H,-LBT).</w:t>
      </w:r>
    </w:p>
    <w:p w:rsidR="00975689" w:rsidRPr="00C15160" w:rsidRDefault="00975689" w:rsidP="00975689">
      <w:pPr>
        <w:pStyle w:val="Corpo"/>
        <w:rPr>
          <w:lang w:val="en-US"/>
        </w:rPr>
      </w:pPr>
      <w:r w:rsidRPr="00E973BC">
        <w:rPr>
          <w:lang w:val="en-US"/>
        </w:rPr>
        <w:t xml:space="preserve">METHODS: Sixty lactose intolerant patients participated in the study and were randomized to three 20 patients-treatment groups: tilactase group (tilactase 15 minutes before control H2-LBT); placebo group (placebo 15 minutes before control H2-LBT); Lactobacillus reuteri group (LR) (LR b.i.d. during 10 days before control H2-LBT). </w:t>
      </w:r>
      <w:r w:rsidRPr="00C15160">
        <w:rPr>
          <w:lang w:val="en-US"/>
        </w:rPr>
        <w:t>The outcomes were LBT normalization rate, and influences</w:t>
      </w:r>
      <w:r w:rsidRPr="00C15160">
        <w:rPr>
          <w:rStyle w:val="apple-converted-space"/>
          <w:szCs w:val="20"/>
          <w:lang w:val="en-US"/>
        </w:rPr>
        <w:t> </w:t>
      </w:r>
      <w:r w:rsidRPr="00C15160">
        <w:rPr>
          <w:rStyle w:val="highlight"/>
          <w:szCs w:val="20"/>
          <w:lang w:val="en-US"/>
        </w:rPr>
        <w:t>of</w:t>
      </w:r>
      <w:r w:rsidRPr="00C15160">
        <w:rPr>
          <w:rStyle w:val="apple-converted-space"/>
          <w:szCs w:val="20"/>
          <w:lang w:val="en-US"/>
        </w:rPr>
        <w:t> </w:t>
      </w:r>
      <w:r w:rsidRPr="00C15160">
        <w:rPr>
          <w:lang w:val="en-US"/>
        </w:rPr>
        <w:t>treatments on both mean maximum hydrogen concentration and clinical score.</w:t>
      </w:r>
    </w:p>
    <w:p w:rsidR="00975689" w:rsidRPr="00C15160" w:rsidRDefault="00975689" w:rsidP="00975689">
      <w:pPr>
        <w:pStyle w:val="Corpo"/>
        <w:rPr>
          <w:lang w:val="en-US"/>
        </w:rPr>
      </w:pPr>
      <w:r w:rsidRPr="00E973BC">
        <w:rPr>
          <w:lang w:val="en-US"/>
        </w:rPr>
        <w:t xml:space="preserve">RESULTS: LBT normalization rate was significantly higher in tilactase and LR groups with respect to placebo. </w:t>
      </w:r>
      <w:r w:rsidRPr="00C15160">
        <w:rPr>
          <w:lang w:val="en-US"/>
        </w:rPr>
        <w:t>Tilactase was significantly more effective than LR in achieving LBT normalization (p &lt;0.01). Both significant reduction</w:t>
      </w:r>
      <w:r w:rsidRPr="00C15160">
        <w:rPr>
          <w:rStyle w:val="apple-converted-space"/>
          <w:szCs w:val="20"/>
          <w:lang w:val="en-US"/>
        </w:rPr>
        <w:t> </w:t>
      </w:r>
      <w:r w:rsidRPr="00C15160">
        <w:rPr>
          <w:rStyle w:val="highlight"/>
          <w:szCs w:val="20"/>
          <w:lang w:val="en-US"/>
        </w:rPr>
        <w:t>of</w:t>
      </w:r>
      <w:r w:rsidRPr="00C15160">
        <w:rPr>
          <w:rStyle w:val="apple-converted-space"/>
          <w:szCs w:val="20"/>
          <w:lang w:val="en-US"/>
        </w:rPr>
        <w:t> </w:t>
      </w:r>
      <w:r w:rsidRPr="00C15160">
        <w:rPr>
          <w:lang w:val="en-US"/>
        </w:rPr>
        <w:t>mean peak H2 excretion and improvement</w:t>
      </w:r>
      <w:r w:rsidRPr="00C15160">
        <w:rPr>
          <w:rStyle w:val="apple-converted-space"/>
          <w:szCs w:val="20"/>
          <w:lang w:val="en-US"/>
        </w:rPr>
        <w:t> </w:t>
      </w:r>
      <w:r w:rsidRPr="00C15160">
        <w:rPr>
          <w:rStyle w:val="highlight"/>
          <w:szCs w:val="20"/>
          <w:lang w:val="en-US"/>
        </w:rPr>
        <w:t>of</w:t>
      </w:r>
      <w:r w:rsidRPr="00C15160">
        <w:rPr>
          <w:rStyle w:val="apple-converted-space"/>
          <w:szCs w:val="20"/>
          <w:lang w:val="en-US"/>
        </w:rPr>
        <w:t> </w:t>
      </w:r>
      <w:r w:rsidRPr="00C15160">
        <w:rPr>
          <w:lang w:val="en-US"/>
        </w:rPr>
        <w:t>the mean clinical score were observed in tilactase and LR groups after treatment with respect to placebo (p &lt;0.0001). Tilactase was significantly more effective than LR in reducing both mean peak hydrogen excretion and mean clinical score.</w:t>
      </w:r>
    </w:p>
    <w:p w:rsidR="00975689" w:rsidRPr="00C15160" w:rsidRDefault="00975689" w:rsidP="00975689">
      <w:pPr>
        <w:pStyle w:val="Corpo"/>
        <w:rPr>
          <w:lang w:val="en-US"/>
        </w:rPr>
      </w:pPr>
      <w:r w:rsidRPr="00E973BC">
        <w:rPr>
          <w:lang w:val="en-US"/>
        </w:rPr>
        <w:t xml:space="preserve">CONCLUSIONS: In lactose intolerants, tilactase strongly improves both LBT results and gastrointestinal symptoms after lactose ingestion with respect to placebo. </w:t>
      </w:r>
      <w:r w:rsidRPr="00C15160">
        <w:rPr>
          <w:lang w:val="en-US"/>
        </w:rPr>
        <w:t>Lactobacillus reuteri also is effective but lesser than tilactase. This probiotic may represent an interesting treatment option for lactose intolerance since its use is simple and its effect may last in the time after stopping administration.</w:t>
      </w:r>
    </w:p>
    <w:p w:rsidR="00975689" w:rsidRDefault="00975689" w:rsidP="00975689">
      <w:pPr>
        <w:pStyle w:val="Corpo"/>
        <w:rPr>
          <w:szCs w:val="17"/>
          <w:lang w:val="en-US"/>
        </w:rPr>
      </w:pPr>
      <w:r w:rsidRPr="00E973BC">
        <w:rPr>
          <w:szCs w:val="17"/>
          <w:lang w:val="en-US"/>
        </w:rPr>
        <w:t>PMID:</w:t>
      </w:r>
      <w:r w:rsidRPr="00E973BC">
        <w:rPr>
          <w:rStyle w:val="apple-converted-space"/>
          <w:szCs w:val="17"/>
          <w:lang w:val="en-US"/>
        </w:rPr>
        <w:t> </w:t>
      </w:r>
      <w:r w:rsidRPr="00E973BC">
        <w:rPr>
          <w:szCs w:val="17"/>
          <w:lang w:val="en-US"/>
        </w:rPr>
        <w:t>20391953</w:t>
      </w:r>
      <w:r w:rsidRPr="00E973BC">
        <w:rPr>
          <w:rStyle w:val="apple-converted-space"/>
          <w:szCs w:val="17"/>
          <w:lang w:val="en-US"/>
        </w:rPr>
        <w:t> </w:t>
      </w:r>
      <w:r w:rsidRPr="00E973BC">
        <w:rPr>
          <w:szCs w:val="17"/>
          <w:lang w:val="en-US"/>
        </w:rPr>
        <w:t>[PubMed - indexed for MEDLINE]</w:t>
      </w:r>
    </w:p>
    <w:p w:rsidR="00975689" w:rsidRDefault="00975689" w:rsidP="00975689">
      <w:pPr>
        <w:pStyle w:val="Corpo"/>
        <w:rPr>
          <w:szCs w:val="17"/>
          <w:lang w:val="en-US"/>
        </w:rPr>
      </w:pPr>
    </w:p>
    <w:p w:rsidR="00975689" w:rsidRDefault="00975689" w:rsidP="00975689">
      <w:pPr>
        <w:pStyle w:val="Corpo"/>
        <w:rPr>
          <w:szCs w:val="17"/>
          <w:lang w:val="en-US"/>
        </w:rPr>
      </w:pPr>
    </w:p>
    <w:p w:rsidR="00975689" w:rsidRPr="00C017EB" w:rsidRDefault="00935914" w:rsidP="00975689">
      <w:pPr>
        <w:pStyle w:val="Corpo"/>
        <w:rPr>
          <w:lang w:val="en-US"/>
        </w:rPr>
      </w:pPr>
      <w:hyperlink r:id="rId26" w:tooltip="QJM : monthly journal of the Association of Physicians." w:history="1">
        <w:r w:rsidR="00975689" w:rsidRPr="00C017EB">
          <w:rPr>
            <w:rStyle w:val="Hyperlink"/>
            <w:color w:val="808080" w:themeColor="background1" w:themeShade="80"/>
            <w:szCs w:val="20"/>
            <w:u w:val="none"/>
            <w:lang w:val="en-US"/>
          </w:rPr>
          <w:t>QJM.</w:t>
        </w:r>
      </w:hyperlink>
      <w:r w:rsidR="00975689" w:rsidRPr="00C017EB">
        <w:rPr>
          <w:rStyle w:val="apple-converted-space"/>
          <w:szCs w:val="20"/>
          <w:lang w:val="en-US"/>
        </w:rPr>
        <w:t> </w:t>
      </w:r>
      <w:r w:rsidR="00975689" w:rsidRPr="00C017EB">
        <w:rPr>
          <w:lang w:val="en-US"/>
        </w:rPr>
        <w:t>2010 Aug;103(8):555-72. doi: 10.1093/qjmed/hcq082. Epub 2010 Jun 3.</w:t>
      </w:r>
    </w:p>
    <w:p w:rsidR="00975689" w:rsidRPr="00C017EB" w:rsidRDefault="00975689" w:rsidP="00975689">
      <w:pPr>
        <w:pStyle w:val="Corpo"/>
        <w:rPr>
          <w:b/>
          <w:szCs w:val="30"/>
          <w:lang w:val="en-US"/>
        </w:rPr>
      </w:pPr>
      <w:r w:rsidRPr="00C017EB">
        <w:rPr>
          <w:b/>
          <w:szCs w:val="30"/>
          <w:lang w:val="en-US"/>
        </w:rPr>
        <w:t>Lactose malabsorption and intolerance: a systematic review on the diagnostic value</w:t>
      </w:r>
      <w:r w:rsidRPr="00C017EB">
        <w:rPr>
          <w:rStyle w:val="apple-converted-space"/>
          <w:b/>
          <w:szCs w:val="30"/>
          <w:lang w:val="en-US"/>
        </w:rPr>
        <w:t> </w:t>
      </w:r>
      <w:r w:rsidRPr="00C017EB">
        <w:rPr>
          <w:rStyle w:val="highlight"/>
          <w:b/>
          <w:szCs w:val="30"/>
          <w:lang w:val="en-US"/>
        </w:rPr>
        <w:t>of</w:t>
      </w:r>
      <w:r w:rsidRPr="00C017EB">
        <w:rPr>
          <w:b/>
          <w:szCs w:val="30"/>
          <w:lang w:val="en-US"/>
        </w:rPr>
        <w:t>gastrointestinal symptoms and self-reported milk intolerance.</w:t>
      </w:r>
    </w:p>
    <w:p w:rsidR="00975689" w:rsidRPr="00C017EB" w:rsidRDefault="00935914" w:rsidP="00975689">
      <w:pPr>
        <w:pStyle w:val="Corpo"/>
        <w:rPr>
          <w:lang w:val="en-US"/>
        </w:rPr>
      </w:pPr>
      <w:hyperlink r:id="rId27" w:history="1">
        <w:r w:rsidR="00975689" w:rsidRPr="00C017EB">
          <w:rPr>
            <w:rStyle w:val="Hyperlink"/>
            <w:color w:val="808080" w:themeColor="background1" w:themeShade="80"/>
            <w:u w:val="none"/>
            <w:lang w:val="en-US"/>
          </w:rPr>
          <w:t>Jellema P</w:t>
        </w:r>
      </w:hyperlink>
      <w:r w:rsidR="00975689" w:rsidRPr="00C017EB">
        <w:rPr>
          <w:szCs w:val="19"/>
          <w:lang w:val="en-US"/>
        </w:rPr>
        <w:t>1</w:t>
      </w:r>
      <w:r w:rsidR="00975689" w:rsidRPr="00C017EB">
        <w:rPr>
          <w:lang w:val="en-US"/>
        </w:rPr>
        <w:t>,</w:t>
      </w:r>
      <w:r w:rsidR="00975689" w:rsidRPr="00C017EB">
        <w:rPr>
          <w:rStyle w:val="apple-converted-space"/>
          <w:lang w:val="en-US"/>
        </w:rPr>
        <w:t> </w:t>
      </w:r>
      <w:hyperlink r:id="rId28" w:history="1">
        <w:r w:rsidR="00975689" w:rsidRPr="00C017EB">
          <w:rPr>
            <w:rStyle w:val="Hyperlink"/>
            <w:color w:val="808080" w:themeColor="background1" w:themeShade="80"/>
            <w:u w:val="none"/>
            <w:lang w:val="en-US"/>
          </w:rPr>
          <w:t>Schellevis FG</w:t>
        </w:r>
      </w:hyperlink>
      <w:r w:rsidR="00975689" w:rsidRPr="00C017EB">
        <w:rPr>
          <w:lang w:val="en-US"/>
        </w:rPr>
        <w:t>,</w:t>
      </w:r>
      <w:r w:rsidR="00975689" w:rsidRPr="00C017EB">
        <w:rPr>
          <w:rStyle w:val="apple-converted-space"/>
          <w:lang w:val="en-US"/>
        </w:rPr>
        <w:t> </w:t>
      </w:r>
      <w:hyperlink r:id="rId29" w:history="1">
        <w:r w:rsidR="00975689" w:rsidRPr="00C017EB">
          <w:rPr>
            <w:rStyle w:val="Hyperlink"/>
            <w:color w:val="808080" w:themeColor="background1" w:themeShade="80"/>
            <w:u w:val="none"/>
            <w:lang w:val="en-US"/>
          </w:rPr>
          <w:t>van der Windt DA</w:t>
        </w:r>
      </w:hyperlink>
      <w:r w:rsidR="00975689" w:rsidRPr="00C017EB">
        <w:rPr>
          <w:lang w:val="en-US"/>
        </w:rPr>
        <w:t>,</w:t>
      </w:r>
      <w:r w:rsidR="00975689" w:rsidRPr="00C017EB">
        <w:rPr>
          <w:rStyle w:val="apple-converted-space"/>
          <w:lang w:val="en-US"/>
        </w:rPr>
        <w:t> </w:t>
      </w:r>
      <w:hyperlink r:id="rId30" w:history="1">
        <w:r w:rsidR="00975689" w:rsidRPr="00C017EB">
          <w:rPr>
            <w:rStyle w:val="Hyperlink"/>
            <w:color w:val="808080" w:themeColor="background1" w:themeShade="80"/>
            <w:u w:val="none"/>
            <w:lang w:val="en-US"/>
          </w:rPr>
          <w:t>Kneepkens CM</w:t>
        </w:r>
      </w:hyperlink>
      <w:r w:rsidR="00975689" w:rsidRPr="00C017EB">
        <w:rPr>
          <w:lang w:val="en-US"/>
        </w:rPr>
        <w:t>,</w:t>
      </w:r>
      <w:r w:rsidR="00975689" w:rsidRPr="00C017EB">
        <w:rPr>
          <w:rStyle w:val="apple-converted-space"/>
          <w:lang w:val="en-US"/>
        </w:rPr>
        <w:t> </w:t>
      </w:r>
      <w:hyperlink r:id="rId31" w:history="1">
        <w:r w:rsidR="00975689" w:rsidRPr="00C017EB">
          <w:rPr>
            <w:rStyle w:val="Hyperlink"/>
            <w:color w:val="808080" w:themeColor="background1" w:themeShade="80"/>
            <w:u w:val="none"/>
            <w:lang w:val="en-US"/>
          </w:rPr>
          <w:t>van der Horst HE</w:t>
        </w:r>
      </w:hyperlink>
      <w:r w:rsidR="00975689" w:rsidRPr="00C017EB">
        <w:rPr>
          <w:lang w:val="en-US"/>
        </w:rPr>
        <w:t>.</w:t>
      </w:r>
    </w:p>
    <w:p w:rsidR="00975689" w:rsidRPr="00C15160" w:rsidRDefault="00975689" w:rsidP="00975689">
      <w:pPr>
        <w:pStyle w:val="Corpo"/>
        <w:rPr>
          <w:lang w:val="en-US"/>
        </w:rPr>
      </w:pPr>
      <w:r w:rsidRPr="00C15160">
        <w:rPr>
          <w:lang w:val="en-US"/>
        </w:rPr>
        <w:t>Abstract</w:t>
      </w:r>
    </w:p>
    <w:p w:rsidR="00975689" w:rsidRPr="00C15160" w:rsidRDefault="00975689" w:rsidP="00975689">
      <w:pPr>
        <w:pStyle w:val="Corpo"/>
        <w:rPr>
          <w:lang w:val="en-US"/>
        </w:rPr>
      </w:pPr>
      <w:r w:rsidRPr="00E973BC">
        <w:rPr>
          <w:lang w:val="en-US"/>
        </w:rPr>
        <w:t xml:space="preserve">BACKGROUND: When lactose malabsorption gives rise to symptoms, the result is called 'lactose intolerance'. </w:t>
      </w:r>
      <w:r w:rsidRPr="00C15160">
        <w:rPr>
          <w:lang w:val="en-US"/>
        </w:rPr>
        <w:t xml:space="preserve">Although lactose intolerance is often bothersome for patients, </w:t>
      </w:r>
      <w:r w:rsidRPr="00C15160">
        <w:rPr>
          <w:lang w:val="en-US"/>
        </w:rPr>
        <w:lastRenderedPageBreak/>
        <w:t>once recognized it may be managed by simple dietary adjustments. However, diagnosing lactose intolerance is not straightforward, especially in primary care.</w:t>
      </w:r>
    </w:p>
    <w:p w:rsidR="00975689" w:rsidRPr="00E973BC" w:rsidRDefault="00975689" w:rsidP="00975689">
      <w:pPr>
        <w:pStyle w:val="Corpo"/>
        <w:rPr>
          <w:lang w:val="en-US"/>
        </w:rPr>
      </w:pPr>
      <w:r w:rsidRPr="00E973BC">
        <w:rPr>
          <w:lang w:val="en-US"/>
        </w:rPr>
        <w:t>AIM: To summarize available evidence on the diagnostic performance</w:t>
      </w:r>
      <w:r w:rsidRPr="00E973BC">
        <w:rPr>
          <w:rStyle w:val="apple-converted-space"/>
          <w:szCs w:val="20"/>
          <w:lang w:val="en-US"/>
        </w:rPr>
        <w:t> </w:t>
      </w:r>
      <w:r w:rsidRPr="00E973BC">
        <w:rPr>
          <w:rStyle w:val="highlight"/>
          <w:szCs w:val="20"/>
          <w:lang w:val="en-US"/>
        </w:rPr>
        <w:t>of</w:t>
      </w:r>
      <w:r w:rsidRPr="00E973BC">
        <w:rPr>
          <w:rStyle w:val="apple-converted-space"/>
          <w:szCs w:val="20"/>
          <w:lang w:val="en-US"/>
        </w:rPr>
        <w:t> </w:t>
      </w:r>
      <w:r w:rsidRPr="00E973BC">
        <w:rPr>
          <w:lang w:val="en-US"/>
        </w:rPr>
        <w:t>gastrointestinal symptoms and self-reported milk (lactose) intolerance in primary care, and the relationship between lactose malabsorption and intolerance.</w:t>
      </w:r>
    </w:p>
    <w:p w:rsidR="00975689" w:rsidRPr="00E973BC" w:rsidRDefault="00975689" w:rsidP="00975689">
      <w:pPr>
        <w:pStyle w:val="Corpo"/>
        <w:rPr>
          <w:lang w:val="en-US"/>
        </w:rPr>
      </w:pPr>
      <w:r w:rsidRPr="00E973BC">
        <w:rPr>
          <w:lang w:val="en-US"/>
        </w:rPr>
        <w:t>DATA SOURCES: PubMed, EMBASE and reference screening.</w:t>
      </w:r>
    </w:p>
    <w:p w:rsidR="00975689" w:rsidRPr="00C15160" w:rsidRDefault="00975689" w:rsidP="00975689">
      <w:pPr>
        <w:pStyle w:val="Corpo"/>
        <w:rPr>
          <w:lang w:val="en-US"/>
        </w:rPr>
      </w:pPr>
      <w:r w:rsidRPr="00E973BC">
        <w:rPr>
          <w:lang w:val="en-US"/>
        </w:rPr>
        <w:t>STUDY SELECTION: Studies were selected if the design was a primary diagnostic study; the patients were adults consulting because</w:t>
      </w:r>
      <w:r w:rsidRPr="00E973BC">
        <w:rPr>
          <w:rStyle w:val="apple-converted-space"/>
          <w:szCs w:val="20"/>
          <w:lang w:val="en-US"/>
        </w:rPr>
        <w:t> </w:t>
      </w:r>
      <w:r w:rsidRPr="00E973BC">
        <w:rPr>
          <w:rStyle w:val="highlight"/>
          <w:szCs w:val="20"/>
          <w:lang w:val="en-US"/>
        </w:rPr>
        <w:t>of</w:t>
      </w:r>
      <w:r w:rsidRPr="00E973BC">
        <w:rPr>
          <w:rStyle w:val="apple-converted-space"/>
          <w:szCs w:val="20"/>
          <w:lang w:val="en-US"/>
        </w:rPr>
        <w:t> </w:t>
      </w:r>
      <w:r w:rsidRPr="00E973BC">
        <w:rPr>
          <w:lang w:val="en-US"/>
        </w:rPr>
        <w:t xml:space="preserve">non-acute abdominal symptoms; the diagnostic test included gastrointestinal symptoms and/or self-reported milk intolerance. </w:t>
      </w:r>
      <w:r w:rsidRPr="00C15160">
        <w:rPr>
          <w:lang w:val="en-US"/>
        </w:rPr>
        <w:t>A total</w:t>
      </w:r>
      <w:r w:rsidRPr="00C15160">
        <w:rPr>
          <w:rStyle w:val="apple-converted-space"/>
          <w:szCs w:val="20"/>
          <w:lang w:val="en-US"/>
        </w:rPr>
        <w:t> </w:t>
      </w:r>
      <w:r w:rsidRPr="00C15160">
        <w:rPr>
          <w:rStyle w:val="highlight"/>
          <w:szCs w:val="20"/>
          <w:lang w:val="en-US"/>
        </w:rPr>
        <w:t>of</w:t>
      </w:r>
      <w:r w:rsidRPr="00C15160">
        <w:rPr>
          <w:rStyle w:val="apple-converted-space"/>
          <w:szCs w:val="20"/>
          <w:lang w:val="en-US"/>
        </w:rPr>
        <w:t> </w:t>
      </w:r>
      <w:r w:rsidRPr="00C15160">
        <w:rPr>
          <w:lang w:val="en-US"/>
        </w:rPr>
        <w:t>26 primary diagnostic studies were included in the review.</w:t>
      </w:r>
    </w:p>
    <w:p w:rsidR="00975689" w:rsidRPr="00C15160" w:rsidRDefault="00975689" w:rsidP="00975689">
      <w:pPr>
        <w:pStyle w:val="Corpo"/>
        <w:rPr>
          <w:lang w:val="en-US"/>
        </w:rPr>
      </w:pPr>
      <w:r w:rsidRPr="00E973BC">
        <w:rPr>
          <w:lang w:val="en-US"/>
        </w:rPr>
        <w:t xml:space="preserve">DATA EXTRACTION: Quality assessment and data extraction were performed by two reviewers independently. </w:t>
      </w:r>
      <w:r w:rsidRPr="00C15160">
        <w:rPr>
          <w:lang w:val="en-US"/>
        </w:rPr>
        <w:t>They adhered to the most recent guidelines for conducting a diagnostic review as described in the Cochrane Diagnostic Reviewers' Handbook.</w:t>
      </w:r>
    </w:p>
    <w:p w:rsidR="00975689" w:rsidRPr="00C15160" w:rsidRDefault="00975689" w:rsidP="00975689">
      <w:pPr>
        <w:pStyle w:val="Corpo"/>
        <w:rPr>
          <w:lang w:val="en-US"/>
        </w:rPr>
      </w:pPr>
      <w:r w:rsidRPr="00E973BC">
        <w:rPr>
          <w:lang w:val="en-US"/>
        </w:rPr>
        <w:t>RESULTS: The diagnostic performance</w:t>
      </w:r>
      <w:r w:rsidRPr="00E973BC">
        <w:rPr>
          <w:rStyle w:val="apple-converted-space"/>
          <w:szCs w:val="20"/>
          <w:lang w:val="en-US"/>
        </w:rPr>
        <w:t> </w:t>
      </w:r>
      <w:r w:rsidRPr="00E973BC">
        <w:rPr>
          <w:rStyle w:val="highlight"/>
          <w:szCs w:val="20"/>
          <w:lang w:val="en-US"/>
        </w:rPr>
        <w:t>of</w:t>
      </w:r>
      <w:r w:rsidRPr="00E973BC">
        <w:rPr>
          <w:rStyle w:val="apple-converted-space"/>
          <w:szCs w:val="20"/>
          <w:lang w:val="en-US"/>
        </w:rPr>
        <w:t> </w:t>
      </w:r>
      <w:r w:rsidRPr="00E973BC">
        <w:rPr>
          <w:lang w:val="en-US"/>
        </w:rPr>
        <w:t xml:space="preserve">diarrhea, abdominal pain, bloating, flatulence and self-reported milk intolerance was highly variable. </w:t>
      </w:r>
      <w:r w:rsidRPr="00C15160">
        <w:rPr>
          <w:lang w:val="en-US"/>
        </w:rPr>
        <w:t>A non-Caucasian ethnic origin was associated with the presence</w:t>
      </w:r>
      <w:r w:rsidRPr="00C15160">
        <w:rPr>
          <w:rStyle w:val="apple-converted-space"/>
          <w:szCs w:val="20"/>
          <w:lang w:val="en-US"/>
        </w:rPr>
        <w:t> </w:t>
      </w:r>
      <w:r w:rsidRPr="00C15160">
        <w:rPr>
          <w:rStyle w:val="highlight"/>
          <w:szCs w:val="20"/>
          <w:lang w:val="en-US"/>
        </w:rPr>
        <w:t>of</w:t>
      </w:r>
      <w:r w:rsidRPr="00C15160">
        <w:rPr>
          <w:rStyle w:val="apple-converted-space"/>
          <w:szCs w:val="20"/>
          <w:lang w:val="en-US"/>
        </w:rPr>
        <w:t> </w:t>
      </w:r>
      <w:r w:rsidRPr="00C15160">
        <w:rPr>
          <w:lang w:val="en-US"/>
        </w:rPr>
        <w:t>lactose malabsorption. Both lactose malabsorbers and lactose absorbers reported symptoms during the lactose hydrogen breath test.</w:t>
      </w:r>
    </w:p>
    <w:p w:rsidR="00975689" w:rsidRPr="00C15160" w:rsidRDefault="00975689" w:rsidP="00975689">
      <w:pPr>
        <w:pStyle w:val="Corpo"/>
        <w:rPr>
          <w:lang w:val="en-US"/>
        </w:rPr>
      </w:pPr>
      <w:r w:rsidRPr="00E973BC">
        <w:rPr>
          <w:lang w:val="en-US"/>
        </w:rPr>
        <w:t>CONCLUSION: Our review shows that high-quality studies on the diagnosis</w:t>
      </w:r>
      <w:r w:rsidRPr="00E973BC">
        <w:rPr>
          <w:rStyle w:val="apple-converted-space"/>
          <w:szCs w:val="20"/>
          <w:lang w:val="en-US"/>
        </w:rPr>
        <w:t> </w:t>
      </w:r>
      <w:r w:rsidRPr="00E973BC">
        <w:rPr>
          <w:rStyle w:val="highlight"/>
          <w:szCs w:val="20"/>
          <w:lang w:val="en-US"/>
        </w:rPr>
        <w:t>of</w:t>
      </w:r>
      <w:r w:rsidRPr="00E973BC">
        <w:rPr>
          <w:rStyle w:val="apple-converted-space"/>
          <w:szCs w:val="20"/>
          <w:lang w:val="en-US"/>
        </w:rPr>
        <w:t> </w:t>
      </w:r>
      <w:r w:rsidRPr="00E973BC">
        <w:rPr>
          <w:lang w:val="en-US"/>
        </w:rPr>
        <w:t xml:space="preserve">lactose malabsorption and intolerance in primary care are urgently needed. </w:t>
      </w:r>
      <w:r w:rsidRPr="00C15160">
        <w:rPr>
          <w:lang w:val="en-US"/>
        </w:rPr>
        <w:t>An important prerequisite would be to clearly define the concept</w:t>
      </w:r>
      <w:r w:rsidRPr="00C15160">
        <w:rPr>
          <w:rStyle w:val="apple-converted-space"/>
          <w:szCs w:val="20"/>
          <w:lang w:val="en-US"/>
        </w:rPr>
        <w:t> </w:t>
      </w:r>
      <w:r w:rsidRPr="00C15160">
        <w:rPr>
          <w:rStyle w:val="highlight"/>
          <w:szCs w:val="20"/>
          <w:lang w:val="en-US"/>
        </w:rPr>
        <w:t>of</w:t>
      </w:r>
      <w:r w:rsidRPr="00C15160">
        <w:rPr>
          <w:rStyle w:val="apple-converted-space"/>
          <w:szCs w:val="20"/>
          <w:lang w:val="en-US"/>
        </w:rPr>
        <w:t> </w:t>
      </w:r>
      <w:r w:rsidRPr="00C15160">
        <w:rPr>
          <w:lang w:val="en-US"/>
        </w:rPr>
        <w:t>lactose intolerance, as well as how it should be assessed.</w:t>
      </w:r>
    </w:p>
    <w:p w:rsidR="00975689" w:rsidRPr="00E973BC" w:rsidRDefault="00975689" w:rsidP="00975689">
      <w:pPr>
        <w:pStyle w:val="Corpo"/>
        <w:rPr>
          <w:rStyle w:val="apple-converted-space"/>
          <w:szCs w:val="17"/>
          <w:lang w:val="en-US"/>
        </w:rPr>
      </w:pPr>
      <w:r w:rsidRPr="00E973BC">
        <w:rPr>
          <w:szCs w:val="17"/>
          <w:lang w:val="en-US"/>
        </w:rPr>
        <w:t>PMID:</w:t>
      </w:r>
      <w:r w:rsidRPr="00E973BC">
        <w:rPr>
          <w:rStyle w:val="apple-converted-space"/>
          <w:szCs w:val="17"/>
          <w:lang w:val="en-US"/>
        </w:rPr>
        <w:t> </w:t>
      </w:r>
      <w:r w:rsidRPr="00E973BC">
        <w:rPr>
          <w:szCs w:val="17"/>
          <w:lang w:val="en-US"/>
        </w:rPr>
        <w:t>20522486</w:t>
      </w:r>
      <w:r w:rsidRPr="00E973BC">
        <w:rPr>
          <w:rStyle w:val="apple-converted-space"/>
          <w:szCs w:val="17"/>
          <w:lang w:val="en-US"/>
        </w:rPr>
        <w:t> </w:t>
      </w:r>
      <w:r w:rsidRPr="00E973BC">
        <w:rPr>
          <w:szCs w:val="17"/>
          <w:lang w:val="en-US"/>
        </w:rPr>
        <w:t>[PubMed - indexed for MEDLINE]</w:t>
      </w:r>
      <w:r w:rsidRPr="00E973BC">
        <w:rPr>
          <w:rStyle w:val="apple-converted-space"/>
          <w:szCs w:val="17"/>
          <w:lang w:val="en-US"/>
        </w:rPr>
        <w:t> </w:t>
      </w:r>
    </w:p>
    <w:p w:rsidR="00975689" w:rsidRPr="00E973BC" w:rsidRDefault="00975689" w:rsidP="00975689">
      <w:pPr>
        <w:pStyle w:val="Corpo"/>
        <w:rPr>
          <w:szCs w:val="17"/>
          <w:lang w:val="en-US"/>
        </w:rPr>
      </w:pPr>
    </w:p>
    <w:p w:rsidR="00975689" w:rsidRPr="00E973BC" w:rsidRDefault="00975689" w:rsidP="00975689">
      <w:pPr>
        <w:pStyle w:val="Corpo"/>
        <w:rPr>
          <w:lang w:val="en-US"/>
        </w:rPr>
      </w:pPr>
    </w:p>
    <w:p w:rsidR="00975689" w:rsidRPr="00C017EB" w:rsidRDefault="00935914" w:rsidP="00975689">
      <w:pPr>
        <w:pStyle w:val="Corpo"/>
        <w:rPr>
          <w:lang w:val="en-US"/>
        </w:rPr>
      </w:pPr>
      <w:hyperlink r:id="rId32" w:tooltip="European journal of clinical investigation." w:history="1">
        <w:r w:rsidR="00975689" w:rsidRPr="00C017EB">
          <w:rPr>
            <w:rStyle w:val="Hyperlink"/>
            <w:color w:val="808080" w:themeColor="background1" w:themeShade="80"/>
            <w:szCs w:val="20"/>
            <w:u w:val="none"/>
            <w:lang w:val="en-US"/>
          </w:rPr>
          <w:t>Eur J Clin Invest.</w:t>
        </w:r>
      </w:hyperlink>
      <w:r w:rsidR="00975689" w:rsidRPr="00C017EB">
        <w:rPr>
          <w:rStyle w:val="apple-converted-space"/>
          <w:szCs w:val="20"/>
          <w:lang w:val="en-US"/>
        </w:rPr>
        <w:t> </w:t>
      </w:r>
      <w:r w:rsidR="00975689" w:rsidRPr="00C017EB">
        <w:rPr>
          <w:lang w:val="en-US"/>
        </w:rPr>
        <w:t>2008 Nov;38(11):835-44. doi: 10.1111/j.1365-2362.2008.02035.x.</w:t>
      </w:r>
    </w:p>
    <w:p w:rsidR="00975689" w:rsidRPr="00C15160" w:rsidRDefault="00975689" w:rsidP="00975689">
      <w:pPr>
        <w:pStyle w:val="Corpo"/>
        <w:rPr>
          <w:b/>
          <w:lang w:val="en-US"/>
        </w:rPr>
      </w:pPr>
      <w:r w:rsidRPr="00C15160">
        <w:rPr>
          <w:b/>
          <w:szCs w:val="30"/>
          <w:lang w:val="en-US"/>
        </w:rPr>
        <w:t>Beneficial effects</w:t>
      </w:r>
      <w:r w:rsidRPr="00C15160">
        <w:rPr>
          <w:rStyle w:val="apple-converted-space"/>
          <w:b/>
          <w:szCs w:val="30"/>
          <w:lang w:val="en-US"/>
        </w:rPr>
        <w:t> </w:t>
      </w:r>
      <w:r w:rsidRPr="00C15160">
        <w:rPr>
          <w:rStyle w:val="highlight"/>
          <w:b/>
          <w:szCs w:val="30"/>
          <w:lang w:val="en-US"/>
        </w:rPr>
        <w:t>of</w:t>
      </w:r>
      <w:r w:rsidRPr="00C15160">
        <w:rPr>
          <w:rStyle w:val="apple-converted-space"/>
          <w:b/>
          <w:szCs w:val="30"/>
          <w:lang w:val="en-US"/>
        </w:rPr>
        <w:t> </w:t>
      </w:r>
      <w:r w:rsidRPr="00C15160">
        <w:rPr>
          <w:b/>
          <w:szCs w:val="30"/>
          <w:lang w:val="en-US"/>
        </w:rPr>
        <w:t>oral tilactase on patients with hypolactasia.</w:t>
      </w:r>
    </w:p>
    <w:p w:rsidR="00975689" w:rsidRPr="00E973BC" w:rsidRDefault="00935914" w:rsidP="00975689">
      <w:pPr>
        <w:pStyle w:val="Corpo"/>
        <w:rPr>
          <w:szCs w:val="30"/>
        </w:rPr>
      </w:pPr>
      <w:hyperlink r:id="rId33" w:history="1">
        <w:r w:rsidR="00975689" w:rsidRPr="00E973BC">
          <w:rPr>
            <w:rStyle w:val="Hyperlink"/>
            <w:color w:val="808080" w:themeColor="background1" w:themeShade="80"/>
            <w:szCs w:val="22"/>
            <w:u w:val="none"/>
          </w:rPr>
          <w:t>Portincasa P</w:t>
        </w:r>
      </w:hyperlink>
      <w:r w:rsidR="00975689" w:rsidRPr="00E973BC">
        <w:rPr>
          <w:szCs w:val="19"/>
        </w:rPr>
        <w:t>1</w:t>
      </w:r>
      <w:r w:rsidR="00975689" w:rsidRPr="00E973BC">
        <w:rPr>
          <w:szCs w:val="22"/>
        </w:rPr>
        <w:t>,</w:t>
      </w:r>
      <w:r w:rsidR="00975689" w:rsidRPr="00E973BC">
        <w:rPr>
          <w:rStyle w:val="apple-converted-space"/>
          <w:szCs w:val="22"/>
        </w:rPr>
        <w:t> </w:t>
      </w:r>
      <w:hyperlink r:id="rId34" w:history="1">
        <w:r w:rsidR="00975689" w:rsidRPr="00E973BC">
          <w:rPr>
            <w:rStyle w:val="Hyperlink"/>
            <w:color w:val="808080" w:themeColor="background1" w:themeShade="80"/>
            <w:szCs w:val="22"/>
            <w:u w:val="none"/>
          </w:rPr>
          <w:t>Di Ciaula A</w:t>
        </w:r>
      </w:hyperlink>
      <w:r w:rsidR="00975689" w:rsidRPr="00E973BC">
        <w:rPr>
          <w:szCs w:val="22"/>
        </w:rPr>
        <w:t>,</w:t>
      </w:r>
      <w:r w:rsidR="00975689" w:rsidRPr="00E973BC">
        <w:rPr>
          <w:rStyle w:val="apple-converted-space"/>
          <w:szCs w:val="22"/>
        </w:rPr>
        <w:t> </w:t>
      </w:r>
      <w:hyperlink r:id="rId35" w:history="1">
        <w:r w:rsidR="00975689" w:rsidRPr="00E973BC">
          <w:rPr>
            <w:rStyle w:val="Hyperlink"/>
            <w:color w:val="808080" w:themeColor="background1" w:themeShade="80"/>
            <w:szCs w:val="22"/>
            <w:u w:val="none"/>
          </w:rPr>
          <w:t>Vacca M</w:t>
        </w:r>
      </w:hyperlink>
      <w:r w:rsidR="00975689" w:rsidRPr="00E973BC">
        <w:rPr>
          <w:szCs w:val="22"/>
        </w:rPr>
        <w:t>,</w:t>
      </w:r>
      <w:r w:rsidR="00975689" w:rsidRPr="00E973BC">
        <w:rPr>
          <w:rStyle w:val="apple-converted-space"/>
          <w:szCs w:val="22"/>
        </w:rPr>
        <w:t> </w:t>
      </w:r>
      <w:hyperlink r:id="rId36" w:history="1">
        <w:r w:rsidR="00975689" w:rsidRPr="00E973BC">
          <w:rPr>
            <w:rStyle w:val="Hyperlink"/>
            <w:color w:val="808080" w:themeColor="background1" w:themeShade="80"/>
            <w:szCs w:val="22"/>
            <w:u w:val="none"/>
          </w:rPr>
          <w:t>Montelli R</w:t>
        </w:r>
      </w:hyperlink>
      <w:r w:rsidR="00975689" w:rsidRPr="00E973BC">
        <w:rPr>
          <w:szCs w:val="22"/>
        </w:rPr>
        <w:t>,</w:t>
      </w:r>
      <w:r w:rsidR="00975689" w:rsidRPr="00E973BC">
        <w:rPr>
          <w:rStyle w:val="apple-converted-space"/>
          <w:szCs w:val="22"/>
        </w:rPr>
        <w:t> </w:t>
      </w:r>
      <w:hyperlink r:id="rId37" w:history="1">
        <w:r w:rsidR="00975689" w:rsidRPr="00E973BC">
          <w:rPr>
            <w:rStyle w:val="Hyperlink"/>
            <w:color w:val="808080" w:themeColor="background1" w:themeShade="80"/>
            <w:szCs w:val="22"/>
            <w:u w:val="none"/>
          </w:rPr>
          <w:t>Wang DQ</w:t>
        </w:r>
      </w:hyperlink>
      <w:r w:rsidR="00975689" w:rsidRPr="00E973BC">
        <w:rPr>
          <w:szCs w:val="22"/>
        </w:rPr>
        <w:t>,</w:t>
      </w:r>
      <w:r w:rsidR="00975689" w:rsidRPr="00E973BC">
        <w:rPr>
          <w:rStyle w:val="apple-converted-space"/>
          <w:szCs w:val="22"/>
        </w:rPr>
        <w:t> </w:t>
      </w:r>
      <w:hyperlink r:id="rId38" w:history="1">
        <w:r w:rsidR="00975689" w:rsidRPr="00E973BC">
          <w:rPr>
            <w:rStyle w:val="Hyperlink"/>
            <w:color w:val="808080" w:themeColor="background1" w:themeShade="80"/>
            <w:szCs w:val="22"/>
            <w:u w:val="none"/>
          </w:rPr>
          <w:t>Palasciano G</w:t>
        </w:r>
      </w:hyperlink>
      <w:r w:rsidR="00975689" w:rsidRPr="00E973BC">
        <w:rPr>
          <w:szCs w:val="22"/>
        </w:rPr>
        <w:t>.</w:t>
      </w:r>
    </w:p>
    <w:p w:rsidR="00975689" w:rsidRPr="00C15160" w:rsidRDefault="00975689" w:rsidP="00975689">
      <w:pPr>
        <w:pStyle w:val="Corpo"/>
        <w:rPr>
          <w:szCs w:val="22"/>
          <w:lang w:val="en-US"/>
        </w:rPr>
      </w:pPr>
      <w:r w:rsidRPr="00C15160">
        <w:rPr>
          <w:szCs w:val="22"/>
          <w:lang w:val="en-US"/>
        </w:rPr>
        <w:t>Abstract</w:t>
      </w:r>
    </w:p>
    <w:p w:rsidR="00975689" w:rsidRPr="00C15160" w:rsidRDefault="00975689" w:rsidP="00975689">
      <w:pPr>
        <w:pStyle w:val="Corpo"/>
        <w:rPr>
          <w:lang w:val="en-US"/>
        </w:rPr>
      </w:pPr>
      <w:r w:rsidRPr="00E973BC">
        <w:rPr>
          <w:lang w:val="en-US"/>
        </w:rPr>
        <w:t xml:space="preserve">BACKGROUND: A lactose-free diet is commonly prescribed to subjects with hypolactasia. </w:t>
      </w:r>
      <w:r w:rsidRPr="00C15160">
        <w:rPr>
          <w:lang w:val="en-US"/>
        </w:rPr>
        <w:t>We tested the effectiveness</w:t>
      </w:r>
      <w:r w:rsidRPr="00C15160">
        <w:rPr>
          <w:rStyle w:val="apple-converted-space"/>
          <w:szCs w:val="20"/>
          <w:lang w:val="en-US"/>
        </w:rPr>
        <w:t> </w:t>
      </w:r>
      <w:r w:rsidRPr="00C15160">
        <w:rPr>
          <w:rStyle w:val="highlight"/>
          <w:szCs w:val="20"/>
          <w:lang w:val="en-US"/>
        </w:rPr>
        <w:t>of</w:t>
      </w:r>
      <w:r w:rsidRPr="00C15160">
        <w:rPr>
          <w:rStyle w:val="apple-converted-space"/>
          <w:szCs w:val="20"/>
          <w:lang w:val="en-US"/>
        </w:rPr>
        <w:t> </w:t>
      </w:r>
      <w:r w:rsidRPr="00C15160">
        <w:rPr>
          <w:lang w:val="en-US"/>
        </w:rPr>
        <w:t>a single ingestion</w:t>
      </w:r>
      <w:r w:rsidRPr="00C15160">
        <w:rPr>
          <w:rStyle w:val="apple-converted-space"/>
          <w:szCs w:val="20"/>
          <w:lang w:val="en-US"/>
        </w:rPr>
        <w:t> </w:t>
      </w:r>
      <w:r w:rsidRPr="00C15160">
        <w:rPr>
          <w:rStyle w:val="highlight"/>
          <w:szCs w:val="20"/>
          <w:lang w:val="en-US"/>
        </w:rPr>
        <w:t>of</w:t>
      </w:r>
      <w:r w:rsidRPr="00C15160">
        <w:rPr>
          <w:rStyle w:val="apple-converted-space"/>
          <w:szCs w:val="20"/>
          <w:lang w:val="en-US"/>
        </w:rPr>
        <w:t> </w:t>
      </w:r>
      <w:r w:rsidRPr="00C15160">
        <w:rPr>
          <w:lang w:val="en-US"/>
        </w:rPr>
        <w:t>tilactase (a beta-D-galactosidase from Aspergillus oryzae) in adults with hypolactasia, previously assessed by lactose H(2)-breath test.</w:t>
      </w:r>
    </w:p>
    <w:p w:rsidR="00975689" w:rsidRPr="00C15160" w:rsidRDefault="00975689" w:rsidP="00975689">
      <w:pPr>
        <w:pStyle w:val="Corpo"/>
        <w:rPr>
          <w:lang w:val="en-US"/>
        </w:rPr>
      </w:pPr>
      <w:r w:rsidRPr="00E973BC">
        <w:rPr>
          <w:lang w:val="en-US"/>
        </w:rPr>
        <w:t>MATERIALS AND METHODS: After measurement</w:t>
      </w:r>
      <w:r w:rsidRPr="00E973BC">
        <w:rPr>
          <w:rStyle w:val="apple-converted-space"/>
          <w:szCs w:val="20"/>
          <w:lang w:val="en-US"/>
        </w:rPr>
        <w:t> </w:t>
      </w:r>
      <w:r w:rsidRPr="00E973BC">
        <w:rPr>
          <w:rStyle w:val="highlight"/>
          <w:szCs w:val="20"/>
          <w:lang w:val="en-US"/>
        </w:rPr>
        <w:t>of</w:t>
      </w:r>
      <w:r w:rsidRPr="00E973BC">
        <w:rPr>
          <w:rStyle w:val="apple-converted-space"/>
          <w:szCs w:val="20"/>
          <w:lang w:val="en-US"/>
        </w:rPr>
        <w:t> </w:t>
      </w:r>
      <w:r w:rsidRPr="00E973BC">
        <w:rPr>
          <w:lang w:val="en-US"/>
        </w:rPr>
        <w:t>orocecal transit time (OCTT, by lactulose H(2)-breath test) and lactose H(2)-breath testing plus placebo, a total</w:t>
      </w:r>
      <w:r w:rsidRPr="00E973BC">
        <w:rPr>
          <w:rStyle w:val="apple-converted-space"/>
          <w:szCs w:val="20"/>
          <w:lang w:val="en-US"/>
        </w:rPr>
        <w:t> </w:t>
      </w:r>
      <w:r w:rsidRPr="00E973BC">
        <w:rPr>
          <w:rStyle w:val="highlight"/>
          <w:szCs w:val="20"/>
          <w:lang w:val="en-US"/>
        </w:rPr>
        <w:t>of</w:t>
      </w:r>
      <w:r w:rsidRPr="00E973BC">
        <w:rPr>
          <w:rStyle w:val="apple-converted-space"/>
          <w:szCs w:val="20"/>
          <w:lang w:val="en-US"/>
        </w:rPr>
        <w:t> </w:t>
      </w:r>
      <w:r w:rsidRPr="00E973BC">
        <w:rPr>
          <w:lang w:val="en-US"/>
        </w:rPr>
        <w:t>134 subjects were positive to hypolactasia and underwent lactose H(2)-breath testing plus either low (6750 U) or standard (11,250 U) doses</w:t>
      </w:r>
      <w:r w:rsidRPr="00E973BC">
        <w:rPr>
          <w:rStyle w:val="apple-converted-space"/>
          <w:szCs w:val="20"/>
          <w:lang w:val="en-US"/>
        </w:rPr>
        <w:t> </w:t>
      </w:r>
      <w:r w:rsidRPr="00E973BC">
        <w:rPr>
          <w:rStyle w:val="highlight"/>
          <w:szCs w:val="20"/>
          <w:lang w:val="en-US"/>
        </w:rPr>
        <w:t>of</w:t>
      </w:r>
      <w:r w:rsidRPr="00E973BC">
        <w:rPr>
          <w:rStyle w:val="apple-converted-space"/>
          <w:szCs w:val="20"/>
          <w:lang w:val="en-US"/>
        </w:rPr>
        <w:t> </w:t>
      </w:r>
      <w:r w:rsidRPr="00E973BC">
        <w:rPr>
          <w:lang w:val="en-US"/>
        </w:rPr>
        <w:t xml:space="preserve">tilactase. </w:t>
      </w:r>
      <w:r w:rsidRPr="00C15160">
        <w:rPr>
          <w:lang w:val="en-US"/>
        </w:rPr>
        <w:t>The appearance</w:t>
      </w:r>
      <w:r w:rsidRPr="00C15160">
        <w:rPr>
          <w:rStyle w:val="apple-converted-space"/>
          <w:szCs w:val="20"/>
          <w:lang w:val="en-US"/>
        </w:rPr>
        <w:t> </w:t>
      </w:r>
      <w:r w:rsidRPr="00C15160">
        <w:rPr>
          <w:rStyle w:val="highlight"/>
          <w:szCs w:val="20"/>
          <w:lang w:val="en-US"/>
        </w:rPr>
        <w:t>of</w:t>
      </w:r>
      <w:r w:rsidRPr="00C15160">
        <w:rPr>
          <w:rStyle w:val="apple-converted-space"/>
          <w:szCs w:val="20"/>
          <w:lang w:val="en-US"/>
        </w:rPr>
        <w:t> </w:t>
      </w:r>
      <w:r w:rsidRPr="00C15160">
        <w:rPr>
          <w:lang w:val="en-US"/>
        </w:rPr>
        <w:t>gastrointestinal symptoms during the tests was monitored.</w:t>
      </w:r>
    </w:p>
    <w:p w:rsidR="00975689" w:rsidRPr="00C15160" w:rsidRDefault="00975689" w:rsidP="00975689">
      <w:pPr>
        <w:pStyle w:val="Corpo"/>
        <w:rPr>
          <w:lang w:val="en-US"/>
        </w:rPr>
      </w:pPr>
      <w:r w:rsidRPr="00E973BC">
        <w:rPr>
          <w:lang w:val="en-US"/>
        </w:rPr>
        <w:t xml:space="preserve">RESULTS: OCTT was longer in malabsorbers (subjects without bloating, abdominal pain and/or diarrhoea, n = 25) than in intolerants (bloating, abdominal pain and/or diarrhoea, n = 109, P &lt; 0.02). </w:t>
      </w:r>
      <w:r w:rsidRPr="00C15160">
        <w:rPr>
          <w:lang w:val="en-US"/>
        </w:rPr>
        <w:t xml:space="preserve">Malabsorbers had longer time to H(2) peak (P &lt; 0.03), lower H(2) peak levels (P &lt; 0.002) and smaller integrated H(2) excretion levels (P &lt; 0.005) than intolerants. After tilactase ingestion, integrated H(2) levels were decreased by 75% (low dose) and 87% (standard dose) in malabsorbers, and by 74% (low dose) </w:t>
      </w:r>
      <w:r w:rsidRPr="00C15160">
        <w:rPr>
          <w:lang w:val="en-US"/>
        </w:rPr>
        <w:lastRenderedPageBreak/>
        <w:t>and 88% (standard dose) in intolerants. In the latter group, total symptom score were decreased by 76% (low dose) and by 88% (standard dose) (P &lt; 0.0001).</w:t>
      </w:r>
    </w:p>
    <w:p w:rsidR="00975689" w:rsidRPr="00C15160" w:rsidRDefault="00975689" w:rsidP="00975689">
      <w:pPr>
        <w:pStyle w:val="Corpo"/>
        <w:rPr>
          <w:lang w:val="en-US"/>
        </w:rPr>
      </w:pPr>
      <w:r w:rsidRPr="00E973BC">
        <w:rPr>
          <w:lang w:val="en-US"/>
        </w:rPr>
        <w:t>CONCLUSION: A single oral administration</w:t>
      </w:r>
      <w:r w:rsidRPr="00E973BC">
        <w:rPr>
          <w:rStyle w:val="apple-converted-space"/>
          <w:szCs w:val="20"/>
          <w:lang w:val="en-US"/>
        </w:rPr>
        <w:t> </w:t>
      </w:r>
      <w:r w:rsidRPr="00E973BC">
        <w:rPr>
          <w:rStyle w:val="highlight"/>
          <w:szCs w:val="20"/>
          <w:lang w:val="en-US"/>
        </w:rPr>
        <w:t>of</w:t>
      </w:r>
      <w:r w:rsidRPr="00E973BC">
        <w:rPr>
          <w:rStyle w:val="apple-converted-space"/>
          <w:szCs w:val="20"/>
          <w:lang w:val="en-US"/>
        </w:rPr>
        <w:t> </w:t>
      </w:r>
      <w:r w:rsidRPr="00E973BC">
        <w:rPr>
          <w:lang w:val="en-US"/>
        </w:rPr>
        <w:t>tilactase is highly effective in decreasing symptoms and hydrogen excretion</w:t>
      </w:r>
      <w:r w:rsidRPr="00E973BC">
        <w:rPr>
          <w:rStyle w:val="apple-converted-space"/>
          <w:szCs w:val="20"/>
          <w:lang w:val="en-US"/>
        </w:rPr>
        <w:t> </w:t>
      </w:r>
      <w:r w:rsidRPr="00E973BC">
        <w:rPr>
          <w:rStyle w:val="highlight"/>
          <w:szCs w:val="20"/>
          <w:lang w:val="en-US"/>
        </w:rPr>
        <w:t>of</w:t>
      </w:r>
      <w:r w:rsidRPr="00E973BC">
        <w:rPr>
          <w:lang w:val="en-US"/>
        </w:rPr>
        <w:t xml:space="preserve">hypolactasia assessed by lactose H(2)-breath test. </w:t>
      </w:r>
      <w:r w:rsidRPr="00C15160">
        <w:rPr>
          <w:lang w:val="en-US"/>
        </w:rPr>
        <w:t>If confirmed by long-term observations, ingestion</w:t>
      </w:r>
      <w:r w:rsidRPr="00C15160">
        <w:rPr>
          <w:rStyle w:val="apple-converted-space"/>
          <w:szCs w:val="20"/>
          <w:lang w:val="en-US"/>
        </w:rPr>
        <w:t> </w:t>
      </w:r>
      <w:r w:rsidRPr="00C15160">
        <w:rPr>
          <w:rStyle w:val="highlight"/>
          <w:szCs w:val="20"/>
          <w:lang w:val="en-US"/>
        </w:rPr>
        <w:t>of</w:t>
      </w:r>
      <w:r w:rsidRPr="00C15160">
        <w:rPr>
          <w:rStyle w:val="apple-converted-space"/>
          <w:szCs w:val="20"/>
          <w:lang w:val="en-US"/>
        </w:rPr>
        <w:t> </w:t>
      </w:r>
      <w:r w:rsidRPr="00C15160">
        <w:rPr>
          <w:lang w:val="en-US"/>
        </w:rPr>
        <w:t>tilactase might be a better option than exclusion diets in intolerant subjects with hypolactasia.</w:t>
      </w:r>
    </w:p>
    <w:p w:rsidR="00975689" w:rsidRPr="00E973BC" w:rsidRDefault="00975689" w:rsidP="00975689">
      <w:pPr>
        <w:pStyle w:val="Corpo"/>
        <w:rPr>
          <w:szCs w:val="17"/>
          <w:lang w:val="en-US"/>
        </w:rPr>
      </w:pPr>
      <w:r w:rsidRPr="00E973BC">
        <w:rPr>
          <w:szCs w:val="17"/>
          <w:lang w:val="en-US"/>
        </w:rPr>
        <w:t>PMID:</w:t>
      </w:r>
      <w:r w:rsidRPr="00E973BC">
        <w:rPr>
          <w:rStyle w:val="apple-converted-space"/>
          <w:szCs w:val="17"/>
          <w:lang w:val="en-US"/>
        </w:rPr>
        <w:t> </w:t>
      </w:r>
      <w:r w:rsidRPr="00E973BC">
        <w:rPr>
          <w:szCs w:val="17"/>
          <w:lang w:val="en-US"/>
        </w:rPr>
        <w:t>19021701</w:t>
      </w:r>
      <w:r w:rsidRPr="00E973BC">
        <w:rPr>
          <w:rStyle w:val="apple-converted-space"/>
          <w:szCs w:val="17"/>
          <w:lang w:val="en-US"/>
        </w:rPr>
        <w:t> </w:t>
      </w:r>
      <w:r w:rsidRPr="00E973BC">
        <w:rPr>
          <w:szCs w:val="17"/>
          <w:lang w:val="en-US"/>
        </w:rPr>
        <w:t>[PubMed - indexed for MEDLINE]</w:t>
      </w:r>
    </w:p>
    <w:p w:rsidR="00975689" w:rsidRDefault="00975689" w:rsidP="00975689">
      <w:pPr>
        <w:pStyle w:val="Corpo"/>
        <w:rPr>
          <w:szCs w:val="17"/>
          <w:lang w:val="en-US"/>
        </w:rPr>
      </w:pPr>
    </w:p>
    <w:p w:rsidR="00975689" w:rsidRPr="00E973BC" w:rsidRDefault="00975689" w:rsidP="00975689">
      <w:pPr>
        <w:pStyle w:val="Corpo"/>
        <w:rPr>
          <w:szCs w:val="17"/>
          <w:lang w:val="en-US"/>
        </w:rPr>
      </w:pPr>
    </w:p>
    <w:p w:rsidR="00975689" w:rsidRPr="00C017EB" w:rsidRDefault="00935914" w:rsidP="00975689">
      <w:pPr>
        <w:pStyle w:val="Corpo"/>
        <w:rPr>
          <w:lang w:val="en-US"/>
        </w:rPr>
      </w:pPr>
      <w:hyperlink r:id="rId39" w:tooltip="Evidence report/technology assessment." w:history="1">
        <w:r w:rsidR="00975689" w:rsidRPr="00C017EB">
          <w:rPr>
            <w:rStyle w:val="Hyperlink"/>
            <w:color w:val="808080" w:themeColor="background1" w:themeShade="80"/>
            <w:szCs w:val="20"/>
            <w:u w:val="none"/>
            <w:lang w:val="en-US"/>
          </w:rPr>
          <w:t>Evid Rep Technol Assess (Full Rep).</w:t>
        </w:r>
      </w:hyperlink>
      <w:r w:rsidR="00975689" w:rsidRPr="00C017EB">
        <w:rPr>
          <w:rStyle w:val="apple-converted-space"/>
          <w:szCs w:val="20"/>
          <w:lang w:val="en-US"/>
        </w:rPr>
        <w:t> </w:t>
      </w:r>
      <w:r w:rsidR="00975689" w:rsidRPr="00C017EB">
        <w:rPr>
          <w:lang w:val="en-US"/>
        </w:rPr>
        <w:t>2009 Aug;(183):1-420.</w:t>
      </w:r>
    </w:p>
    <w:p w:rsidR="00975689" w:rsidRPr="00C15160" w:rsidRDefault="00975689" w:rsidP="00975689">
      <w:pPr>
        <w:pStyle w:val="Corpo"/>
        <w:rPr>
          <w:b/>
          <w:lang w:val="en-US"/>
        </w:rPr>
      </w:pPr>
      <w:r w:rsidRPr="00C15160">
        <w:rPr>
          <w:rStyle w:val="highlight"/>
          <w:b/>
          <w:szCs w:val="30"/>
          <w:lang w:val="en-US"/>
        </w:rPr>
        <w:t>Vitamin D</w:t>
      </w:r>
      <w:r w:rsidRPr="00C15160">
        <w:rPr>
          <w:rStyle w:val="apple-converted-space"/>
          <w:b/>
          <w:szCs w:val="30"/>
          <w:lang w:val="en-US"/>
        </w:rPr>
        <w:t> </w:t>
      </w:r>
      <w:r w:rsidRPr="00C15160">
        <w:rPr>
          <w:b/>
          <w:szCs w:val="30"/>
          <w:lang w:val="en-US"/>
        </w:rPr>
        <w:t>and</w:t>
      </w:r>
      <w:r w:rsidRPr="00C15160">
        <w:rPr>
          <w:rStyle w:val="apple-converted-space"/>
          <w:b/>
          <w:szCs w:val="30"/>
          <w:lang w:val="en-US"/>
        </w:rPr>
        <w:t> </w:t>
      </w:r>
      <w:r w:rsidRPr="00C15160">
        <w:rPr>
          <w:rStyle w:val="highlight"/>
          <w:b/>
          <w:szCs w:val="30"/>
          <w:lang w:val="en-US"/>
        </w:rPr>
        <w:t>calcium</w:t>
      </w:r>
      <w:r w:rsidRPr="00C15160">
        <w:rPr>
          <w:b/>
          <w:szCs w:val="30"/>
          <w:lang w:val="en-US"/>
        </w:rPr>
        <w:t>: a</w:t>
      </w:r>
      <w:r w:rsidRPr="00C15160">
        <w:rPr>
          <w:rStyle w:val="apple-converted-space"/>
          <w:b/>
          <w:szCs w:val="30"/>
          <w:lang w:val="en-US"/>
        </w:rPr>
        <w:t> </w:t>
      </w:r>
      <w:r w:rsidRPr="00C15160">
        <w:rPr>
          <w:rStyle w:val="highlight"/>
          <w:b/>
          <w:szCs w:val="30"/>
          <w:lang w:val="en-US"/>
        </w:rPr>
        <w:t>systematic review</w:t>
      </w:r>
      <w:r w:rsidRPr="00C15160">
        <w:rPr>
          <w:rStyle w:val="apple-converted-space"/>
          <w:b/>
          <w:szCs w:val="30"/>
          <w:lang w:val="en-US"/>
        </w:rPr>
        <w:t> </w:t>
      </w:r>
      <w:r w:rsidRPr="00C15160">
        <w:rPr>
          <w:b/>
          <w:szCs w:val="30"/>
          <w:lang w:val="en-US"/>
        </w:rPr>
        <w:t>of</w:t>
      </w:r>
      <w:r w:rsidRPr="00C15160">
        <w:rPr>
          <w:rStyle w:val="apple-converted-space"/>
          <w:b/>
          <w:szCs w:val="30"/>
          <w:lang w:val="en-US"/>
        </w:rPr>
        <w:t> </w:t>
      </w:r>
      <w:r w:rsidRPr="00C15160">
        <w:rPr>
          <w:rStyle w:val="highlight"/>
          <w:b/>
          <w:szCs w:val="30"/>
          <w:lang w:val="en-US"/>
        </w:rPr>
        <w:t>health</w:t>
      </w:r>
      <w:r w:rsidRPr="00C15160">
        <w:rPr>
          <w:rStyle w:val="apple-converted-space"/>
          <w:b/>
          <w:szCs w:val="30"/>
          <w:lang w:val="en-US"/>
        </w:rPr>
        <w:t> </w:t>
      </w:r>
      <w:r w:rsidRPr="00C15160">
        <w:rPr>
          <w:b/>
          <w:szCs w:val="30"/>
          <w:lang w:val="en-US"/>
        </w:rPr>
        <w:t>outcomes.</w:t>
      </w:r>
    </w:p>
    <w:p w:rsidR="00975689" w:rsidRPr="00C15160" w:rsidRDefault="00935914" w:rsidP="00975689">
      <w:pPr>
        <w:pStyle w:val="Corpo"/>
        <w:rPr>
          <w:szCs w:val="30"/>
          <w:lang w:val="en-US"/>
        </w:rPr>
      </w:pPr>
      <w:hyperlink r:id="rId40" w:history="1">
        <w:r w:rsidR="00975689" w:rsidRPr="00C15160">
          <w:rPr>
            <w:rStyle w:val="Hyperlink"/>
            <w:color w:val="808080" w:themeColor="background1" w:themeShade="80"/>
            <w:szCs w:val="22"/>
            <w:u w:val="none"/>
            <w:lang w:val="en-US"/>
          </w:rPr>
          <w:t>Chung M</w:t>
        </w:r>
      </w:hyperlink>
      <w:r w:rsidR="00975689" w:rsidRPr="00C15160">
        <w:rPr>
          <w:szCs w:val="22"/>
          <w:lang w:val="en-US"/>
        </w:rPr>
        <w:t>,</w:t>
      </w:r>
      <w:r w:rsidR="00975689" w:rsidRPr="00C15160">
        <w:rPr>
          <w:rStyle w:val="apple-converted-space"/>
          <w:szCs w:val="22"/>
          <w:lang w:val="en-US"/>
        </w:rPr>
        <w:t> </w:t>
      </w:r>
      <w:hyperlink r:id="rId41" w:history="1">
        <w:r w:rsidR="00975689" w:rsidRPr="00C15160">
          <w:rPr>
            <w:rStyle w:val="Hyperlink"/>
            <w:color w:val="808080" w:themeColor="background1" w:themeShade="80"/>
            <w:szCs w:val="22"/>
            <w:u w:val="none"/>
            <w:lang w:val="en-US"/>
          </w:rPr>
          <w:t>Balk EM</w:t>
        </w:r>
      </w:hyperlink>
      <w:r w:rsidR="00975689" w:rsidRPr="00C15160">
        <w:rPr>
          <w:szCs w:val="22"/>
          <w:lang w:val="en-US"/>
        </w:rPr>
        <w:t>,</w:t>
      </w:r>
      <w:r w:rsidR="00975689" w:rsidRPr="00C15160">
        <w:rPr>
          <w:rStyle w:val="apple-converted-space"/>
          <w:szCs w:val="22"/>
          <w:lang w:val="en-US"/>
        </w:rPr>
        <w:t> </w:t>
      </w:r>
      <w:hyperlink r:id="rId42" w:history="1">
        <w:r w:rsidR="00975689" w:rsidRPr="00C15160">
          <w:rPr>
            <w:rStyle w:val="Hyperlink"/>
            <w:color w:val="808080" w:themeColor="background1" w:themeShade="80"/>
            <w:szCs w:val="22"/>
            <w:u w:val="none"/>
            <w:lang w:val="en-US"/>
          </w:rPr>
          <w:t>Brendel M</w:t>
        </w:r>
      </w:hyperlink>
      <w:r w:rsidR="00975689" w:rsidRPr="00C15160">
        <w:rPr>
          <w:szCs w:val="22"/>
          <w:lang w:val="en-US"/>
        </w:rPr>
        <w:t>,</w:t>
      </w:r>
      <w:r w:rsidR="00975689" w:rsidRPr="00C15160">
        <w:rPr>
          <w:rStyle w:val="apple-converted-space"/>
          <w:szCs w:val="22"/>
          <w:lang w:val="en-US"/>
        </w:rPr>
        <w:t> </w:t>
      </w:r>
      <w:hyperlink r:id="rId43" w:history="1">
        <w:r w:rsidR="00975689" w:rsidRPr="00C15160">
          <w:rPr>
            <w:rStyle w:val="Hyperlink"/>
            <w:color w:val="808080" w:themeColor="background1" w:themeShade="80"/>
            <w:szCs w:val="22"/>
            <w:u w:val="none"/>
            <w:lang w:val="en-US"/>
          </w:rPr>
          <w:t>Ip S</w:t>
        </w:r>
      </w:hyperlink>
      <w:r w:rsidR="00975689" w:rsidRPr="00C15160">
        <w:rPr>
          <w:szCs w:val="22"/>
          <w:lang w:val="en-US"/>
        </w:rPr>
        <w:t>,</w:t>
      </w:r>
      <w:r w:rsidR="00975689" w:rsidRPr="00C15160">
        <w:rPr>
          <w:rStyle w:val="apple-converted-space"/>
          <w:szCs w:val="22"/>
          <w:lang w:val="en-US"/>
        </w:rPr>
        <w:t> </w:t>
      </w:r>
      <w:hyperlink r:id="rId44" w:history="1">
        <w:r w:rsidR="00975689" w:rsidRPr="00C15160">
          <w:rPr>
            <w:rStyle w:val="Hyperlink"/>
            <w:color w:val="808080" w:themeColor="background1" w:themeShade="80"/>
            <w:szCs w:val="22"/>
            <w:u w:val="none"/>
            <w:lang w:val="en-US"/>
          </w:rPr>
          <w:t>Lau J</w:t>
        </w:r>
      </w:hyperlink>
      <w:r w:rsidR="00975689" w:rsidRPr="00C15160">
        <w:rPr>
          <w:szCs w:val="22"/>
          <w:lang w:val="en-US"/>
        </w:rPr>
        <w:t>,</w:t>
      </w:r>
      <w:r w:rsidR="00975689" w:rsidRPr="00C15160">
        <w:rPr>
          <w:rStyle w:val="apple-converted-space"/>
          <w:szCs w:val="22"/>
          <w:lang w:val="en-US"/>
        </w:rPr>
        <w:t> </w:t>
      </w:r>
      <w:hyperlink r:id="rId45" w:history="1">
        <w:r w:rsidR="00975689" w:rsidRPr="00C15160">
          <w:rPr>
            <w:rStyle w:val="Hyperlink"/>
            <w:color w:val="808080" w:themeColor="background1" w:themeShade="80"/>
            <w:szCs w:val="22"/>
            <w:u w:val="none"/>
            <w:lang w:val="en-US"/>
          </w:rPr>
          <w:t>Lee J</w:t>
        </w:r>
      </w:hyperlink>
      <w:r w:rsidR="00975689" w:rsidRPr="00C15160">
        <w:rPr>
          <w:szCs w:val="22"/>
          <w:lang w:val="en-US"/>
        </w:rPr>
        <w:t>,</w:t>
      </w:r>
      <w:r w:rsidR="00975689" w:rsidRPr="00C15160">
        <w:rPr>
          <w:rStyle w:val="apple-converted-space"/>
          <w:szCs w:val="22"/>
          <w:lang w:val="en-US"/>
        </w:rPr>
        <w:t> </w:t>
      </w:r>
      <w:hyperlink r:id="rId46" w:history="1">
        <w:r w:rsidR="00975689" w:rsidRPr="00C15160">
          <w:rPr>
            <w:rStyle w:val="Hyperlink"/>
            <w:color w:val="808080" w:themeColor="background1" w:themeShade="80"/>
            <w:szCs w:val="22"/>
            <w:u w:val="none"/>
            <w:lang w:val="en-US"/>
          </w:rPr>
          <w:t>Lichtenstein A</w:t>
        </w:r>
      </w:hyperlink>
      <w:r w:rsidR="00975689" w:rsidRPr="00C15160">
        <w:rPr>
          <w:szCs w:val="22"/>
          <w:lang w:val="en-US"/>
        </w:rPr>
        <w:t>,</w:t>
      </w:r>
      <w:r w:rsidR="00975689" w:rsidRPr="00C15160">
        <w:rPr>
          <w:rStyle w:val="apple-converted-space"/>
          <w:szCs w:val="22"/>
          <w:lang w:val="en-US"/>
        </w:rPr>
        <w:t> </w:t>
      </w:r>
      <w:hyperlink r:id="rId47" w:history="1">
        <w:r w:rsidR="00975689" w:rsidRPr="00C15160">
          <w:rPr>
            <w:rStyle w:val="Hyperlink"/>
            <w:color w:val="808080" w:themeColor="background1" w:themeShade="80"/>
            <w:szCs w:val="22"/>
            <w:u w:val="none"/>
            <w:lang w:val="en-US"/>
          </w:rPr>
          <w:t>Patel K</w:t>
        </w:r>
      </w:hyperlink>
      <w:r w:rsidR="00975689" w:rsidRPr="00C15160">
        <w:rPr>
          <w:szCs w:val="22"/>
          <w:lang w:val="en-US"/>
        </w:rPr>
        <w:t>,</w:t>
      </w:r>
      <w:r w:rsidR="00975689" w:rsidRPr="00C15160">
        <w:rPr>
          <w:rStyle w:val="apple-converted-space"/>
          <w:szCs w:val="22"/>
          <w:lang w:val="en-US"/>
        </w:rPr>
        <w:t> </w:t>
      </w:r>
      <w:hyperlink r:id="rId48" w:history="1">
        <w:r w:rsidR="00975689" w:rsidRPr="00C15160">
          <w:rPr>
            <w:rStyle w:val="Hyperlink"/>
            <w:color w:val="808080" w:themeColor="background1" w:themeShade="80"/>
            <w:szCs w:val="22"/>
            <w:u w:val="none"/>
            <w:lang w:val="en-US"/>
          </w:rPr>
          <w:t>Raman G</w:t>
        </w:r>
      </w:hyperlink>
      <w:r w:rsidR="00975689" w:rsidRPr="00C15160">
        <w:rPr>
          <w:szCs w:val="22"/>
          <w:lang w:val="en-US"/>
        </w:rPr>
        <w:t>,</w:t>
      </w:r>
      <w:r w:rsidR="00975689" w:rsidRPr="00C15160">
        <w:rPr>
          <w:rStyle w:val="apple-converted-space"/>
          <w:szCs w:val="22"/>
          <w:lang w:val="en-US"/>
        </w:rPr>
        <w:t> </w:t>
      </w:r>
      <w:hyperlink r:id="rId49" w:history="1">
        <w:r w:rsidR="00975689" w:rsidRPr="00C15160">
          <w:rPr>
            <w:rStyle w:val="Hyperlink"/>
            <w:color w:val="808080" w:themeColor="background1" w:themeShade="80"/>
            <w:szCs w:val="22"/>
            <w:u w:val="none"/>
            <w:lang w:val="en-US"/>
          </w:rPr>
          <w:t>Tatsioni A</w:t>
        </w:r>
      </w:hyperlink>
      <w:r w:rsidR="00975689" w:rsidRPr="00C15160">
        <w:rPr>
          <w:szCs w:val="22"/>
          <w:lang w:val="en-US"/>
        </w:rPr>
        <w:t>,</w:t>
      </w:r>
      <w:r w:rsidR="00975689" w:rsidRPr="00C15160">
        <w:rPr>
          <w:rStyle w:val="apple-converted-space"/>
          <w:szCs w:val="22"/>
          <w:lang w:val="en-US"/>
        </w:rPr>
        <w:t> </w:t>
      </w:r>
      <w:hyperlink r:id="rId50" w:history="1">
        <w:r w:rsidR="00975689" w:rsidRPr="00C15160">
          <w:rPr>
            <w:rStyle w:val="Hyperlink"/>
            <w:color w:val="808080" w:themeColor="background1" w:themeShade="80"/>
            <w:szCs w:val="22"/>
            <w:u w:val="none"/>
            <w:lang w:val="en-US"/>
          </w:rPr>
          <w:t>Terasawa T</w:t>
        </w:r>
      </w:hyperlink>
      <w:r w:rsidR="00975689" w:rsidRPr="00C15160">
        <w:rPr>
          <w:szCs w:val="22"/>
          <w:lang w:val="en-US"/>
        </w:rPr>
        <w:t>,</w:t>
      </w:r>
      <w:r w:rsidR="00975689" w:rsidRPr="00C15160">
        <w:rPr>
          <w:rStyle w:val="apple-converted-space"/>
          <w:szCs w:val="22"/>
          <w:lang w:val="en-US"/>
        </w:rPr>
        <w:t> </w:t>
      </w:r>
      <w:hyperlink r:id="rId51" w:history="1">
        <w:r w:rsidR="00975689" w:rsidRPr="00C15160">
          <w:rPr>
            <w:rStyle w:val="Hyperlink"/>
            <w:color w:val="808080" w:themeColor="background1" w:themeShade="80"/>
            <w:szCs w:val="22"/>
            <w:u w:val="none"/>
            <w:lang w:val="en-US"/>
          </w:rPr>
          <w:t>Trikalinos TA</w:t>
        </w:r>
      </w:hyperlink>
      <w:r w:rsidR="00975689" w:rsidRPr="00C15160">
        <w:rPr>
          <w:szCs w:val="22"/>
          <w:lang w:val="en-US"/>
        </w:rPr>
        <w:t>.</w:t>
      </w:r>
    </w:p>
    <w:p w:rsidR="00975689" w:rsidRPr="00C15160" w:rsidRDefault="00975689" w:rsidP="00975689">
      <w:pPr>
        <w:pStyle w:val="Corpo"/>
        <w:rPr>
          <w:szCs w:val="22"/>
          <w:lang w:val="en-US"/>
        </w:rPr>
      </w:pPr>
      <w:r w:rsidRPr="00C15160">
        <w:rPr>
          <w:szCs w:val="22"/>
          <w:lang w:val="en-US"/>
        </w:rPr>
        <w:t>Abstract</w:t>
      </w:r>
    </w:p>
    <w:p w:rsidR="00975689" w:rsidRPr="00C15160" w:rsidRDefault="00975689" w:rsidP="00975689">
      <w:pPr>
        <w:pStyle w:val="Corpo"/>
        <w:rPr>
          <w:lang w:val="en-US"/>
        </w:rPr>
      </w:pPr>
      <w:r w:rsidRPr="00E973BC">
        <w:rPr>
          <w:lang w:val="en-US"/>
        </w:rPr>
        <w:t>BACKGROUND: Since the 1997 Dietary Reference Intake (DRI) values for</w:t>
      </w:r>
      <w:r w:rsidRPr="00E973BC">
        <w:rPr>
          <w:rStyle w:val="apple-converted-space"/>
          <w:szCs w:val="20"/>
          <w:lang w:val="en-US"/>
        </w:rPr>
        <w:t> </w:t>
      </w:r>
      <w:r w:rsidRPr="00E973BC">
        <w:rPr>
          <w:rStyle w:val="highlight"/>
          <w:szCs w:val="20"/>
          <w:lang w:val="en-US"/>
        </w:rPr>
        <w:t>vitamin D</w:t>
      </w:r>
      <w:r w:rsidRPr="00E973BC">
        <w:rPr>
          <w:rStyle w:val="apple-converted-space"/>
          <w:szCs w:val="20"/>
          <w:lang w:val="en-US"/>
        </w:rPr>
        <w:t> </w:t>
      </w:r>
      <w:r w:rsidRPr="00E973BC">
        <w:rPr>
          <w:lang w:val="en-US"/>
        </w:rPr>
        <w:t>and</w:t>
      </w:r>
      <w:r w:rsidRPr="00E973BC">
        <w:rPr>
          <w:rStyle w:val="apple-converted-space"/>
          <w:szCs w:val="20"/>
          <w:lang w:val="en-US"/>
        </w:rPr>
        <w:t> </w:t>
      </w:r>
      <w:r w:rsidRPr="00E973BC">
        <w:rPr>
          <w:rStyle w:val="highlight"/>
          <w:szCs w:val="20"/>
          <w:lang w:val="en-US"/>
        </w:rPr>
        <w:t>calcium</w:t>
      </w:r>
      <w:r w:rsidRPr="00E973BC">
        <w:rPr>
          <w:rStyle w:val="apple-converted-space"/>
          <w:szCs w:val="20"/>
          <w:lang w:val="en-US"/>
        </w:rPr>
        <w:t> </w:t>
      </w:r>
      <w:r w:rsidRPr="00E973BC">
        <w:rPr>
          <w:lang w:val="en-US"/>
        </w:rPr>
        <w:t>were established new data have become available on their relationship, both individually and combined, to a wide range of</w:t>
      </w:r>
      <w:r w:rsidRPr="00E973BC">
        <w:rPr>
          <w:rStyle w:val="apple-converted-space"/>
          <w:szCs w:val="20"/>
          <w:lang w:val="en-US"/>
        </w:rPr>
        <w:t> </w:t>
      </w:r>
      <w:r w:rsidRPr="00E973BC">
        <w:rPr>
          <w:rStyle w:val="highlight"/>
          <w:szCs w:val="20"/>
          <w:lang w:val="en-US"/>
        </w:rPr>
        <w:t>health</w:t>
      </w:r>
      <w:r w:rsidRPr="00E973BC">
        <w:rPr>
          <w:rStyle w:val="apple-converted-space"/>
          <w:szCs w:val="20"/>
          <w:lang w:val="en-US"/>
        </w:rPr>
        <w:t> </w:t>
      </w:r>
      <w:r w:rsidRPr="00E973BC">
        <w:rPr>
          <w:lang w:val="en-US"/>
        </w:rPr>
        <w:t xml:space="preserve">outcomes. </w:t>
      </w:r>
      <w:r w:rsidRPr="00C15160">
        <w:rPr>
          <w:lang w:val="en-US"/>
        </w:rPr>
        <w:t>The Institute of Medicine/Food and Nutrition Board has constituted a DRI committee to undertake a</w:t>
      </w:r>
      <w:r w:rsidRPr="00C15160">
        <w:rPr>
          <w:rStyle w:val="apple-converted-space"/>
          <w:szCs w:val="20"/>
          <w:lang w:val="en-US"/>
        </w:rPr>
        <w:t> </w:t>
      </w:r>
      <w:r w:rsidRPr="00C15160">
        <w:rPr>
          <w:rStyle w:val="highlight"/>
          <w:szCs w:val="20"/>
          <w:lang w:val="en-US"/>
        </w:rPr>
        <w:t>review</w:t>
      </w:r>
      <w:r w:rsidRPr="00C15160">
        <w:rPr>
          <w:rStyle w:val="apple-converted-space"/>
          <w:szCs w:val="20"/>
          <w:lang w:val="en-US"/>
        </w:rPr>
        <w:t> </w:t>
      </w:r>
      <w:r w:rsidRPr="00C15160">
        <w:rPr>
          <w:lang w:val="en-US"/>
        </w:rPr>
        <w:t>of the evidence and potential revision of the current DRI values for these nutrients. To support this</w:t>
      </w:r>
      <w:r w:rsidRPr="00C15160">
        <w:rPr>
          <w:rStyle w:val="apple-converted-space"/>
          <w:szCs w:val="20"/>
          <w:lang w:val="en-US"/>
        </w:rPr>
        <w:t> </w:t>
      </w:r>
      <w:r w:rsidRPr="00C15160">
        <w:rPr>
          <w:rStyle w:val="highlight"/>
          <w:szCs w:val="20"/>
          <w:lang w:val="en-US"/>
        </w:rPr>
        <w:t>review</w:t>
      </w:r>
      <w:r w:rsidRPr="00C15160">
        <w:rPr>
          <w:lang w:val="en-US"/>
        </w:rPr>
        <w:t>, several US and Canadian federal government agencies commissioned a</w:t>
      </w:r>
      <w:r w:rsidRPr="00C15160">
        <w:rPr>
          <w:rStyle w:val="apple-converted-space"/>
          <w:szCs w:val="20"/>
          <w:lang w:val="en-US"/>
        </w:rPr>
        <w:t> </w:t>
      </w:r>
      <w:r w:rsidRPr="00C15160">
        <w:rPr>
          <w:rStyle w:val="highlight"/>
          <w:szCs w:val="20"/>
          <w:lang w:val="en-US"/>
        </w:rPr>
        <w:t>systematic review</w:t>
      </w:r>
      <w:r w:rsidRPr="00C15160">
        <w:rPr>
          <w:rStyle w:val="apple-converted-space"/>
          <w:szCs w:val="20"/>
          <w:lang w:val="en-US"/>
        </w:rPr>
        <w:t> </w:t>
      </w:r>
      <w:r w:rsidRPr="00C15160">
        <w:rPr>
          <w:lang w:val="en-US"/>
        </w:rPr>
        <w:t>of the scientific literature for use during the deliberations by the committee. The intent of providing a</w:t>
      </w:r>
      <w:r w:rsidRPr="00C15160">
        <w:rPr>
          <w:rStyle w:val="apple-converted-space"/>
          <w:szCs w:val="20"/>
          <w:lang w:val="en-US"/>
        </w:rPr>
        <w:t> </w:t>
      </w:r>
      <w:r w:rsidRPr="00C15160">
        <w:rPr>
          <w:rStyle w:val="highlight"/>
          <w:szCs w:val="20"/>
          <w:lang w:val="en-US"/>
        </w:rPr>
        <w:t>systematic review</w:t>
      </w:r>
      <w:r w:rsidRPr="00C15160">
        <w:rPr>
          <w:rStyle w:val="apple-converted-space"/>
          <w:szCs w:val="20"/>
          <w:lang w:val="en-US"/>
        </w:rPr>
        <w:t> </w:t>
      </w:r>
      <w:r w:rsidRPr="00C15160">
        <w:rPr>
          <w:lang w:val="en-US"/>
        </w:rPr>
        <w:t>to the committee is to support transparency of the literature</w:t>
      </w:r>
      <w:r w:rsidRPr="00C15160">
        <w:rPr>
          <w:rStyle w:val="apple-converted-space"/>
          <w:szCs w:val="20"/>
          <w:lang w:val="en-US"/>
        </w:rPr>
        <w:t> </w:t>
      </w:r>
      <w:r w:rsidRPr="00C15160">
        <w:rPr>
          <w:rStyle w:val="highlight"/>
          <w:szCs w:val="20"/>
          <w:lang w:val="en-US"/>
        </w:rPr>
        <w:t>review</w:t>
      </w:r>
      <w:r w:rsidRPr="00C15160">
        <w:rPr>
          <w:rStyle w:val="apple-converted-space"/>
          <w:szCs w:val="20"/>
          <w:lang w:val="en-US"/>
        </w:rPr>
        <w:t> </w:t>
      </w:r>
      <w:r w:rsidRPr="00C15160">
        <w:rPr>
          <w:lang w:val="en-US"/>
        </w:rPr>
        <w:t>process and provide a foundation for subsequent reviews of the nutrients.</w:t>
      </w:r>
    </w:p>
    <w:p w:rsidR="00975689" w:rsidRPr="00E973BC" w:rsidRDefault="00975689" w:rsidP="00975689">
      <w:pPr>
        <w:pStyle w:val="Corpo"/>
        <w:rPr>
          <w:lang w:val="en-US"/>
        </w:rPr>
      </w:pPr>
      <w:r w:rsidRPr="00E973BC">
        <w:rPr>
          <w:lang w:val="en-US"/>
        </w:rPr>
        <w:t>PURPOSE: To systematically summarize the evidence on the relationship between</w:t>
      </w:r>
      <w:r w:rsidRPr="00E973BC">
        <w:rPr>
          <w:rStyle w:val="apple-converted-space"/>
          <w:szCs w:val="20"/>
          <w:lang w:val="en-US"/>
        </w:rPr>
        <w:t> </w:t>
      </w:r>
      <w:r w:rsidRPr="00E973BC">
        <w:rPr>
          <w:rStyle w:val="highlight"/>
          <w:szCs w:val="20"/>
          <w:lang w:val="en-US"/>
        </w:rPr>
        <w:t>vitamin D</w:t>
      </w:r>
      <w:r w:rsidRPr="00E973BC">
        <w:rPr>
          <w:lang w:val="en-US"/>
        </w:rPr>
        <w:t>,</w:t>
      </w:r>
      <w:r w:rsidRPr="00E973BC">
        <w:rPr>
          <w:rStyle w:val="apple-converted-space"/>
          <w:szCs w:val="20"/>
          <w:lang w:val="en-US"/>
        </w:rPr>
        <w:t> </w:t>
      </w:r>
      <w:r w:rsidRPr="00E973BC">
        <w:rPr>
          <w:rStyle w:val="highlight"/>
          <w:szCs w:val="20"/>
          <w:lang w:val="en-US"/>
        </w:rPr>
        <w:t>calcium</w:t>
      </w:r>
      <w:r w:rsidRPr="00E973BC">
        <w:rPr>
          <w:lang w:val="en-US"/>
        </w:rPr>
        <w:t>, and a combination of both nutrients on a wide range of</w:t>
      </w:r>
      <w:r w:rsidRPr="00E973BC">
        <w:rPr>
          <w:rStyle w:val="apple-converted-space"/>
          <w:szCs w:val="20"/>
          <w:lang w:val="en-US"/>
        </w:rPr>
        <w:t> </w:t>
      </w:r>
      <w:r w:rsidRPr="00E973BC">
        <w:rPr>
          <w:rStyle w:val="highlight"/>
          <w:szCs w:val="20"/>
          <w:lang w:val="en-US"/>
        </w:rPr>
        <w:t>health</w:t>
      </w:r>
      <w:r w:rsidRPr="00E973BC">
        <w:rPr>
          <w:rStyle w:val="apple-converted-space"/>
          <w:szCs w:val="20"/>
          <w:lang w:val="en-US"/>
        </w:rPr>
        <w:t> </w:t>
      </w:r>
      <w:r w:rsidRPr="00E973BC">
        <w:rPr>
          <w:lang w:val="en-US"/>
        </w:rPr>
        <w:t>outcomes as identified by the IOM, AHRQ and technical expert panel convened to support the project.</w:t>
      </w:r>
    </w:p>
    <w:p w:rsidR="00975689" w:rsidRPr="00E973BC" w:rsidRDefault="00975689" w:rsidP="00975689">
      <w:pPr>
        <w:pStyle w:val="Corpo"/>
        <w:rPr>
          <w:lang w:val="en-US"/>
        </w:rPr>
      </w:pPr>
      <w:r w:rsidRPr="00E973BC">
        <w:rPr>
          <w:lang w:val="en-US"/>
        </w:rPr>
        <w:t>DATA SOURCES: MEDLINE; Cochrane Central; Cochrane Database of Systematic Reviews; and the</w:t>
      </w:r>
      <w:r w:rsidRPr="00E973BC">
        <w:rPr>
          <w:rStyle w:val="apple-converted-space"/>
          <w:szCs w:val="20"/>
          <w:lang w:val="en-US"/>
        </w:rPr>
        <w:t> </w:t>
      </w:r>
      <w:r w:rsidRPr="00E973BC">
        <w:rPr>
          <w:rStyle w:val="highlight"/>
          <w:szCs w:val="20"/>
          <w:lang w:val="en-US"/>
        </w:rPr>
        <w:t>Health</w:t>
      </w:r>
      <w:r w:rsidRPr="00E973BC">
        <w:rPr>
          <w:rStyle w:val="apple-converted-space"/>
          <w:szCs w:val="20"/>
          <w:lang w:val="en-US"/>
        </w:rPr>
        <w:t> </w:t>
      </w:r>
      <w:r w:rsidRPr="00E973BC">
        <w:rPr>
          <w:lang w:val="en-US"/>
        </w:rPr>
        <w:t>Technology Assessments; search limited to English-language articles in humans.</w:t>
      </w:r>
    </w:p>
    <w:p w:rsidR="00975689" w:rsidRPr="00C15160" w:rsidRDefault="00975689" w:rsidP="00975689">
      <w:pPr>
        <w:pStyle w:val="Corpo"/>
        <w:rPr>
          <w:lang w:val="en-US"/>
        </w:rPr>
      </w:pPr>
      <w:r w:rsidRPr="00E973BC">
        <w:rPr>
          <w:lang w:val="en-US"/>
        </w:rPr>
        <w:t>STUDY SELECTION: Primary interventional or observational studies that reported outcomes of interest in human subjects in relation to</w:t>
      </w:r>
      <w:r w:rsidRPr="00E973BC">
        <w:rPr>
          <w:rStyle w:val="apple-converted-space"/>
          <w:szCs w:val="20"/>
          <w:lang w:val="en-US"/>
        </w:rPr>
        <w:t> </w:t>
      </w:r>
      <w:r w:rsidRPr="00E973BC">
        <w:rPr>
          <w:rStyle w:val="highlight"/>
          <w:szCs w:val="20"/>
          <w:lang w:val="en-US"/>
        </w:rPr>
        <w:t>vitamin D</w:t>
      </w:r>
      <w:r w:rsidRPr="00E973BC">
        <w:rPr>
          <w:rStyle w:val="apple-converted-space"/>
          <w:szCs w:val="20"/>
          <w:lang w:val="en-US"/>
        </w:rPr>
        <w:t> </w:t>
      </w:r>
      <w:r w:rsidRPr="00E973BC">
        <w:rPr>
          <w:lang w:val="en-US"/>
        </w:rPr>
        <w:t>and/or</w:t>
      </w:r>
      <w:r w:rsidRPr="00E973BC">
        <w:rPr>
          <w:rStyle w:val="apple-converted-space"/>
          <w:szCs w:val="20"/>
          <w:lang w:val="en-US"/>
        </w:rPr>
        <w:t> </w:t>
      </w:r>
      <w:r w:rsidRPr="00E973BC">
        <w:rPr>
          <w:rStyle w:val="highlight"/>
          <w:szCs w:val="20"/>
          <w:lang w:val="en-US"/>
        </w:rPr>
        <w:t>calcium</w:t>
      </w:r>
      <w:r w:rsidRPr="00E973BC">
        <w:rPr>
          <w:lang w:val="en-US"/>
        </w:rPr>
        <w:t xml:space="preserve">, as well as systematic reviews that met the inclusion and exclusion criteria. </w:t>
      </w:r>
      <w:r w:rsidRPr="00C15160">
        <w:rPr>
          <w:lang w:val="en-US"/>
        </w:rPr>
        <w:t>Cross sectional and retrospective case-control studies were excluded.</w:t>
      </w:r>
    </w:p>
    <w:p w:rsidR="00975689" w:rsidRPr="00E973BC" w:rsidRDefault="00975689" w:rsidP="00975689">
      <w:pPr>
        <w:pStyle w:val="Corpo"/>
        <w:rPr>
          <w:lang w:val="en-US"/>
        </w:rPr>
      </w:pPr>
      <w:r w:rsidRPr="00E973BC">
        <w:rPr>
          <w:lang w:val="en-US"/>
        </w:rPr>
        <w:t>DATA EXTRACTION: A standardized protocol with predefined criteria was used to extract details on study design, interventions, outcomes, and study quality.</w:t>
      </w:r>
    </w:p>
    <w:p w:rsidR="00975689" w:rsidRPr="00C15160" w:rsidRDefault="00975689" w:rsidP="00975689">
      <w:pPr>
        <w:pStyle w:val="Corpo"/>
        <w:rPr>
          <w:lang w:val="en-US"/>
        </w:rPr>
      </w:pPr>
      <w:r w:rsidRPr="00E973BC">
        <w:rPr>
          <w:lang w:val="en-US"/>
        </w:rPr>
        <w:t xml:space="preserve">DATA SYNTHESIS: We summarized 165 primary articles and 11 systematic reviews that incorporated over 200 additional primary articles. </w:t>
      </w:r>
      <w:r w:rsidRPr="00C017EB">
        <w:rPr>
          <w:lang w:val="en-US"/>
        </w:rPr>
        <w:t>Available evidence focused mainly on bone</w:t>
      </w:r>
      <w:r w:rsidRPr="00C017EB">
        <w:rPr>
          <w:rStyle w:val="apple-converted-space"/>
          <w:szCs w:val="20"/>
          <w:lang w:val="en-US"/>
        </w:rPr>
        <w:t> </w:t>
      </w:r>
      <w:r w:rsidRPr="00C017EB">
        <w:rPr>
          <w:rStyle w:val="highlight"/>
          <w:szCs w:val="20"/>
          <w:lang w:val="en-US"/>
        </w:rPr>
        <w:t>health</w:t>
      </w:r>
      <w:r w:rsidRPr="00C017EB">
        <w:rPr>
          <w:lang w:val="en-US"/>
        </w:rPr>
        <w:t>, cardiovascular diseases or cancer outcomes. For many outcomes, it was difficult to draw firm conclusions on the basis of the available literature concerning the association of either serum 25(OH)D concentration or</w:t>
      </w:r>
      <w:r w:rsidRPr="00C017EB">
        <w:rPr>
          <w:rStyle w:val="apple-converted-space"/>
          <w:szCs w:val="20"/>
          <w:lang w:val="en-US"/>
        </w:rPr>
        <w:t> </w:t>
      </w:r>
      <w:r w:rsidRPr="00C017EB">
        <w:rPr>
          <w:rStyle w:val="highlight"/>
          <w:szCs w:val="20"/>
          <w:lang w:val="en-US"/>
        </w:rPr>
        <w:t>calcium</w:t>
      </w:r>
      <w:r w:rsidRPr="00C017EB">
        <w:rPr>
          <w:rStyle w:val="apple-converted-space"/>
          <w:szCs w:val="20"/>
          <w:lang w:val="en-US"/>
        </w:rPr>
        <w:t> </w:t>
      </w:r>
      <w:r w:rsidRPr="00C017EB">
        <w:rPr>
          <w:lang w:val="en-US"/>
        </w:rPr>
        <w:t xml:space="preserve">intake, or the combination of both nutrients. Findings were inconsistent across studies for colorectal and prostate cancer, and pregnancy-related outcomes including preeclampsia. There </w:t>
      </w:r>
      <w:r w:rsidRPr="00C017EB">
        <w:rPr>
          <w:lang w:val="en-US"/>
        </w:rPr>
        <w:lastRenderedPageBreak/>
        <w:t>were few studies for pancreatic cancer and immune function. Among trials of hypertensive adults,</w:t>
      </w:r>
      <w:r w:rsidRPr="00C017EB">
        <w:rPr>
          <w:rStyle w:val="apple-converted-space"/>
          <w:szCs w:val="20"/>
          <w:lang w:val="en-US"/>
        </w:rPr>
        <w:t> </w:t>
      </w:r>
      <w:r w:rsidRPr="00C017EB">
        <w:rPr>
          <w:rStyle w:val="highlight"/>
          <w:szCs w:val="20"/>
          <w:lang w:val="en-US"/>
        </w:rPr>
        <w:t>calcium</w:t>
      </w:r>
      <w:r w:rsidRPr="00C017EB">
        <w:rPr>
          <w:rStyle w:val="apple-converted-space"/>
          <w:szCs w:val="20"/>
          <w:lang w:val="en-US"/>
        </w:rPr>
        <w:t> </w:t>
      </w:r>
      <w:r w:rsidRPr="00C017EB">
        <w:rPr>
          <w:lang w:val="en-US"/>
        </w:rPr>
        <w:t>supplementation lowered systolic, but not diastolic, blood pressure by 2-4 mm Hg. For body weight, the trials were consistent in finding no significant effect of increased</w:t>
      </w:r>
      <w:r w:rsidRPr="00C017EB">
        <w:rPr>
          <w:rStyle w:val="apple-converted-space"/>
          <w:szCs w:val="20"/>
          <w:lang w:val="en-US"/>
        </w:rPr>
        <w:t> </w:t>
      </w:r>
      <w:r w:rsidRPr="00C017EB">
        <w:rPr>
          <w:rStyle w:val="highlight"/>
          <w:szCs w:val="20"/>
          <w:lang w:val="en-US"/>
        </w:rPr>
        <w:t>calcium</w:t>
      </w:r>
      <w:r w:rsidRPr="00C017EB">
        <w:rPr>
          <w:rStyle w:val="apple-converted-space"/>
          <w:szCs w:val="20"/>
          <w:lang w:val="en-US"/>
        </w:rPr>
        <w:t> </w:t>
      </w:r>
      <w:r w:rsidRPr="00C017EB">
        <w:rPr>
          <w:lang w:val="en-US"/>
        </w:rPr>
        <w:t>intake on weight. For growth rates, a meta-analysis did not find a significant effect on weight or height gain attributable to</w:t>
      </w:r>
      <w:r w:rsidRPr="00C017EB">
        <w:rPr>
          <w:rStyle w:val="apple-converted-space"/>
          <w:szCs w:val="20"/>
          <w:lang w:val="en-US"/>
        </w:rPr>
        <w:t> </w:t>
      </w:r>
      <w:r w:rsidRPr="00C017EB">
        <w:rPr>
          <w:rStyle w:val="highlight"/>
          <w:szCs w:val="20"/>
          <w:lang w:val="en-US"/>
        </w:rPr>
        <w:t>calcium</w:t>
      </w:r>
      <w:r w:rsidRPr="00C017EB">
        <w:rPr>
          <w:rStyle w:val="apple-converted-space"/>
          <w:szCs w:val="20"/>
          <w:lang w:val="en-US"/>
        </w:rPr>
        <w:t> </w:t>
      </w:r>
      <w:r w:rsidRPr="00C017EB">
        <w:rPr>
          <w:lang w:val="en-US"/>
        </w:rPr>
        <w:t xml:space="preserve">supplement in children. </w:t>
      </w:r>
      <w:r w:rsidRPr="00C15160">
        <w:rPr>
          <w:lang w:val="en-US"/>
        </w:rPr>
        <w:t>For bone</w:t>
      </w:r>
      <w:r w:rsidRPr="00C15160">
        <w:rPr>
          <w:rStyle w:val="apple-converted-space"/>
          <w:szCs w:val="20"/>
          <w:lang w:val="en-US"/>
        </w:rPr>
        <w:t> </w:t>
      </w:r>
      <w:r w:rsidRPr="00C15160">
        <w:rPr>
          <w:rStyle w:val="highlight"/>
          <w:szCs w:val="20"/>
          <w:lang w:val="en-US"/>
        </w:rPr>
        <w:t>health</w:t>
      </w:r>
      <w:r w:rsidRPr="00C15160">
        <w:rPr>
          <w:lang w:val="en-US"/>
        </w:rPr>
        <w:t>, one</w:t>
      </w:r>
      <w:r w:rsidRPr="00C15160">
        <w:rPr>
          <w:rStyle w:val="apple-converted-space"/>
          <w:szCs w:val="20"/>
          <w:lang w:val="en-US"/>
        </w:rPr>
        <w:t> </w:t>
      </w:r>
      <w:r w:rsidRPr="00C15160">
        <w:rPr>
          <w:rStyle w:val="highlight"/>
          <w:szCs w:val="20"/>
          <w:lang w:val="en-US"/>
        </w:rPr>
        <w:t>systematic review</w:t>
      </w:r>
      <w:r w:rsidRPr="00C15160">
        <w:rPr>
          <w:rStyle w:val="apple-converted-space"/>
          <w:szCs w:val="20"/>
          <w:lang w:val="en-US"/>
        </w:rPr>
        <w:t> </w:t>
      </w:r>
      <w:r w:rsidRPr="00C15160">
        <w:rPr>
          <w:lang w:val="en-US"/>
        </w:rPr>
        <w:t>found that</w:t>
      </w:r>
      <w:r w:rsidRPr="00C15160">
        <w:rPr>
          <w:rStyle w:val="apple-converted-space"/>
          <w:szCs w:val="20"/>
          <w:lang w:val="en-US"/>
        </w:rPr>
        <w:t> </w:t>
      </w:r>
      <w:r w:rsidRPr="00C15160">
        <w:rPr>
          <w:rStyle w:val="highlight"/>
          <w:szCs w:val="20"/>
          <w:lang w:val="en-US"/>
        </w:rPr>
        <w:t>vitamin D</w:t>
      </w:r>
      <w:r w:rsidRPr="00C15160">
        <w:rPr>
          <w:rStyle w:val="apple-converted-space"/>
          <w:szCs w:val="20"/>
          <w:lang w:val="en-US"/>
        </w:rPr>
        <w:t> </w:t>
      </w:r>
      <w:r w:rsidRPr="00C15160">
        <w:rPr>
          <w:lang w:val="en-US"/>
        </w:rPr>
        <w:t>plus</w:t>
      </w:r>
      <w:r w:rsidRPr="00C15160">
        <w:rPr>
          <w:rStyle w:val="apple-converted-space"/>
          <w:szCs w:val="20"/>
          <w:lang w:val="en-US"/>
        </w:rPr>
        <w:t> </w:t>
      </w:r>
      <w:r w:rsidRPr="00C15160">
        <w:rPr>
          <w:rStyle w:val="highlight"/>
          <w:szCs w:val="20"/>
          <w:lang w:val="en-US"/>
        </w:rPr>
        <w:t>calcium</w:t>
      </w:r>
      <w:r w:rsidRPr="00C15160">
        <w:rPr>
          <w:lang w:val="en-US"/>
        </w:rPr>
        <w:t>supplementation resulted in small increases in BMD of the spine and other areas in postmenopausal women. For breast cancer,</w:t>
      </w:r>
      <w:r w:rsidRPr="00C15160">
        <w:rPr>
          <w:rStyle w:val="apple-converted-space"/>
          <w:szCs w:val="20"/>
          <w:lang w:val="en-US"/>
        </w:rPr>
        <w:t> </w:t>
      </w:r>
      <w:r w:rsidRPr="00C15160">
        <w:rPr>
          <w:rStyle w:val="highlight"/>
          <w:szCs w:val="20"/>
          <w:lang w:val="en-US"/>
        </w:rPr>
        <w:t>calcium</w:t>
      </w:r>
      <w:r w:rsidRPr="00C15160">
        <w:rPr>
          <w:rStyle w:val="apple-converted-space"/>
          <w:szCs w:val="20"/>
          <w:lang w:val="en-US"/>
        </w:rPr>
        <w:t> </w:t>
      </w:r>
      <w:r w:rsidRPr="00C15160">
        <w:rPr>
          <w:lang w:val="en-US"/>
        </w:rPr>
        <w:t>intakes in premenopausal women were associated with a decreased risk. For prostate cancer, some studies reported that high</w:t>
      </w:r>
      <w:r w:rsidRPr="00C15160">
        <w:rPr>
          <w:rStyle w:val="apple-converted-space"/>
          <w:szCs w:val="20"/>
          <w:lang w:val="en-US"/>
        </w:rPr>
        <w:t> </w:t>
      </w:r>
      <w:r w:rsidRPr="00C15160">
        <w:rPr>
          <w:rStyle w:val="highlight"/>
          <w:szCs w:val="20"/>
          <w:lang w:val="en-US"/>
        </w:rPr>
        <w:t>calcium</w:t>
      </w:r>
      <w:r w:rsidRPr="00C15160">
        <w:rPr>
          <w:rStyle w:val="apple-converted-space"/>
          <w:szCs w:val="20"/>
          <w:lang w:val="en-US"/>
        </w:rPr>
        <w:t> </w:t>
      </w:r>
      <w:r w:rsidRPr="00C15160">
        <w:rPr>
          <w:lang w:val="en-US"/>
        </w:rPr>
        <w:t>intakes were associated with an increased risk.</w:t>
      </w:r>
    </w:p>
    <w:p w:rsidR="00975689" w:rsidRPr="00C15160" w:rsidRDefault="00975689" w:rsidP="00975689">
      <w:pPr>
        <w:pStyle w:val="Corpo"/>
        <w:rPr>
          <w:lang w:val="en-US"/>
        </w:rPr>
      </w:pPr>
      <w:r w:rsidRPr="00E973BC">
        <w:rPr>
          <w:lang w:val="en-US"/>
        </w:rPr>
        <w:t>LIMITATIONS: Studies on</w:t>
      </w:r>
      <w:r w:rsidRPr="00E973BC">
        <w:rPr>
          <w:rStyle w:val="apple-converted-space"/>
          <w:szCs w:val="20"/>
          <w:lang w:val="en-US"/>
        </w:rPr>
        <w:t> </w:t>
      </w:r>
      <w:r w:rsidRPr="00E973BC">
        <w:rPr>
          <w:rStyle w:val="highlight"/>
          <w:szCs w:val="20"/>
          <w:lang w:val="en-US"/>
        </w:rPr>
        <w:t>vitamin D</w:t>
      </w:r>
      <w:r w:rsidRPr="00E973BC">
        <w:rPr>
          <w:rStyle w:val="apple-converted-space"/>
          <w:szCs w:val="20"/>
          <w:lang w:val="en-US"/>
        </w:rPr>
        <w:t> </w:t>
      </w:r>
      <w:r w:rsidRPr="00E973BC">
        <w:rPr>
          <w:lang w:val="en-US"/>
        </w:rPr>
        <w:t>and</w:t>
      </w:r>
      <w:r w:rsidRPr="00E973BC">
        <w:rPr>
          <w:rStyle w:val="apple-converted-space"/>
          <w:szCs w:val="20"/>
          <w:lang w:val="en-US"/>
        </w:rPr>
        <w:t> </w:t>
      </w:r>
      <w:r w:rsidRPr="00E973BC">
        <w:rPr>
          <w:rStyle w:val="highlight"/>
          <w:szCs w:val="20"/>
          <w:lang w:val="en-US"/>
        </w:rPr>
        <w:t>calcium</w:t>
      </w:r>
      <w:r w:rsidRPr="00E973BC">
        <w:rPr>
          <w:rStyle w:val="apple-converted-space"/>
          <w:szCs w:val="20"/>
          <w:lang w:val="en-US"/>
        </w:rPr>
        <w:t> </w:t>
      </w:r>
      <w:r w:rsidRPr="00E973BC">
        <w:rPr>
          <w:lang w:val="en-US"/>
        </w:rPr>
        <w:t xml:space="preserve">were not specifically targeted at life stages (except for pregnant and postmenopausal women) specified for the determination of DRI. </w:t>
      </w:r>
      <w:r w:rsidRPr="00C15160">
        <w:rPr>
          <w:lang w:val="en-US"/>
        </w:rPr>
        <w:t>There is large variation on the methodological quality of studies examined. Use of existing systematic reviews limits analyses that could be performed on this source of information.</w:t>
      </w:r>
    </w:p>
    <w:p w:rsidR="00975689" w:rsidRPr="00C15160" w:rsidRDefault="00975689" w:rsidP="00975689">
      <w:pPr>
        <w:pStyle w:val="Corpo"/>
        <w:rPr>
          <w:lang w:val="en-US"/>
        </w:rPr>
      </w:pPr>
      <w:r w:rsidRPr="00E973BC">
        <w:rPr>
          <w:lang w:val="en-US"/>
        </w:rPr>
        <w:t>CONCLUSIONS: The majority of the findings concerning</w:t>
      </w:r>
      <w:r w:rsidRPr="00E973BC">
        <w:rPr>
          <w:rStyle w:val="apple-converted-space"/>
          <w:szCs w:val="20"/>
          <w:lang w:val="en-US"/>
        </w:rPr>
        <w:t> </w:t>
      </w:r>
      <w:r w:rsidRPr="00E973BC">
        <w:rPr>
          <w:rStyle w:val="highlight"/>
          <w:szCs w:val="20"/>
          <w:lang w:val="en-US"/>
        </w:rPr>
        <w:t>vitamin D</w:t>
      </w:r>
      <w:r w:rsidRPr="00E973BC">
        <w:rPr>
          <w:lang w:val="en-US"/>
        </w:rPr>
        <w:t>,</w:t>
      </w:r>
      <w:r w:rsidRPr="00E973BC">
        <w:rPr>
          <w:rStyle w:val="apple-converted-space"/>
          <w:szCs w:val="20"/>
          <w:lang w:val="en-US"/>
        </w:rPr>
        <w:t> </w:t>
      </w:r>
      <w:r w:rsidRPr="00E973BC">
        <w:rPr>
          <w:rStyle w:val="highlight"/>
          <w:szCs w:val="20"/>
          <w:lang w:val="en-US"/>
        </w:rPr>
        <w:t>calcium</w:t>
      </w:r>
      <w:r w:rsidRPr="00E973BC">
        <w:rPr>
          <w:lang w:val="en-US"/>
        </w:rPr>
        <w:t>, or a combination of both nutrients on the different</w:t>
      </w:r>
      <w:r w:rsidRPr="00E973BC">
        <w:rPr>
          <w:rStyle w:val="highlight"/>
          <w:szCs w:val="20"/>
          <w:lang w:val="en-US"/>
        </w:rPr>
        <w:t>health</w:t>
      </w:r>
      <w:r w:rsidRPr="00E973BC">
        <w:rPr>
          <w:rStyle w:val="apple-converted-space"/>
          <w:szCs w:val="20"/>
          <w:lang w:val="en-US"/>
        </w:rPr>
        <w:t> </w:t>
      </w:r>
      <w:r w:rsidRPr="00E973BC">
        <w:rPr>
          <w:lang w:val="en-US"/>
        </w:rPr>
        <w:t xml:space="preserve">outcomes were inconsistent. </w:t>
      </w:r>
      <w:r w:rsidRPr="00C15160">
        <w:rPr>
          <w:lang w:val="en-US"/>
        </w:rPr>
        <w:t>Synthesizing a dose-response relation between intake of either</w:t>
      </w:r>
      <w:r w:rsidRPr="00C15160">
        <w:rPr>
          <w:rStyle w:val="apple-converted-space"/>
          <w:szCs w:val="20"/>
          <w:lang w:val="en-US"/>
        </w:rPr>
        <w:t> </w:t>
      </w:r>
      <w:r w:rsidRPr="00C15160">
        <w:rPr>
          <w:rStyle w:val="highlight"/>
          <w:szCs w:val="20"/>
          <w:lang w:val="en-US"/>
        </w:rPr>
        <w:t>vitamin D</w:t>
      </w:r>
      <w:r w:rsidRPr="00C15160">
        <w:rPr>
          <w:lang w:val="en-US"/>
        </w:rPr>
        <w:t>,</w:t>
      </w:r>
      <w:r w:rsidRPr="00C15160">
        <w:rPr>
          <w:rStyle w:val="apple-converted-space"/>
          <w:szCs w:val="20"/>
          <w:lang w:val="en-US"/>
        </w:rPr>
        <w:t> </w:t>
      </w:r>
      <w:r w:rsidRPr="00C15160">
        <w:rPr>
          <w:rStyle w:val="highlight"/>
          <w:szCs w:val="20"/>
          <w:lang w:val="en-US"/>
        </w:rPr>
        <w:t>calcium</w:t>
      </w:r>
      <w:r w:rsidRPr="00C15160">
        <w:rPr>
          <w:lang w:val="en-US"/>
        </w:rPr>
        <w:t>, or both nutrients and</w:t>
      </w:r>
      <w:r w:rsidRPr="00C15160">
        <w:rPr>
          <w:rStyle w:val="apple-converted-space"/>
          <w:szCs w:val="20"/>
          <w:lang w:val="en-US"/>
        </w:rPr>
        <w:t> </w:t>
      </w:r>
      <w:r w:rsidRPr="00C15160">
        <w:rPr>
          <w:rStyle w:val="highlight"/>
          <w:szCs w:val="20"/>
          <w:lang w:val="en-US"/>
        </w:rPr>
        <w:t>health</w:t>
      </w:r>
      <w:r w:rsidRPr="00C15160">
        <w:rPr>
          <w:rStyle w:val="apple-converted-space"/>
          <w:szCs w:val="20"/>
          <w:lang w:val="en-US"/>
        </w:rPr>
        <w:t> </w:t>
      </w:r>
      <w:r w:rsidRPr="00C15160">
        <w:rPr>
          <w:lang w:val="en-US"/>
        </w:rPr>
        <w:t>outcomes in this heterogeneous body of literature proved challenging.</w:t>
      </w:r>
    </w:p>
    <w:p w:rsidR="00975689" w:rsidRPr="00E973BC" w:rsidRDefault="00975689" w:rsidP="00975689">
      <w:pPr>
        <w:pStyle w:val="Corpo"/>
        <w:rPr>
          <w:szCs w:val="17"/>
          <w:lang w:val="en-US"/>
        </w:rPr>
      </w:pPr>
      <w:r w:rsidRPr="00E973BC">
        <w:rPr>
          <w:szCs w:val="17"/>
          <w:lang w:val="en-US"/>
        </w:rPr>
        <w:t>PMID:</w:t>
      </w:r>
      <w:r w:rsidRPr="00E973BC">
        <w:rPr>
          <w:rStyle w:val="apple-converted-space"/>
          <w:szCs w:val="17"/>
          <w:lang w:val="en-US"/>
        </w:rPr>
        <w:t> </w:t>
      </w:r>
      <w:r w:rsidRPr="00E973BC">
        <w:rPr>
          <w:szCs w:val="17"/>
          <w:lang w:val="en-US"/>
        </w:rPr>
        <w:t>20629479</w:t>
      </w:r>
      <w:r w:rsidRPr="00E973BC">
        <w:rPr>
          <w:rStyle w:val="apple-converted-space"/>
          <w:szCs w:val="17"/>
          <w:lang w:val="en-US"/>
        </w:rPr>
        <w:t> </w:t>
      </w:r>
      <w:r w:rsidRPr="00E973BC">
        <w:rPr>
          <w:szCs w:val="17"/>
          <w:lang w:val="en-US"/>
        </w:rPr>
        <w:t>[PubMed - indexed for MEDLINE]</w:t>
      </w:r>
      <w:r w:rsidRPr="00E973BC">
        <w:rPr>
          <w:rStyle w:val="apple-converted-space"/>
          <w:szCs w:val="17"/>
          <w:lang w:val="en-US"/>
        </w:rPr>
        <w:t> </w:t>
      </w:r>
    </w:p>
    <w:p w:rsidR="00975689" w:rsidRDefault="00975689" w:rsidP="00975689">
      <w:pPr>
        <w:pStyle w:val="Corpo"/>
        <w:rPr>
          <w:lang w:val="en-US"/>
        </w:rPr>
      </w:pPr>
    </w:p>
    <w:p w:rsidR="00975689" w:rsidRPr="00794891" w:rsidRDefault="00975689" w:rsidP="00975689">
      <w:pPr>
        <w:pStyle w:val="Corpo"/>
        <w:rPr>
          <w:lang w:val="en-US"/>
        </w:rPr>
      </w:pPr>
      <w:r w:rsidRPr="00794891">
        <w:rPr>
          <w:szCs w:val="19"/>
          <w:lang w:val="en-US"/>
        </w:rPr>
        <w:t>Rev. Nutr. vol.15 no.2 Campinas May/Aug. 2002</w:t>
      </w:r>
    </w:p>
    <w:p w:rsidR="00975689" w:rsidRPr="00794891" w:rsidRDefault="00975689" w:rsidP="00975689">
      <w:pPr>
        <w:pStyle w:val="Corpo"/>
        <w:rPr>
          <w:b/>
          <w:lang w:val="en-US"/>
        </w:rPr>
      </w:pPr>
      <w:r w:rsidRPr="00794891">
        <w:rPr>
          <w:b/>
          <w:szCs w:val="36"/>
          <w:shd w:val="clear" w:color="auto" w:fill="FFFFFF"/>
          <w:lang w:val="en-US"/>
        </w:rPr>
        <w:t>Drug-nutrient interaction: a review</w:t>
      </w:r>
    </w:p>
    <w:p w:rsidR="00975689" w:rsidRPr="00874E0C" w:rsidRDefault="00975689" w:rsidP="00975689">
      <w:pPr>
        <w:pStyle w:val="Corpo"/>
        <w:rPr>
          <w:szCs w:val="17"/>
          <w:shd w:val="clear" w:color="auto" w:fill="FFFFFF"/>
        </w:rPr>
      </w:pPr>
      <w:r w:rsidRPr="00874E0C">
        <w:rPr>
          <w:szCs w:val="17"/>
          <w:shd w:val="clear" w:color="auto" w:fill="FFFFFF"/>
        </w:rPr>
        <w:t>Mirian Ribeiro Leite MOURA;</w:t>
      </w:r>
      <w:r w:rsidRPr="00874E0C">
        <w:rPr>
          <w:rStyle w:val="apple-converted-space"/>
          <w:szCs w:val="17"/>
          <w:shd w:val="clear" w:color="auto" w:fill="FFFFFF"/>
        </w:rPr>
        <w:t> </w:t>
      </w:r>
      <w:r w:rsidRPr="00874E0C">
        <w:rPr>
          <w:szCs w:val="17"/>
          <w:shd w:val="clear" w:color="auto" w:fill="FFFFFF"/>
        </w:rPr>
        <w:t>Felix Guillermo Reyes REYES</w:t>
      </w:r>
    </w:p>
    <w:p w:rsidR="00975689" w:rsidRDefault="00975689" w:rsidP="00975689">
      <w:pPr>
        <w:pStyle w:val="Corpo"/>
      </w:pPr>
    </w:p>
    <w:p w:rsidR="00975689" w:rsidRPr="00794891" w:rsidRDefault="00975689" w:rsidP="00975689">
      <w:pPr>
        <w:pStyle w:val="Corpo"/>
        <w:rPr>
          <w:lang w:val="en-US"/>
        </w:rPr>
      </w:pPr>
      <w:r w:rsidRPr="00794891">
        <w:rPr>
          <w:lang w:val="en-US"/>
        </w:rPr>
        <w:t>Abstract</w:t>
      </w:r>
    </w:p>
    <w:p w:rsidR="00975689" w:rsidRPr="00794891" w:rsidRDefault="00975689" w:rsidP="00975689">
      <w:pPr>
        <w:pStyle w:val="Corpo"/>
        <w:rPr>
          <w:szCs w:val="17"/>
          <w:lang w:val="en-US"/>
        </w:rPr>
      </w:pPr>
      <w:r w:rsidRPr="00794891">
        <w:rPr>
          <w:szCs w:val="17"/>
          <w:lang w:val="en-US"/>
        </w:rPr>
        <w:t>Diet influences the whole life cycle, supplying nutrients required to maintain the human body. Functional and/or structural alterations, caused by diseases and acute or chronic infections, lead to the use of drugs in order to restore the health. The oral route is preferred for drug administration, owing to safety and convenience, among other reasons. The drug-nutrient interaction phenomenon can occur before or during gastrointestinal absorption, during distribution and storage in the tissues, in the biotransformation process, or even during excretion. Thus, to know the drugs whose rate of absorption and/or absorbed amount can be affected in the presence of food, as well as those that are not affected, is of fundamental importance. On the other hand, a number of commonly used drugs, including antibiotics, antacids and laxatives, can cause malabsorption of nutrients. Therefore, the objective of this article is to present a review of the several aspects involved in the drug-nutrient interaction.</w:t>
      </w:r>
    </w:p>
    <w:p w:rsidR="00975689" w:rsidRDefault="00975689" w:rsidP="00975689">
      <w:pPr>
        <w:pStyle w:val="Corpo"/>
        <w:rPr>
          <w:lang w:val="en-US"/>
        </w:rPr>
      </w:pPr>
    </w:p>
    <w:p w:rsidR="00975689" w:rsidRPr="00F04AED" w:rsidRDefault="00935914" w:rsidP="00975689">
      <w:pPr>
        <w:pStyle w:val="Corpo"/>
        <w:rPr>
          <w:szCs w:val="19"/>
          <w:shd w:val="clear" w:color="auto" w:fill="F9FCFE"/>
        </w:rPr>
      </w:pPr>
      <w:hyperlink r:id="rId52" w:history="1">
        <w:r w:rsidR="00975689" w:rsidRPr="00F04AED">
          <w:rPr>
            <w:rStyle w:val="Hyperlink"/>
            <w:color w:val="808080" w:themeColor="background1" w:themeShade="80"/>
            <w:szCs w:val="19"/>
            <w:u w:val="none"/>
            <w:shd w:val="clear" w:color="auto" w:fill="F9FCFE"/>
          </w:rPr>
          <w:t>Rev. ciênc. farm. básica apl</w:t>
        </w:r>
      </w:hyperlink>
      <w:r w:rsidR="00975689" w:rsidRPr="00F04AED">
        <w:rPr>
          <w:szCs w:val="19"/>
          <w:shd w:val="clear" w:color="auto" w:fill="F9FCFE"/>
        </w:rPr>
        <w:t>; 34(1)mar. 2013.</w:t>
      </w:r>
    </w:p>
    <w:p w:rsidR="00975689" w:rsidRPr="00F04AED" w:rsidRDefault="00975689" w:rsidP="00975689">
      <w:pPr>
        <w:pStyle w:val="Corpo"/>
        <w:rPr>
          <w:b/>
        </w:rPr>
      </w:pPr>
      <w:r w:rsidRPr="00F04AED">
        <w:rPr>
          <w:b/>
        </w:rPr>
        <w:t>Interações fármaco-alimento/nutriente potenciais em pacientes pediátricos hospitalizados / Potential interactions between drugs and foods/nutrients in the pediatric unit</w:t>
      </w:r>
      <w:r>
        <w:rPr>
          <w:b/>
        </w:rPr>
        <w:t>.</w:t>
      </w:r>
    </w:p>
    <w:p w:rsidR="00975689" w:rsidRDefault="00935914" w:rsidP="00975689">
      <w:pPr>
        <w:pStyle w:val="Corpo"/>
        <w:rPr>
          <w:szCs w:val="16"/>
        </w:rPr>
      </w:pPr>
      <w:hyperlink r:id="rId53" w:history="1">
        <w:r w:rsidR="00975689" w:rsidRPr="00F04AED">
          <w:rPr>
            <w:rStyle w:val="Hyperlink"/>
            <w:color w:val="808080" w:themeColor="background1" w:themeShade="80"/>
            <w:szCs w:val="16"/>
            <w:u w:val="none"/>
          </w:rPr>
          <w:t>Lopes, Everton Moraes</w:t>
        </w:r>
      </w:hyperlink>
      <w:r w:rsidR="00975689" w:rsidRPr="00F04AED">
        <w:rPr>
          <w:szCs w:val="16"/>
        </w:rPr>
        <w:t xml:space="preserve">; </w:t>
      </w:r>
      <w:hyperlink r:id="rId54" w:history="1">
        <w:r w:rsidR="00975689" w:rsidRPr="00F04AED">
          <w:rPr>
            <w:rStyle w:val="Hyperlink"/>
            <w:color w:val="808080" w:themeColor="background1" w:themeShade="80"/>
            <w:szCs w:val="16"/>
            <w:u w:val="none"/>
          </w:rPr>
          <w:t>Oliveira, Edina Araújo Rodrigues</w:t>
        </w:r>
      </w:hyperlink>
      <w:r w:rsidR="00975689" w:rsidRPr="00F04AED">
        <w:rPr>
          <w:szCs w:val="16"/>
        </w:rPr>
        <w:t xml:space="preserve">; </w:t>
      </w:r>
      <w:hyperlink r:id="rId55" w:history="1">
        <w:r w:rsidR="00975689" w:rsidRPr="00F04AED">
          <w:rPr>
            <w:rStyle w:val="Hyperlink"/>
            <w:color w:val="808080" w:themeColor="background1" w:themeShade="80"/>
            <w:szCs w:val="16"/>
            <w:u w:val="none"/>
          </w:rPr>
          <w:t>Lima, Luisa Helena de Oliveira</w:t>
        </w:r>
      </w:hyperlink>
      <w:r w:rsidR="00975689" w:rsidRPr="00F04AED">
        <w:rPr>
          <w:szCs w:val="16"/>
        </w:rPr>
        <w:t xml:space="preserve">; </w:t>
      </w:r>
      <w:hyperlink r:id="rId56" w:history="1">
        <w:r w:rsidR="00975689" w:rsidRPr="00F04AED">
          <w:rPr>
            <w:rStyle w:val="Hyperlink"/>
            <w:color w:val="808080" w:themeColor="background1" w:themeShade="80"/>
            <w:szCs w:val="16"/>
            <w:u w:val="none"/>
          </w:rPr>
          <w:t>Formiga, Laura Maria Feitosa</w:t>
        </w:r>
      </w:hyperlink>
      <w:r w:rsidR="00975689" w:rsidRPr="00F04AED">
        <w:rPr>
          <w:szCs w:val="16"/>
        </w:rPr>
        <w:t xml:space="preserve">; </w:t>
      </w:r>
      <w:hyperlink r:id="rId57" w:history="1">
        <w:r w:rsidR="00975689" w:rsidRPr="00F04AED">
          <w:rPr>
            <w:rStyle w:val="Hyperlink"/>
            <w:color w:val="808080" w:themeColor="background1" w:themeShade="80"/>
            <w:szCs w:val="16"/>
            <w:u w:val="none"/>
          </w:rPr>
          <w:t>Freitas, Rivelilson Mendes de</w:t>
        </w:r>
      </w:hyperlink>
    </w:p>
    <w:p w:rsidR="00975689" w:rsidRDefault="00975689" w:rsidP="00975689">
      <w:pPr>
        <w:pStyle w:val="Corpo"/>
        <w:rPr>
          <w:szCs w:val="16"/>
        </w:rPr>
      </w:pPr>
    </w:p>
    <w:p w:rsidR="00975689" w:rsidRPr="00F04AED" w:rsidRDefault="00975689" w:rsidP="00975689">
      <w:pPr>
        <w:pStyle w:val="Corpo"/>
        <w:rPr>
          <w:lang w:val="en-US"/>
        </w:rPr>
      </w:pPr>
      <w:r w:rsidRPr="00F04AED">
        <w:rPr>
          <w:lang w:val="en-US"/>
        </w:rPr>
        <w:t>Abstract</w:t>
      </w:r>
    </w:p>
    <w:p w:rsidR="00975689" w:rsidRDefault="00975689" w:rsidP="00975689">
      <w:pPr>
        <w:pStyle w:val="Corpo"/>
        <w:rPr>
          <w:szCs w:val="16"/>
          <w:lang w:val="en-US"/>
        </w:rPr>
      </w:pPr>
      <w:r w:rsidRPr="00794891">
        <w:rPr>
          <w:szCs w:val="16"/>
          <w:lang w:val="en-US"/>
        </w:rPr>
        <w:t>The supply of nutritious food and proper administration of drugs are essential activities in the hospital routine, but food-drug interactions can impair the nutritional or pharmacological treatment, especially in children, since they have certain peculiarities. Therefore, health professionals, especially nurses, who are directly involved in patient treatment, should increase attention during the administration of drugs. The aim of this study was to investigate the possible interactions between medicines and foods or nutrients in the pediatric unit of a hospital in Piauí. This was a descriptive, cross-sectional quantitative study of 90 hospitalized patients. The sample had a prevalence of males (55.6%) and a mean age of 62.76 months (+ 44.10). Antimicrobials had a significant frequency of interactions, with a total of 79 among the drugs studied, followed by corticosteroids with 22 occurrences. There were also nine episodes of interactions involving antiulcer drugs. Among the nutrients, vitamin B12 was reduced in bioavailability by many drugs. In short, it can be reported that interactions are present in the pediatric clinic, and only by being aware of them can we minimize losses and / or multiply the benefits of drug-food combinations. Thus, this study can serve as an indicator of patient safety, since it identifies medication errors (due to interactions between prescriptions and diet plans).</w:t>
      </w:r>
    </w:p>
    <w:p w:rsidR="00975689" w:rsidRDefault="00975689" w:rsidP="00975689">
      <w:pPr>
        <w:pStyle w:val="Corpo"/>
        <w:rPr>
          <w:szCs w:val="16"/>
          <w:lang w:val="en-US"/>
        </w:rPr>
      </w:pPr>
    </w:p>
    <w:p w:rsidR="00975689" w:rsidRPr="0013324D" w:rsidRDefault="00935914" w:rsidP="00975689">
      <w:pPr>
        <w:pStyle w:val="Corpo"/>
        <w:rPr>
          <w:lang w:val="en-US"/>
        </w:rPr>
      </w:pPr>
      <w:hyperlink r:id="rId58" w:tooltip="Frontiers in pharmacology." w:history="1">
        <w:r w:rsidR="00975689" w:rsidRPr="0013324D">
          <w:rPr>
            <w:rStyle w:val="Hyperlink"/>
            <w:color w:val="808080" w:themeColor="background1" w:themeShade="80"/>
            <w:szCs w:val="20"/>
            <w:u w:val="none"/>
            <w:lang w:val="en-US"/>
          </w:rPr>
          <w:t>Front Pharmacol.</w:t>
        </w:r>
      </w:hyperlink>
      <w:r w:rsidR="00975689" w:rsidRPr="0013324D">
        <w:rPr>
          <w:rStyle w:val="apple-converted-space"/>
          <w:szCs w:val="20"/>
          <w:lang w:val="en-US"/>
        </w:rPr>
        <w:t> </w:t>
      </w:r>
      <w:r w:rsidR="00975689" w:rsidRPr="0013324D">
        <w:rPr>
          <w:lang w:val="en-US"/>
        </w:rPr>
        <w:t>2014 Jul 9;5:162. doi: 10.3389/fphar.2014.00162. eCollection 2014.</w:t>
      </w:r>
    </w:p>
    <w:p w:rsidR="00975689" w:rsidRPr="0013324D" w:rsidRDefault="00975689" w:rsidP="00975689">
      <w:pPr>
        <w:pStyle w:val="Corpo"/>
        <w:rPr>
          <w:b/>
          <w:lang w:val="en-US"/>
        </w:rPr>
      </w:pPr>
      <w:r w:rsidRPr="0013324D">
        <w:rPr>
          <w:b/>
          <w:szCs w:val="30"/>
          <w:lang w:val="en-US"/>
        </w:rPr>
        <w:t>Herbal medicines in Brazil: pharmacokinetic profile and potential herb-drug interactions.</w:t>
      </w:r>
    </w:p>
    <w:p w:rsidR="00975689" w:rsidRPr="0013324D" w:rsidRDefault="00935914" w:rsidP="00975689">
      <w:pPr>
        <w:pStyle w:val="Corpo"/>
        <w:rPr>
          <w:szCs w:val="30"/>
          <w:lang w:val="en-US"/>
        </w:rPr>
      </w:pPr>
      <w:hyperlink r:id="rId59" w:history="1">
        <w:r w:rsidR="00975689" w:rsidRPr="0013324D">
          <w:rPr>
            <w:rStyle w:val="Hyperlink"/>
            <w:color w:val="808080" w:themeColor="background1" w:themeShade="80"/>
            <w:szCs w:val="22"/>
            <w:u w:val="none"/>
            <w:lang w:val="en-US"/>
          </w:rPr>
          <w:t>Mazzari AL</w:t>
        </w:r>
      </w:hyperlink>
      <w:r w:rsidR="00975689" w:rsidRPr="0013324D">
        <w:rPr>
          <w:szCs w:val="22"/>
          <w:lang w:val="en-US"/>
        </w:rPr>
        <w:t>,</w:t>
      </w:r>
      <w:r w:rsidR="00975689" w:rsidRPr="0013324D">
        <w:rPr>
          <w:rStyle w:val="apple-converted-space"/>
          <w:szCs w:val="22"/>
          <w:lang w:val="en-US"/>
        </w:rPr>
        <w:t> </w:t>
      </w:r>
      <w:hyperlink r:id="rId60" w:history="1">
        <w:r w:rsidR="00975689" w:rsidRPr="0013324D">
          <w:rPr>
            <w:rStyle w:val="Hyperlink"/>
            <w:color w:val="808080" w:themeColor="background1" w:themeShade="80"/>
            <w:szCs w:val="22"/>
            <w:u w:val="none"/>
            <w:lang w:val="en-US"/>
          </w:rPr>
          <w:t>Prieto JM</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13324D" w:rsidRDefault="00975689" w:rsidP="00975689">
      <w:pPr>
        <w:pStyle w:val="Corpo"/>
        <w:rPr>
          <w:szCs w:val="22"/>
          <w:lang w:val="en-US"/>
        </w:rPr>
      </w:pPr>
      <w:r w:rsidRPr="0013324D">
        <w:rPr>
          <w:lang w:val="en-US"/>
        </w:rPr>
        <w:t xml:space="preserve">A plethora of active compounds found in herbal medicines can serve as substrate for enzymes involved in the metabolism of xenobiotics. When a medicinal plant is co-administered with a conventional drug and little or no information is known about the pharmacokinetics of the plant metabolites, there is an increased risk of potential herb-drug interactions. Moreover, genetic polymorphisms in a population may act to predispose individuals to adverse reactions. The use of herbal medicines is rapidly increasing in many countries, particularly Brazil where the vast biodiversity is a potential source of new and more affordable treatments for numerous conditions. Accordingly, the Brazilian Unified Public Health System (SUS) produced a list of 71 plant species of interest, which could be made available to the population in the near future. Physicians at SUS prescribe a number of essential drugs and should herbal medicines be added to this system the chance of herb-drug interactions further increases. A review of the effects of these medicinal plants on Phase 1 and Phase 2 metabolic mechanisms and the transporter P-glycoprotein was conducted. The results have shown that approximately half of these medicinal plants lack any pharmacokinetic data. Moreover, most of the studies carried out are in vitro. Only a few reports on herb-drug interactions with essential drugs prescribed by SUS were found, suggesting that very </w:t>
      </w:r>
      <w:r w:rsidRPr="0013324D">
        <w:rPr>
          <w:lang w:val="en-US"/>
        </w:rPr>
        <w:lastRenderedPageBreak/>
        <w:t>little attention is being given to the safety of herbal medicines. Here we have taken this information to discuss the potential interactions between herbal medicines and essential drugs prescribed to Brazilian patients whilst taking into account the most common polymorphisms present in the Brazilian population. A number of theoretical interactions are pinpointed but more pharmacokinetic studies and pharmacovigilance data are needed to ascertain their clinical significance.</w:t>
      </w:r>
    </w:p>
    <w:p w:rsidR="00975689" w:rsidRPr="00B12D79" w:rsidRDefault="00975689" w:rsidP="00975689">
      <w:pPr>
        <w:pStyle w:val="Corpo"/>
        <w:rPr>
          <w:szCs w:val="22"/>
          <w:lang w:val="en-US"/>
        </w:rPr>
      </w:pPr>
      <w:r w:rsidRPr="00B12D79">
        <w:rPr>
          <w:szCs w:val="22"/>
          <w:lang w:val="en-US"/>
        </w:rPr>
        <w:t>KEYWORDS: Brazil; P-glycoprotein; cytochrome P450; glucuronidation; glutathione; herb-drug interactions; pharmacovigilance; polymorphism</w:t>
      </w:r>
    </w:p>
    <w:p w:rsidR="00975689" w:rsidRDefault="00975689" w:rsidP="00975689">
      <w:pPr>
        <w:pStyle w:val="Corpo"/>
        <w:rPr>
          <w:szCs w:val="22"/>
          <w:lang w:val="en-US"/>
        </w:rPr>
      </w:pPr>
    </w:p>
    <w:p w:rsidR="00975689" w:rsidRPr="00B12D79" w:rsidRDefault="00975689" w:rsidP="00975689">
      <w:pPr>
        <w:pStyle w:val="Corpo"/>
        <w:rPr>
          <w:szCs w:val="22"/>
          <w:lang w:val="en-US"/>
        </w:rPr>
      </w:pPr>
    </w:p>
    <w:p w:rsidR="00975689" w:rsidRPr="00170722" w:rsidRDefault="00935914" w:rsidP="00975689">
      <w:pPr>
        <w:pStyle w:val="Corpo"/>
        <w:rPr>
          <w:lang w:val="en-US"/>
        </w:rPr>
      </w:pPr>
      <w:hyperlink r:id="rId61" w:tooltip="Current drug metabolism." w:history="1">
        <w:r w:rsidR="00975689" w:rsidRPr="00170722">
          <w:rPr>
            <w:rStyle w:val="Hyperlink"/>
            <w:color w:val="808080" w:themeColor="background1" w:themeShade="80"/>
            <w:szCs w:val="20"/>
            <w:u w:val="none"/>
            <w:lang w:val="en-US"/>
          </w:rPr>
          <w:t>Curr Drug Metab.</w:t>
        </w:r>
      </w:hyperlink>
      <w:r w:rsidR="00975689" w:rsidRPr="00170722">
        <w:rPr>
          <w:rStyle w:val="apple-converted-space"/>
          <w:szCs w:val="20"/>
          <w:lang w:val="en-US"/>
        </w:rPr>
        <w:t> </w:t>
      </w:r>
      <w:r w:rsidR="00975689" w:rsidRPr="00170722">
        <w:rPr>
          <w:szCs w:val="20"/>
          <w:lang w:val="en-US"/>
        </w:rPr>
        <w:t>2012 Jun 1;13(5):640-51.</w:t>
      </w:r>
    </w:p>
    <w:p w:rsidR="00975689" w:rsidRPr="0013324D" w:rsidRDefault="00975689" w:rsidP="00975689">
      <w:pPr>
        <w:pStyle w:val="Corpo"/>
        <w:rPr>
          <w:b/>
          <w:szCs w:val="20"/>
          <w:lang w:val="en-US"/>
        </w:rPr>
      </w:pPr>
      <w:r w:rsidRPr="0013324D">
        <w:rPr>
          <w:b/>
          <w:szCs w:val="30"/>
          <w:lang w:val="en-US"/>
        </w:rPr>
        <w:t>Herb-drug interactions and mechanistic and clinical considerations.</w:t>
      </w:r>
    </w:p>
    <w:p w:rsidR="00975689" w:rsidRPr="0013324D" w:rsidRDefault="00935914" w:rsidP="00975689">
      <w:pPr>
        <w:pStyle w:val="Corpo"/>
        <w:rPr>
          <w:szCs w:val="30"/>
          <w:lang w:val="en-US"/>
        </w:rPr>
      </w:pPr>
      <w:hyperlink r:id="rId62" w:history="1">
        <w:r w:rsidR="00975689" w:rsidRPr="0013324D">
          <w:rPr>
            <w:rStyle w:val="Hyperlink"/>
            <w:color w:val="808080" w:themeColor="background1" w:themeShade="80"/>
            <w:szCs w:val="22"/>
            <w:u w:val="none"/>
            <w:lang w:val="en-US"/>
          </w:rPr>
          <w:t>Chen XW</w:t>
        </w:r>
      </w:hyperlink>
      <w:r w:rsidR="00975689" w:rsidRPr="0013324D">
        <w:rPr>
          <w:szCs w:val="19"/>
          <w:lang w:val="en-US"/>
        </w:rPr>
        <w:t>1</w:t>
      </w:r>
      <w:r w:rsidR="00975689" w:rsidRPr="0013324D">
        <w:rPr>
          <w:szCs w:val="22"/>
          <w:lang w:val="en-US"/>
        </w:rPr>
        <w:t>,</w:t>
      </w:r>
      <w:r w:rsidR="00975689" w:rsidRPr="0013324D">
        <w:rPr>
          <w:rStyle w:val="apple-converted-space"/>
          <w:szCs w:val="22"/>
          <w:lang w:val="en-US"/>
        </w:rPr>
        <w:t> </w:t>
      </w:r>
      <w:hyperlink r:id="rId63" w:history="1">
        <w:r w:rsidR="00975689" w:rsidRPr="0013324D">
          <w:rPr>
            <w:rStyle w:val="Hyperlink"/>
            <w:color w:val="808080" w:themeColor="background1" w:themeShade="80"/>
            <w:szCs w:val="22"/>
            <w:u w:val="none"/>
            <w:lang w:val="en-US"/>
          </w:rPr>
          <w:t>Sneed KB</w:t>
        </w:r>
      </w:hyperlink>
      <w:r w:rsidR="00975689" w:rsidRPr="0013324D">
        <w:rPr>
          <w:szCs w:val="22"/>
          <w:lang w:val="en-US"/>
        </w:rPr>
        <w:t>,</w:t>
      </w:r>
      <w:r w:rsidR="00975689" w:rsidRPr="0013324D">
        <w:rPr>
          <w:rStyle w:val="apple-converted-space"/>
          <w:szCs w:val="22"/>
          <w:lang w:val="en-US"/>
        </w:rPr>
        <w:t> </w:t>
      </w:r>
      <w:hyperlink r:id="rId64" w:history="1">
        <w:r w:rsidR="00975689" w:rsidRPr="0013324D">
          <w:rPr>
            <w:rStyle w:val="Hyperlink"/>
            <w:color w:val="808080" w:themeColor="background1" w:themeShade="80"/>
            <w:szCs w:val="22"/>
            <w:u w:val="none"/>
            <w:lang w:val="en-US"/>
          </w:rPr>
          <w:t>Pan SY</w:t>
        </w:r>
      </w:hyperlink>
      <w:r w:rsidR="00975689" w:rsidRPr="0013324D">
        <w:rPr>
          <w:szCs w:val="22"/>
          <w:lang w:val="en-US"/>
        </w:rPr>
        <w:t>,</w:t>
      </w:r>
      <w:r w:rsidR="00975689" w:rsidRPr="0013324D">
        <w:rPr>
          <w:rStyle w:val="apple-converted-space"/>
          <w:szCs w:val="22"/>
          <w:lang w:val="en-US"/>
        </w:rPr>
        <w:t> </w:t>
      </w:r>
      <w:hyperlink r:id="rId65" w:history="1">
        <w:r w:rsidR="00975689" w:rsidRPr="0013324D">
          <w:rPr>
            <w:rStyle w:val="Hyperlink"/>
            <w:color w:val="808080" w:themeColor="background1" w:themeShade="80"/>
            <w:szCs w:val="22"/>
            <w:u w:val="none"/>
            <w:lang w:val="en-US"/>
          </w:rPr>
          <w:t>Cao C</w:t>
        </w:r>
      </w:hyperlink>
      <w:r w:rsidR="00975689" w:rsidRPr="0013324D">
        <w:rPr>
          <w:szCs w:val="22"/>
          <w:lang w:val="en-US"/>
        </w:rPr>
        <w:t>,</w:t>
      </w:r>
      <w:r w:rsidR="00975689" w:rsidRPr="0013324D">
        <w:rPr>
          <w:rStyle w:val="apple-converted-space"/>
          <w:szCs w:val="22"/>
          <w:lang w:val="en-US"/>
        </w:rPr>
        <w:t> </w:t>
      </w:r>
      <w:hyperlink r:id="rId66" w:history="1">
        <w:r w:rsidR="00975689" w:rsidRPr="0013324D">
          <w:rPr>
            <w:rStyle w:val="Hyperlink"/>
            <w:color w:val="808080" w:themeColor="background1" w:themeShade="80"/>
            <w:szCs w:val="22"/>
            <w:u w:val="none"/>
            <w:lang w:val="en-US"/>
          </w:rPr>
          <w:t>Kanwar JR</w:t>
        </w:r>
      </w:hyperlink>
      <w:r w:rsidR="00975689" w:rsidRPr="0013324D">
        <w:rPr>
          <w:szCs w:val="22"/>
          <w:lang w:val="en-US"/>
        </w:rPr>
        <w:t>,</w:t>
      </w:r>
      <w:r w:rsidR="00975689" w:rsidRPr="0013324D">
        <w:rPr>
          <w:rStyle w:val="apple-converted-space"/>
          <w:szCs w:val="22"/>
          <w:lang w:val="en-US"/>
        </w:rPr>
        <w:t> </w:t>
      </w:r>
      <w:hyperlink r:id="rId67" w:history="1">
        <w:r w:rsidR="00975689" w:rsidRPr="0013324D">
          <w:rPr>
            <w:rStyle w:val="Hyperlink"/>
            <w:color w:val="808080" w:themeColor="background1" w:themeShade="80"/>
            <w:szCs w:val="22"/>
            <w:u w:val="none"/>
            <w:lang w:val="en-US"/>
          </w:rPr>
          <w:t>Chew H</w:t>
        </w:r>
      </w:hyperlink>
      <w:r w:rsidR="00975689" w:rsidRPr="0013324D">
        <w:rPr>
          <w:szCs w:val="22"/>
          <w:lang w:val="en-US"/>
        </w:rPr>
        <w:t>,</w:t>
      </w:r>
      <w:r w:rsidR="00975689" w:rsidRPr="0013324D">
        <w:rPr>
          <w:rStyle w:val="apple-converted-space"/>
          <w:szCs w:val="22"/>
          <w:lang w:val="en-US"/>
        </w:rPr>
        <w:t> </w:t>
      </w:r>
      <w:hyperlink r:id="rId68" w:history="1">
        <w:r w:rsidR="00975689" w:rsidRPr="0013324D">
          <w:rPr>
            <w:rStyle w:val="Hyperlink"/>
            <w:color w:val="808080" w:themeColor="background1" w:themeShade="80"/>
            <w:szCs w:val="22"/>
            <w:u w:val="none"/>
            <w:lang w:val="en-US"/>
          </w:rPr>
          <w:t>Zhou SF</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13324D" w:rsidRDefault="00975689" w:rsidP="00975689">
      <w:pPr>
        <w:pStyle w:val="Corpo"/>
        <w:rPr>
          <w:szCs w:val="22"/>
          <w:lang w:val="en-US"/>
        </w:rPr>
      </w:pPr>
      <w:r w:rsidRPr="0013324D">
        <w:rPr>
          <w:szCs w:val="20"/>
          <w:lang w:val="en-US"/>
        </w:rPr>
        <w:t>Herbal medicines are often used in combination with conventional drugs, and this may give rise to the potential of harmful herb-drug interactions. This paper updates our knowledge on clinical herb-drug interactions with an emphasis of the mechanistic and clinical consideration. In silico, in vitro, animal and human studies are often used to predict and/or identify drug interactions with herbal remedies. To date, a number of clinically important herb-drug interactions have been reported, but many of them are from case reports and limited clinical observations. Common herbal medicines that interact with drugs include St John's wort (Hypericum perforatum), ginkgo (Ginkgo biloba), ginger (Zingiber officinale), ginseng (Panax ginseng), and garlic (Allium sativum). For example, St John's wort significantly reduced the area under the plasma concentration-time curve (AUC) and blood concentrations of cyclosporine, midazolam, tacrolimus, amitriptyline, digoxin, indinavir, warfarin, phenprocoumon and theophylline. The common drugs that interact with herbal medicines include warfarin, midazolam, digoxin, amitriptyline, indinavir, cyclosporine, tacrolimus and irinotecan. Herbal medicines may interact with drugs at the intestine, liver, kidneys, and targets of action. Importantly, many of these drugs have very narrow therapeutic indices. Most of them are substrates for cytochrome P450s (CYPs) and/or P-glycoprotein (P-gp). The underlying mechanisms for most reported herb-drug interactions are not fully understood, and pharmacokinetic and/or pharmacodynamic mechanisms are implicated in many of these interactions. In particular, enzyme induction and inhibition may play an important role in the occurrence of some herbdrug interactions. Because herb-drug interactions can significantly affect circulating levels of drug and, hence, alter the clinical outcome, the identification of herb-drug interactions has important implications.</w:t>
      </w:r>
    </w:p>
    <w:p w:rsidR="00975689" w:rsidRPr="00B12D79" w:rsidRDefault="00975689" w:rsidP="00975689">
      <w:pPr>
        <w:pStyle w:val="Corpo"/>
        <w:rPr>
          <w:szCs w:val="17"/>
          <w:lang w:val="en-US"/>
        </w:rPr>
      </w:pPr>
      <w:r w:rsidRPr="00B12D79">
        <w:rPr>
          <w:szCs w:val="17"/>
          <w:lang w:val="en-US"/>
        </w:rPr>
        <w:t>PMID:</w:t>
      </w:r>
      <w:r w:rsidRPr="00B12D79">
        <w:rPr>
          <w:rStyle w:val="apple-converted-space"/>
          <w:szCs w:val="17"/>
          <w:lang w:val="en-US"/>
        </w:rPr>
        <w:t> </w:t>
      </w:r>
      <w:r w:rsidRPr="00B12D79">
        <w:rPr>
          <w:szCs w:val="17"/>
          <w:lang w:val="en-US"/>
        </w:rPr>
        <w:t>22292789</w:t>
      </w:r>
      <w:r w:rsidRPr="00B12D79">
        <w:rPr>
          <w:rStyle w:val="apple-converted-space"/>
          <w:szCs w:val="17"/>
          <w:lang w:val="en-US"/>
        </w:rPr>
        <w:t> </w:t>
      </w:r>
      <w:r w:rsidRPr="00B12D79">
        <w:rPr>
          <w:szCs w:val="17"/>
          <w:lang w:val="en-US"/>
        </w:rPr>
        <w:t>[PubMed - indexed for MEDLINE]</w:t>
      </w:r>
    </w:p>
    <w:p w:rsidR="00975689" w:rsidRDefault="00975689" w:rsidP="00975689">
      <w:pPr>
        <w:pStyle w:val="Corpo"/>
        <w:rPr>
          <w:szCs w:val="17"/>
          <w:lang w:val="en-US"/>
        </w:rPr>
      </w:pPr>
    </w:p>
    <w:p w:rsidR="00975689" w:rsidRPr="00B12D79" w:rsidRDefault="00975689" w:rsidP="00975689">
      <w:pPr>
        <w:pStyle w:val="Corpo"/>
        <w:rPr>
          <w:szCs w:val="17"/>
          <w:lang w:val="en-US"/>
        </w:rPr>
      </w:pPr>
    </w:p>
    <w:p w:rsidR="00975689" w:rsidRPr="0013324D" w:rsidRDefault="00935914" w:rsidP="00975689">
      <w:pPr>
        <w:pStyle w:val="Corpo"/>
        <w:rPr>
          <w:lang w:val="en-US"/>
        </w:rPr>
      </w:pPr>
      <w:hyperlink r:id="rId69" w:tooltip="Planta medica." w:history="1">
        <w:r w:rsidR="00975689" w:rsidRPr="0013324D">
          <w:rPr>
            <w:rStyle w:val="Hyperlink"/>
            <w:color w:val="808080" w:themeColor="background1" w:themeShade="80"/>
            <w:szCs w:val="20"/>
            <w:u w:val="none"/>
            <w:lang w:val="en-US"/>
          </w:rPr>
          <w:t>Planta Med.</w:t>
        </w:r>
      </w:hyperlink>
      <w:r w:rsidR="00975689" w:rsidRPr="0013324D">
        <w:rPr>
          <w:rStyle w:val="apple-converted-space"/>
          <w:szCs w:val="20"/>
          <w:lang w:val="en-US"/>
        </w:rPr>
        <w:t> </w:t>
      </w:r>
      <w:r w:rsidR="00975689" w:rsidRPr="0013324D">
        <w:rPr>
          <w:szCs w:val="20"/>
          <w:lang w:val="en-US"/>
        </w:rPr>
        <w:t>2012 Sep;78(13):1458-77. doi: 10.1055/s-0032-1315117. Epub 2012 Aug 1.</w:t>
      </w:r>
    </w:p>
    <w:p w:rsidR="00975689" w:rsidRPr="0013324D" w:rsidRDefault="00975689" w:rsidP="00975689">
      <w:pPr>
        <w:pStyle w:val="Corpo"/>
        <w:rPr>
          <w:b/>
          <w:szCs w:val="20"/>
          <w:lang w:val="en-US"/>
        </w:rPr>
      </w:pPr>
      <w:r w:rsidRPr="0013324D">
        <w:rPr>
          <w:b/>
          <w:szCs w:val="30"/>
          <w:lang w:val="en-US"/>
        </w:rPr>
        <w:t>Clinical evidence of herbal drugs as perpetrators of pharmacokinetic drug interactions.</w:t>
      </w:r>
    </w:p>
    <w:p w:rsidR="00975689" w:rsidRPr="0013324D" w:rsidRDefault="00935914" w:rsidP="00975689">
      <w:pPr>
        <w:pStyle w:val="Corpo"/>
        <w:rPr>
          <w:szCs w:val="30"/>
          <w:lang w:val="en-US"/>
        </w:rPr>
      </w:pPr>
      <w:hyperlink r:id="rId70" w:history="1">
        <w:r w:rsidR="00975689" w:rsidRPr="0013324D">
          <w:rPr>
            <w:rStyle w:val="Hyperlink"/>
            <w:color w:val="808080" w:themeColor="background1" w:themeShade="80"/>
            <w:szCs w:val="22"/>
            <w:u w:val="none"/>
            <w:lang w:val="en-US"/>
          </w:rPr>
          <w:t>Hermann R</w:t>
        </w:r>
      </w:hyperlink>
      <w:r w:rsidR="00975689" w:rsidRPr="0013324D">
        <w:rPr>
          <w:szCs w:val="19"/>
          <w:lang w:val="en-US"/>
        </w:rPr>
        <w:t>1</w:t>
      </w:r>
      <w:r w:rsidR="00975689" w:rsidRPr="0013324D">
        <w:rPr>
          <w:szCs w:val="22"/>
          <w:lang w:val="en-US"/>
        </w:rPr>
        <w:t>,</w:t>
      </w:r>
      <w:r w:rsidR="00975689" w:rsidRPr="0013324D">
        <w:rPr>
          <w:rStyle w:val="apple-converted-space"/>
          <w:szCs w:val="22"/>
          <w:lang w:val="en-US"/>
        </w:rPr>
        <w:t> </w:t>
      </w:r>
      <w:hyperlink r:id="rId71" w:history="1">
        <w:r w:rsidR="00975689" w:rsidRPr="0013324D">
          <w:rPr>
            <w:rStyle w:val="Hyperlink"/>
            <w:color w:val="808080" w:themeColor="background1" w:themeShade="80"/>
            <w:szCs w:val="22"/>
            <w:u w:val="none"/>
            <w:lang w:val="en-US"/>
          </w:rPr>
          <w:t>von Richter O</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13324D" w:rsidRDefault="00975689" w:rsidP="00975689">
      <w:pPr>
        <w:pStyle w:val="Corpo"/>
        <w:rPr>
          <w:szCs w:val="22"/>
          <w:lang w:val="en-US"/>
        </w:rPr>
      </w:pPr>
      <w:r w:rsidRPr="0013324D">
        <w:rPr>
          <w:szCs w:val="20"/>
          <w:lang w:val="en-US"/>
        </w:rPr>
        <w:t>The use of herbal/botanical products, also referred to as complementary and alternative medicines (CAM), worldwide enjoys increasing popularity. It appears in particular highly prevalent in patient populations already exposed to complex treatment algorithms and polypharmacotherapy, frequently involving narrow therapeutic index drugs. Accordingly, the potential clinical dimension and relevance of herb-drug interactions has received considerable attention over the last years. However, review of pertinent literature indicates that the available clinical evidence in this regard is still limited and sometimes inconclusive. Also, communication of herb-drug interaction data in the biopharmaceutical/medical literature is often complex and confusing, not always unbiased, and in many cases appears not to strive for clear-cut and useful guidance in terms of the clinical relevance of such findings.This systematic review summarizes and interprets the published evidence on clinical herb-drug interaction studies which examined the potential of six popular herbal drugs (Echinacea, garlic, gingko, ginseng, goldenseal, and milk thistle) as perpetrators of pharmacokinetic (PK) drug interactions. Reported effect sizes were systematically categorized according to FDA drug interaction guideline criteria. A total of 66 clinical PK interaction studies, meeting the scope of the present review, were identified. The clinical evidence was found to be most robust and informative for Gingko biloba (GB; 21 studies) and milk thistle/silymarin (MT; 13), and appears still limited for ginseng (9), goldenseal/berberine (GS; 8), garlic (8), and Echinacea (7). Collectively, the available evidence indicates that, at commonly recommended doses, none of these herbs act as potent or moderate inhibitors or inducers of cytochrome P450 (CYP) enzymes or P-glycoprotein (ABCB1). Weak effects in terms of either induction or inhibition were found for GB (presystemic/hepatic CYP3A4 induction/inhibition, CYP2C19 induction at high doses), milk thistle/silymarin (CYP2C9 inhibition), GS/berberine (CYP3A4 and CYP2D6 inhibition), Echinacea (presystemic/hepatic CYP3A4 inhibition/induction, CYP1A2 and CYP2C9 inhibition at high doses). Information was found not always complete for the major drug metabolizing CYP enzymes in the less well-studied herbs and is largely limited to P-glycoprotein (ABCB1) when effects on drug transporters have been investigated.</w:t>
      </w:r>
    </w:p>
    <w:p w:rsidR="00975689" w:rsidRPr="0013324D" w:rsidRDefault="00975689" w:rsidP="00975689">
      <w:pPr>
        <w:pStyle w:val="Corpo"/>
        <w:rPr>
          <w:szCs w:val="20"/>
          <w:lang w:val="en-US"/>
        </w:rPr>
      </w:pPr>
      <w:r w:rsidRPr="0013324D">
        <w:rPr>
          <w:szCs w:val="20"/>
          <w:lang w:val="en-US"/>
        </w:rPr>
        <w:t>Georg Thieme Verlag KG Stuttgart · New York.</w:t>
      </w:r>
    </w:p>
    <w:p w:rsidR="00975689" w:rsidRPr="00B12D79" w:rsidRDefault="00975689" w:rsidP="00975689">
      <w:pPr>
        <w:pStyle w:val="Corpo"/>
        <w:rPr>
          <w:rStyle w:val="apple-converted-space"/>
          <w:szCs w:val="17"/>
          <w:lang w:val="en-US"/>
        </w:rPr>
      </w:pPr>
      <w:r w:rsidRPr="00B12D79">
        <w:rPr>
          <w:szCs w:val="17"/>
          <w:lang w:val="en-US"/>
        </w:rPr>
        <w:t>PMID:22855269</w:t>
      </w:r>
      <w:r w:rsidRPr="00B12D79">
        <w:rPr>
          <w:rStyle w:val="apple-converted-space"/>
          <w:szCs w:val="17"/>
          <w:lang w:val="en-US"/>
        </w:rPr>
        <w:t> </w:t>
      </w:r>
      <w:r w:rsidRPr="00B12D79">
        <w:rPr>
          <w:szCs w:val="17"/>
          <w:lang w:val="en-US"/>
        </w:rPr>
        <w:t>[PubMed - indexed for MEDLINE]</w:t>
      </w:r>
      <w:r w:rsidRPr="00B12D79">
        <w:rPr>
          <w:rStyle w:val="apple-converted-space"/>
          <w:szCs w:val="17"/>
          <w:lang w:val="en-US"/>
        </w:rPr>
        <w:t> </w:t>
      </w:r>
    </w:p>
    <w:p w:rsidR="00975689" w:rsidRPr="00B12D79" w:rsidRDefault="00975689" w:rsidP="00975689">
      <w:pPr>
        <w:pStyle w:val="Corpo"/>
        <w:rPr>
          <w:rStyle w:val="apple-converted-space"/>
          <w:szCs w:val="17"/>
          <w:lang w:val="en-US"/>
        </w:rPr>
      </w:pPr>
    </w:p>
    <w:p w:rsidR="00975689" w:rsidRPr="00B12D79" w:rsidRDefault="00975689" w:rsidP="00975689">
      <w:pPr>
        <w:pStyle w:val="Corpo"/>
        <w:rPr>
          <w:szCs w:val="17"/>
          <w:lang w:val="en-US"/>
        </w:rPr>
      </w:pPr>
    </w:p>
    <w:p w:rsidR="00975689" w:rsidRPr="0013324D" w:rsidRDefault="00935914" w:rsidP="00975689">
      <w:pPr>
        <w:pStyle w:val="Corpo"/>
        <w:rPr>
          <w:lang w:val="en-US"/>
        </w:rPr>
      </w:pPr>
      <w:hyperlink r:id="rId72" w:tooltip="Advances in pharmacological sciences." w:history="1">
        <w:r w:rsidR="00975689" w:rsidRPr="0013324D">
          <w:rPr>
            <w:rStyle w:val="Hyperlink"/>
            <w:color w:val="808080" w:themeColor="background1" w:themeShade="80"/>
            <w:u w:val="none"/>
            <w:lang w:val="en-US"/>
          </w:rPr>
          <w:t>Adv Pharmacol Sci.</w:t>
        </w:r>
      </w:hyperlink>
      <w:r w:rsidR="00975689" w:rsidRPr="0013324D">
        <w:rPr>
          <w:lang w:val="en-US"/>
        </w:rPr>
        <w:t> 2014;2014:354264. doi: 10.1155/2014/354264. Epub 2014 Apr 17.</w:t>
      </w:r>
    </w:p>
    <w:p w:rsidR="00975689" w:rsidRPr="0013324D" w:rsidRDefault="00975689" w:rsidP="00975689">
      <w:pPr>
        <w:pStyle w:val="Corpo"/>
        <w:rPr>
          <w:b/>
          <w:lang w:val="en-US"/>
        </w:rPr>
      </w:pPr>
      <w:r w:rsidRPr="0013324D">
        <w:rPr>
          <w:b/>
          <w:lang w:val="en-US"/>
        </w:rPr>
        <w:t>The therapeutic potential of medicinal foods.</w:t>
      </w:r>
    </w:p>
    <w:p w:rsidR="00975689" w:rsidRPr="0013324D" w:rsidRDefault="00935914" w:rsidP="00975689">
      <w:pPr>
        <w:pStyle w:val="Corpo"/>
        <w:rPr>
          <w:lang w:val="en-US"/>
        </w:rPr>
      </w:pPr>
      <w:hyperlink r:id="rId73" w:history="1">
        <w:r w:rsidR="00975689" w:rsidRPr="0013324D">
          <w:rPr>
            <w:rStyle w:val="Hyperlink"/>
            <w:color w:val="808080" w:themeColor="background1" w:themeShade="80"/>
            <w:u w:val="none"/>
            <w:lang w:val="en-US"/>
          </w:rPr>
          <w:t>Ramalingum N</w:t>
        </w:r>
      </w:hyperlink>
      <w:r w:rsidR="00975689" w:rsidRPr="0013324D">
        <w:rPr>
          <w:lang w:val="en-US"/>
        </w:rPr>
        <w:t>, </w:t>
      </w:r>
      <w:hyperlink r:id="rId74" w:history="1">
        <w:r w:rsidR="00975689" w:rsidRPr="0013324D">
          <w:rPr>
            <w:rStyle w:val="Hyperlink"/>
            <w:color w:val="808080" w:themeColor="background1" w:themeShade="80"/>
            <w:u w:val="none"/>
            <w:lang w:val="en-US"/>
          </w:rPr>
          <w:t>Mahomoodally MF</w:t>
        </w:r>
      </w:hyperlink>
      <w:r w:rsidR="00975689" w:rsidRPr="0013324D">
        <w:rPr>
          <w:lang w:val="en-US"/>
        </w:rPr>
        <w:t>.</w:t>
      </w:r>
    </w:p>
    <w:p w:rsidR="00975689" w:rsidRPr="0013324D" w:rsidRDefault="00975689" w:rsidP="00975689">
      <w:pPr>
        <w:pStyle w:val="Corpo"/>
        <w:rPr>
          <w:lang w:val="en-US"/>
        </w:rPr>
      </w:pPr>
      <w:r w:rsidRPr="0013324D">
        <w:rPr>
          <w:lang w:val="en-US"/>
        </w:rPr>
        <w:t>Abstract</w:t>
      </w:r>
    </w:p>
    <w:p w:rsidR="00975689" w:rsidRPr="0013324D" w:rsidRDefault="00975689" w:rsidP="00975689">
      <w:pPr>
        <w:pStyle w:val="Corpo"/>
        <w:rPr>
          <w:lang w:val="en-US"/>
        </w:rPr>
      </w:pPr>
      <w:r w:rsidRPr="0013324D">
        <w:rPr>
          <w:lang w:val="en-US"/>
        </w:rPr>
        <w:t xml:space="preserve">Pharmaceutical and nutritional sciences have recently witnessed a bloom in the scientific literature geared towards the use offood plants for their diversified health benefits and potential clinical applications. Health professionals now recognize that a synergism of drug therapy and nutrition might confer optimum outcomes in the fight </w:t>
      </w:r>
      <w:r w:rsidRPr="0013324D">
        <w:rPr>
          <w:lang w:val="en-US"/>
        </w:rPr>
        <w:lastRenderedPageBreak/>
        <w:t>against diseases. The prophylactic benefits of food plants are being investigated for potential use as novel medicinal remedies due to the presence of pharmacologically active compounds. Although the availability of scientific data is rapidly growing, there is still a paucity of updated compilation of data and concerns about the rationale of these health-foods still persist in the literature. This paper attempts to congregate the nutritional value, phytochemical composition, traditional uses, in vitro and in vivo studies of 10 common medicinal food plants used against chronic noncommunicable and infectious diseases. Food plants included were based on the criteria that they are consumed as a common food in a typical diet as either fruit or vegetable for their nutritive value but have also other parts which are in common use in folk medicine. The potential challenges of incorporating thesemedicinal foods in the diet which offers prospective opportunities for future drug development are also discussed.</w:t>
      </w:r>
    </w:p>
    <w:p w:rsidR="00975689" w:rsidRPr="0013324D" w:rsidRDefault="00975689" w:rsidP="00975689">
      <w:pPr>
        <w:pStyle w:val="Corpo"/>
        <w:rPr>
          <w:lang w:val="en-US"/>
        </w:rPr>
      </w:pPr>
      <w:r w:rsidRPr="0013324D">
        <w:rPr>
          <w:lang w:val="en-US"/>
        </w:rPr>
        <w:t>PMID: 24822061 [PubMed] PMCID: PMC4009199</w:t>
      </w:r>
    </w:p>
    <w:p w:rsidR="00975689" w:rsidRPr="00B12D79" w:rsidRDefault="00975689" w:rsidP="00975689">
      <w:pPr>
        <w:pStyle w:val="Corpo"/>
        <w:rPr>
          <w:lang w:val="en-US"/>
        </w:rPr>
      </w:pPr>
    </w:p>
    <w:p w:rsidR="00975689" w:rsidRPr="00B12D79" w:rsidRDefault="00975689" w:rsidP="00975689">
      <w:pPr>
        <w:pStyle w:val="Corpo"/>
        <w:rPr>
          <w:lang w:val="en-US"/>
        </w:rPr>
      </w:pPr>
    </w:p>
    <w:p w:rsidR="00975689" w:rsidRPr="0013324D" w:rsidRDefault="00935914" w:rsidP="00975689">
      <w:pPr>
        <w:pStyle w:val="Corpo"/>
        <w:rPr>
          <w:lang w:val="en-US"/>
        </w:rPr>
      </w:pPr>
      <w:hyperlink r:id="rId75" w:tooltip="Menopause international." w:history="1">
        <w:r w:rsidR="00975689" w:rsidRPr="0013324D">
          <w:rPr>
            <w:rStyle w:val="Hyperlink"/>
            <w:color w:val="808080" w:themeColor="background1" w:themeShade="80"/>
            <w:szCs w:val="20"/>
            <w:u w:val="none"/>
            <w:lang w:val="en-US"/>
          </w:rPr>
          <w:t>Menopause Int.</w:t>
        </w:r>
      </w:hyperlink>
      <w:r w:rsidR="00975689" w:rsidRPr="0013324D">
        <w:rPr>
          <w:rStyle w:val="apple-converted-space"/>
          <w:szCs w:val="20"/>
          <w:lang w:val="en-US"/>
        </w:rPr>
        <w:t> </w:t>
      </w:r>
      <w:r w:rsidR="00975689" w:rsidRPr="0013324D">
        <w:rPr>
          <w:szCs w:val="20"/>
          <w:lang w:val="en-US"/>
        </w:rPr>
        <w:t>2013 Sep;19(3):133-4. doi: 10.1177/1754045313502473.</w:t>
      </w:r>
    </w:p>
    <w:p w:rsidR="00975689" w:rsidRPr="0013324D" w:rsidRDefault="00975689" w:rsidP="00975689">
      <w:pPr>
        <w:pStyle w:val="Corpo"/>
        <w:rPr>
          <w:b/>
          <w:szCs w:val="20"/>
          <w:lang w:val="en-US"/>
        </w:rPr>
      </w:pPr>
      <w:r w:rsidRPr="0013324D">
        <w:rPr>
          <w:b/>
          <w:szCs w:val="30"/>
          <w:lang w:val="en-US"/>
        </w:rPr>
        <w:t>Red clover causing symptoms suggestive of methotrexate toxicity in a patient on high-dose methotrexate.</w:t>
      </w:r>
    </w:p>
    <w:p w:rsidR="00975689" w:rsidRPr="0013324D" w:rsidRDefault="00935914" w:rsidP="00975689">
      <w:pPr>
        <w:pStyle w:val="Corpo"/>
        <w:rPr>
          <w:szCs w:val="30"/>
          <w:lang w:val="en-US"/>
        </w:rPr>
      </w:pPr>
      <w:hyperlink r:id="rId76" w:history="1">
        <w:r w:rsidR="00975689" w:rsidRPr="0013324D">
          <w:rPr>
            <w:rStyle w:val="Hyperlink"/>
            <w:color w:val="808080" w:themeColor="background1" w:themeShade="80"/>
            <w:szCs w:val="22"/>
            <w:u w:val="none"/>
            <w:lang w:val="en-US"/>
          </w:rPr>
          <w:t>Orr A</w:t>
        </w:r>
      </w:hyperlink>
      <w:r w:rsidR="00975689" w:rsidRPr="0013324D">
        <w:rPr>
          <w:szCs w:val="19"/>
          <w:lang w:val="en-US"/>
        </w:rPr>
        <w:t>1</w:t>
      </w:r>
      <w:r w:rsidR="00975689" w:rsidRPr="0013324D">
        <w:rPr>
          <w:szCs w:val="22"/>
          <w:lang w:val="en-US"/>
        </w:rPr>
        <w:t>,</w:t>
      </w:r>
      <w:r w:rsidR="00975689" w:rsidRPr="0013324D">
        <w:rPr>
          <w:rStyle w:val="apple-converted-space"/>
          <w:szCs w:val="22"/>
          <w:lang w:val="en-US"/>
        </w:rPr>
        <w:t> </w:t>
      </w:r>
      <w:hyperlink r:id="rId77" w:history="1">
        <w:r w:rsidR="00975689" w:rsidRPr="0013324D">
          <w:rPr>
            <w:rStyle w:val="Hyperlink"/>
            <w:color w:val="808080" w:themeColor="background1" w:themeShade="80"/>
            <w:szCs w:val="22"/>
            <w:u w:val="none"/>
            <w:lang w:val="en-US"/>
          </w:rPr>
          <w:t>Parker R</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13324D" w:rsidRDefault="00975689" w:rsidP="00975689">
      <w:pPr>
        <w:pStyle w:val="Corpo"/>
        <w:rPr>
          <w:szCs w:val="22"/>
          <w:lang w:val="en-US"/>
        </w:rPr>
      </w:pPr>
      <w:r w:rsidRPr="0013324D">
        <w:rPr>
          <w:szCs w:val="20"/>
          <w:lang w:val="en-US"/>
        </w:rPr>
        <w:t>The case report discusses a very serious interaction between red clover and methotrexate not previously documented. It highlights the</w:t>
      </w:r>
      <w:r w:rsidRPr="0013324D">
        <w:rPr>
          <w:rStyle w:val="apple-converted-space"/>
          <w:szCs w:val="20"/>
          <w:lang w:val="en-US"/>
        </w:rPr>
        <w:t> </w:t>
      </w:r>
      <w:r w:rsidRPr="0013324D">
        <w:rPr>
          <w:rStyle w:val="highlight"/>
          <w:szCs w:val="20"/>
          <w:lang w:val="en-US"/>
        </w:rPr>
        <w:t>potential</w:t>
      </w:r>
      <w:r w:rsidRPr="0013324D">
        <w:rPr>
          <w:rStyle w:val="apple-converted-space"/>
          <w:szCs w:val="20"/>
          <w:lang w:val="en-US"/>
        </w:rPr>
        <w:t> </w:t>
      </w:r>
      <w:r w:rsidRPr="0013324D">
        <w:rPr>
          <w:szCs w:val="20"/>
          <w:lang w:val="en-US"/>
        </w:rPr>
        <w:t>pitfalls of concomitant use of herbal remedies and conventionally prescribed drugs and the importance of advising our patients about OTC drugs. A 52-year-old woman attended her general practitioner for advice on menopausal flushing. She was on methotrexate weekly injections for severe psoriasis and was not keen to consider anything that would possibly affect her skin. Alternative therapies were discussed and red clover was suggested. This was bought OTC. After the third day of taking red clover capsules (430 mg), the patient developed severe vomiting and epigastric pain. She contacted the dermatology clinic that administers the methotrexate injection and was thought to have symptoms suggestive of methotrexate toxicity even though her liver function tests remained within normal levels. She had been receiving methotrexate injections for nearly two years with no adverse effects. The only new drug that had been started was red clover and this was thought to be the probable cause of the toxicity. It was withdrawn. The patient made a full recovery and received her next injection of methotrexate with no adverse effects. The interaction was reported to the MHRA with a yellow card.</w:t>
      </w:r>
    </w:p>
    <w:p w:rsidR="00975689" w:rsidRPr="0013324D" w:rsidRDefault="00975689" w:rsidP="00975689">
      <w:pPr>
        <w:pStyle w:val="Corpo"/>
        <w:rPr>
          <w:szCs w:val="22"/>
          <w:lang w:val="en-US"/>
        </w:rPr>
      </w:pPr>
      <w:r w:rsidRPr="0013324D">
        <w:rPr>
          <w:szCs w:val="22"/>
          <w:lang w:val="en-US"/>
        </w:rPr>
        <w:t>KEYWORDS: Menopause; alternative therapies</w:t>
      </w:r>
    </w:p>
    <w:p w:rsidR="00975689" w:rsidRPr="00B12D79" w:rsidRDefault="00975689" w:rsidP="00975689">
      <w:pPr>
        <w:pStyle w:val="Corpo"/>
        <w:rPr>
          <w:szCs w:val="17"/>
          <w:lang w:val="en-US"/>
        </w:rPr>
      </w:pPr>
      <w:r w:rsidRPr="00B12D79">
        <w:rPr>
          <w:szCs w:val="17"/>
          <w:lang w:val="en-US"/>
        </w:rPr>
        <w:t>PMID:</w:t>
      </w:r>
      <w:r w:rsidRPr="00B12D79">
        <w:rPr>
          <w:rStyle w:val="apple-converted-space"/>
          <w:szCs w:val="17"/>
          <w:lang w:val="en-US"/>
        </w:rPr>
        <w:t> </w:t>
      </w:r>
      <w:r w:rsidRPr="00B12D79">
        <w:rPr>
          <w:szCs w:val="17"/>
          <w:lang w:val="en-US"/>
        </w:rPr>
        <w:t>24072635</w:t>
      </w:r>
      <w:r w:rsidRPr="00B12D79">
        <w:rPr>
          <w:rStyle w:val="apple-converted-space"/>
          <w:szCs w:val="17"/>
          <w:lang w:val="en-US"/>
        </w:rPr>
        <w:t> </w:t>
      </w:r>
      <w:r w:rsidRPr="00B12D79">
        <w:rPr>
          <w:szCs w:val="17"/>
          <w:lang w:val="en-US"/>
        </w:rPr>
        <w:t>[PubMed - indexed for MEDLINE]</w:t>
      </w:r>
    </w:p>
    <w:p w:rsidR="00975689" w:rsidRDefault="00975689" w:rsidP="00975689">
      <w:pPr>
        <w:pStyle w:val="Corpo"/>
        <w:rPr>
          <w:szCs w:val="17"/>
          <w:lang w:val="en-US"/>
        </w:rPr>
      </w:pPr>
    </w:p>
    <w:p w:rsidR="00975689" w:rsidRPr="00B12D79" w:rsidRDefault="00975689" w:rsidP="00975689">
      <w:pPr>
        <w:pStyle w:val="Corpo"/>
        <w:rPr>
          <w:szCs w:val="17"/>
          <w:lang w:val="en-US"/>
        </w:rPr>
      </w:pPr>
    </w:p>
    <w:p w:rsidR="00975689" w:rsidRPr="0013324D" w:rsidRDefault="00935914" w:rsidP="00975689">
      <w:pPr>
        <w:pStyle w:val="Corpo"/>
        <w:rPr>
          <w:lang w:val="en-US"/>
        </w:rPr>
      </w:pPr>
      <w:hyperlink r:id="rId78" w:tooltip="Planta medica." w:history="1">
        <w:r w:rsidR="00975689" w:rsidRPr="00B12D79">
          <w:rPr>
            <w:rStyle w:val="Hyperlink"/>
            <w:color w:val="808080" w:themeColor="background1" w:themeShade="80"/>
            <w:szCs w:val="20"/>
            <w:u w:val="none"/>
            <w:lang w:val="en-US"/>
          </w:rPr>
          <w:t>Plant Med.</w:t>
        </w:r>
      </w:hyperlink>
      <w:r w:rsidR="00975689" w:rsidRPr="00B12D79">
        <w:rPr>
          <w:rStyle w:val="apple-converted-space"/>
          <w:szCs w:val="20"/>
          <w:lang w:val="en-US"/>
        </w:rPr>
        <w:t> </w:t>
      </w:r>
      <w:r w:rsidR="00975689" w:rsidRPr="00B12D79">
        <w:rPr>
          <w:szCs w:val="20"/>
          <w:lang w:val="en-US"/>
        </w:rPr>
        <w:t xml:space="preserve">2012 Sep;78(13):1458-77. doi: 10.1055/s-0032-1315117. </w:t>
      </w:r>
      <w:r w:rsidR="00975689" w:rsidRPr="0013324D">
        <w:rPr>
          <w:szCs w:val="20"/>
          <w:lang w:val="en-US"/>
        </w:rPr>
        <w:t>Epub 2012 Aug 1.</w:t>
      </w:r>
    </w:p>
    <w:p w:rsidR="00975689" w:rsidRPr="0013324D" w:rsidRDefault="00975689" w:rsidP="00975689">
      <w:pPr>
        <w:pStyle w:val="Corpo"/>
        <w:rPr>
          <w:b/>
          <w:szCs w:val="20"/>
          <w:lang w:val="en-US"/>
        </w:rPr>
      </w:pPr>
      <w:r w:rsidRPr="0013324D">
        <w:rPr>
          <w:rStyle w:val="highlight"/>
          <w:b/>
          <w:szCs w:val="30"/>
          <w:lang w:val="en-US"/>
        </w:rPr>
        <w:t>Clinical</w:t>
      </w:r>
      <w:r w:rsidRPr="0013324D">
        <w:rPr>
          <w:rStyle w:val="apple-converted-space"/>
          <w:b/>
          <w:szCs w:val="30"/>
          <w:lang w:val="en-US"/>
        </w:rPr>
        <w:t> </w:t>
      </w:r>
      <w:r w:rsidRPr="0013324D">
        <w:rPr>
          <w:rStyle w:val="highlight"/>
          <w:b/>
          <w:szCs w:val="30"/>
          <w:lang w:val="en-US"/>
        </w:rPr>
        <w:t>evidence</w:t>
      </w:r>
      <w:r w:rsidRPr="0013324D">
        <w:rPr>
          <w:rStyle w:val="apple-converted-space"/>
          <w:b/>
          <w:szCs w:val="30"/>
          <w:lang w:val="en-US"/>
        </w:rPr>
        <w:t> </w:t>
      </w:r>
      <w:r w:rsidRPr="0013324D">
        <w:rPr>
          <w:b/>
          <w:szCs w:val="30"/>
          <w:lang w:val="en-US"/>
        </w:rPr>
        <w:t>of</w:t>
      </w:r>
      <w:r w:rsidRPr="0013324D">
        <w:rPr>
          <w:rStyle w:val="apple-converted-space"/>
          <w:b/>
          <w:szCs w:val="30"/>
          <w:lang w:val="en-US"/>
        </w:rPr>
        <w:t> </w:t>
      </w:r>
      <w:r w:rsidRPr="0013324D">
        <w:rPr>
          <w:rStyle w:val="highlight"/>
          <w:b/>
          <w:szCs w:val="30"/>
          <w:lang w:val="en-US"/>
        </w:rPr>
        <w:t>herbal</w:t>
      </w:r>
      <w:r w:rsidRPr="0013324D">
        <w:rPr>
          <w:rStyle w:val="apple-converted-space"/>
          <w:b/>
          <w:szCs w:val="30"/>
          <w:lang w:val="en-US"/>
        </w:rPr>
        <w:t> </w:t>
      </w:r>
      <w:r w:rsidRPr="0013324D">
        <w:rPr>
          <w:rStyle w:val="highlight"/>
          <w:b/>
          <w:szCs w:val="30"/>
          <w:lang w:val="en-US"/>
        </w:rPr>
        <w:t>drugs</w:t>
      </w:r>
      <w:r w:rsidRPr="0013324D">
        <w:rPr>
          <w:rStyle w:val="apple-converted-space"/>
          <w:b/>
          <w:szCs w:val="30"/>
          <w:lang w:val="en-US"/>
        </w:rPr>
        <w:t> </w:t>
      </w:r>
      <w:r w:rsidRPr="0013324D">
        <w:rPr>
          <w:b/>
          <w:szCs w:val="30"/>
          <w:lang w:val="en-US"/>
        </w:rPr>
        <w:t>as</w:t>
      </w:r>
      <w:r w:rsidRPr="0013324D">
        <w:rPr>
          <w:rStyle w:val="apple-converted-space"/>
          <w:b/>
          <w:szCs w:val="30"/>
          <w:lang w:val="en-US"/>
        </w:rPr>
        <w:t> </w:t>
      </w:r>
      <w:r w:rsidRPr="0013324D">
        <w:rPr>
          <w:rStyle w:val="highlight"/>
          <w:b/>
          <w:szCs w:val="30"/>
          <w:lang w:val="en-US"/>
        </w:rPr>
        <w:t>perpetrators</w:t>
      </w:r>
      <w:r w:rsidRPr="0013324D">
        <w:rPr>
          <w:rStyle w:val="apple-converted-space"/>
          <w:b/>
          <w:szCs w:val="30"/>
          <w:lang w:val="en-US"/>
        </w:rPr>
        <w:t> </w:t>
      </w:r>
      <w:r w:rsidRPr="0013324D">
        <w:rPr>
          <w:b/>
          <w:szCs w:val="30"/>
          <w:lang w:val="en-US"/>
        </w:rPr>
        <w:t>of</w:t>
      </w:r>
      <w:r w:rsidRPr="0013324D">
        <w:rPr>
          <w:rStyle w:val="apple-converted-space"/>
          <w:b/>
          <w:szCs w:val="30"/>
          <w:lang w:val="en-US"/>
        </w:rPr>
        <w:t> </w:t>
      </w:r>
      <w:r w:rsidRPr="0013324D">
        <w:rPr>
          <w:rStyle w:val="highlight"/>
          <w:b/>
          <w:szCs w:val="30"/>
          <w:lang w:val="en-US"/>
        </w:rPr>
        <w:t>pharmacokinetic</w:t>
      </w:r>
      <w:r w:rsidRPr="0013324D">
        <w:rPr>
          <w:rStyle w:val="apple-converted-space"/>
          <w:b/>
          <w:szCs w:val="30"/>
          <w:lang w:val="en-US"/>
        </w:rPr>
        <w:t> </w:t>
      </w:r>
      <w:r w:rsidRPr="0013324D">
        <w:rPr>
          <w:rStyle w:val="highlight"/>
          <w:b/>
          <w:szCs w:val="30"/>
          <w:lang w:val="en-US"/>
        </w:rPr>
        <w:t>drug</w:t>
      </w:r>
      <w:r w:rsidRPr="0013324D">
        <w:rPr>
          <w:rStyle w:val="apple-converted-space"/>
          <w:b/>
          <w:szCs w:val="30"/>
          <w:lang w:val="en-US"/>
        </w:rPr>
        <w:t> </w:t>
      </w:r>
      <w:r w:rsidRPr="0013324D">
        <w:rPr>
          <w:rStyle w:val="highlight"/>
          <w:b/>
          <w:szCs w:val="30"/>
          <w:lang w:val="en-US"/>
        </w:rPr>
        <w:t>interactions</w:t>
      </w:r>
      <w:r w:rsidRPr="0013324D">
        <w:rPr>
          <w:b/>
          <w:szCs w:val="30"/>
          <w:lang w:val="en-US"/>
        </w:rPr>
        <w:t>.</w:t>
      </w:r>
    </w:p>
    <w:p w:rsidR="00975689" w:rsidRPr="0013324D" w:rsidRDefault="00935914" w:rsidP="00975689">
      <w:pPr>
        <w:pStyle w:val="Corpo"/>
        <w:rPr>
          <w:szCs w:val="30"/>
          <w:lang w:val="en-US"/>
        </w:rPr>
      </w:pPr>
      <w:hyperlink r:id="rId79" w:history="1">
        <w:r w:rsidR="00975689" w:rsidRPr="0013324D">
          <w:rPr>
            <w:rStyle w:val="Hyperlink"/>
            <w:color w:val="808080" w:themeColor="background1" w:themeShade="80"/>
            <w:szCs w:val="22"/>
            <w:u w:val="none"/>
            <w:lang w:val="en-US"/>
          </w:rPr>
          <w:t>Hermann R</w:t>
        </w:r>
      </w:hyperlink>
      <w:r w:rsidR="00975689" w:rsidRPr="0013324D">
        <w:rPr>
          <w:szCs w:val="19"/>
          <w:lang w:val="en-US"/>
        </w:rPr>
        <w:t>1</w:t>
      </w:r>
      <w:r w:rsidR="00975689" w:rsidRPr="0013324D">
        <w:rPr>
          <w:szCs w:val="22"/>
          <w:lang w:val="en-US"/>
        </w:rPr>
        <w:t>,</w:t>
      </w:r>
      <w:r w:rsidR="00975689" w:rsidRPr="0013324D">
        <w:rPr>
          <w:rStyle w:val="apple-converted-space"/>
          <w:szCs w:val="22"/>
          <w:lang w:val="en-US"/>
        </w:rPr>
        <w:t> </w:t>
      </w:r>
      <w:hyperlink r:id="rId80" w:history="1">
        <w:r w:rsidR="00975689" w:rsidRPr="0013324D">
          <w:rPr>
            <w:rStyle w:val="Hyperlink"/>
            <w:color w:val="808080" w:themeColor="background1" w:themeShade="80"/>
            <w:szCs w:val="22"/>
            <w:u w:val="none"/>
            <w:lang w:val="en-US"/>
          </w:rPr>
          <w:t>von Richter O</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13324D" w:rsidRDefault="00975689" w:rsidP="00975689">
      <w:pPr>
        <w:pStyle w:val="Corpo"/>
        <w:rPr>
          <w:szCs w:val="22"/>
          <w:lang w:val="en-US"/>
        </w:rPr>
      </w:pPr>
      <w:r w:rsidRPr="0013324D">
        <w:rPr>
          <w:szCs w:val="20"/>
          <w:lang w:val="en-US"/>
        </w:rPr>
        <w:t>The use of</w:t>
      </w:r>
      <w:r w:rsidRPr="0013324D">
        <w:rPr>
          <w:rStyle w:val="apple-converted-space"/>
          <w:szCs w:val="20"/>
          <w:lang w:val="en-US"/>
        </w:rPr>
        <w:t> </w:t>
      </w:r>
      <w:r w:rsidRPr="0013324D">
        <w:rPr>
          <w:rStyle w:val="highlight"/>
          <w:szCs w:val="20"/>
          <w:lang w:val="en-US"/>
        </w:rPr>
        <w:t>herbal</w:t>
      </w:r>
      <w:r w:rsidRPr="0013324D">
        <w:rPr>
          <w:szCs w:val="20"/>
          <w:lang w:val="en-US"/>
        </w:rPr>
        <w:t>/botanical products, also referred to as complementary and alternative medicines (CAM), worldwide enjoys increasing popularity. It appears in particular highly prevalent in patient populations already exposed to complex treatment algorithms and polypharmacotherapy, frequently involving narrow therapeutic index</w:t>
      </w:r>
      <w:r w:rsidRPr="0013324D">
        <w:rPr>
          <w:rStyle w:val="apple-converted-space"/>
          <w:szCs w:val="20"/>
          <w:lang w:val="en-US"/>
        </w:rPr>
        <w:t> </w:t>
      </w:r>
      <w:r w:rsidRPr="0013324D">
        <w:rPr>
          <w:rStyle w:val="highlight"/>
          <w:szCs w:val="20"/>
          <w:lang w:val="en-US"/>
        </w:rPr>
        <w:t>drugs</w:t>
      </w:r>
      <w:r w:rsidRPr="0013324D">
        <w:rPr>
          <w:szCs w:val="20"/>
          <w:lang w:val="en-US"/>
        </w:rPr>
        <w:t>. Accordingly, the potential</w:t>
      </w:r>
      <w:r w:rsidRPr="0013324D">
        <w:rPr>
          <w:rStyle w:val="apple-converted-space"/>
          <w:szCs w:val="20"/>
          <w:lang w:val="en-US"/>
        </w:rPr>
        <w:t> </w:t>
      </w:r>
      <w:r w:rsidRPr="0013324D">
        <w:rPr>
          <w:rStyle w:val="highlight"/>
          <w:szCs w:val="20"/>
          <w:lang w:val="en-US"/>
        </w:rPr>
        <w:t>clinical</w:t>
      </w:r>
      <w:r w:rsidRPr="0013324D">
        <w:rPr>
          <w:szCs w:val="20"/>
          <w:lang w:val="en-US"/>
        </w:rPr>
        <w:t>dimension and relevance of herb-</w:t>
      </w:r>
      <w:r w:rsidRPr="0013324D">
        <w:rPr>
          <w:rStyle w:val="highlight"/>
          <w:szCs w:val="20"/>
          <w:lang w:val="en-US"/>
        </w:rPr>
        <w:t>drug</w:t>
      </w:r>
      <w:r w:rsidRPr="0013324D">
        <w:rPr>
          <w:rStyle w:val="apple-converted-space"/>
          <w:szCs w:val="20"/>
          <w:lang w:val="en-US"/>
        </w:rPr>
        <w:t> </w:t>
      </w:r>
      <w:r w:rsidRPr="0013324D">
        <w:rPr>
          <w:rStyle w:val="highlight"/>
          <w:szCs w:val="20"/>
          <w:lang w:val="en-US"/>
        </w:rPr>
        <w:t>interactions</w:t>
      </w:r>
      <w:r w:rsidRPr="0013324D">
        <w:rPr>
          <w:rStyle w:val="apple-converted-space"/>
          <w:szCs w:val="20"/>
          <w:lang w:val="en-US"/>
        </w:rPr>
        <w:t> </w:t>
      </w:r>
      <w:r w:rsidRPr="0013324D">
        <w:rPr>
          <w:szCs w:val="20"/>
          <w:lang w:val="en-US"/>
        </w:rPr>
        <w:t>has received considerable attention over the last years. However, review of pertinent literature indicates that the available</w:t>
      </w:r>
      <w:r w:rsidRPr="0013324D">
        <w:rPr>
          <w:rStyle w:val="apple-converted-space"/>
          <w:szCs w:val="20"/>
          <w:lang w:val="en-US"/>
        </w:rPr>
        <w:t> </w:t>
      </w:r>
      <w:r w:rsidRPr="0013324D">
        <w:rPr>
          <w:rStyle w:val="highlight"/>
          <w:szCs w:val="20"/>
          <w:lang w:val="en-US"/>
        </w:rPr>
        <w:t>clinical</w:t>
      </w:r>
      <w:r w:rsidRPr="0013324D">
        <w:rPr>
          <w:rStyle w:val="apple-converted-space"/>
          <w:szCs w:val="20"/>
          <w:lang w:val="en-US"/>
        </w:rPr>
        <w:t> </w:t>
      </w:r>
      <w:r w:rsidRPr="0013324D">
        <w:rPr>
          <w:rStyle w:val="highlight"/>
          <w:szCs w:val="20"/>
          <w:lang w:val="en-US"/>
        </w:rPr>
        <w:t>evidence</w:t>
      </w:r>
      <w:r w:rsidRPr="0013324D">
        <w:rPr>
          <w:rStyle w:val="apple-converted-space"/>
          <w:szCs w:val="20"/>
          <w:lang w:val="en-US"/>
        </w:rPr>
        <w:t> </w:t>
      </w:r>
      <w:r w:rsidRPr="0013324D">
        <w:rPr>
          <w:szCs w:val="20"/>
          <w:lang w:val="en-US"/>
        </w:rPr>
        <w:t>in this regard is still limited and sometimes inconclusive. Also, communication of herb-</w:t>
      </w:r>
      <w:r w:rsidRPr="0013324D">
        <w:rPr>
          <w:rStyle w:val="highlight"/>
          <w:szCs w:val="20"/>
          <w:lang w:val="en-US"/>
        </w:rPr>
        <w:t>drug</w:t>
      </w:r>
      <w:r w:rsidRPr="0013324D">
        <w:rPr>
          <w:rStyle w:val="apple-converted-space"/>
          <w:szCs w:val="20"/>
          <w:lang w:val="en-US"/>
        </w:rPr>
        <w:t> </w:t>
      </w:r>
      <w:r w:rsidRPr="0013324D">
        <w:rPr>
          <w:szCs w:val="20"/>
          <w:lang w:val="en-US"/>
        </w:rPr>
        <w:t>interaction data in the biopharmaceutical/medical literature is often complex and confusing, not always unbiased, and in many cases appears not to strive for clear-cut and useful guidance in terms of the</w:t>
      </w:r>
      <w:r w:rsidRPr="0013324D">
        <w:rPr>
          <w:rStyle w:val="apple-converted-space"/>
          <w:szCs w:val="20"/>
          <w:lang w:val="en-US"/>
        </w:rPr>
        <w:t> </w:t>
      </w:r>
      <w:r w:rsidRPr="0013324D">
        <w:rPr>
          <w:rStyle w:val="highlight"/>
          <w:szCs w:val="20"/>
          <w:lang w:val="en-US"/>
        </w:rPr>
        <w:t>clinical</w:t>
      </w:r>
      <w:r w:rsidRPr="0013324D">
        <w:rPr>
          <w:rStyle w:val="apple-converted-space"/>
          <w:szCs w:val="20"/>
          <w:lang w:val="en-US"/>
        </w:rPr>
        <w:t> </w:t>
      </w:r>
      <w:r w:rsidRPr="0013324D">
        <w:rPr>
          <w:szCs w:val="20"/>
          <w:lang w:val="en-US"/>
        </w:rPr>
        <w:t>relevance of such findings.This systematic review summarizes and interprets the published</w:t>
      </w:r>
      <w:r w:rsidRPr="0013324D">
        <w:rPr>
          <w:rStyle w:val="apple-converted-space"/>
          <w:szCs w:val="20"/>
          <w:lang w:val="en-US"/>
        </w:rPr>
        <w:t> </w:t>
      </w:r>
      <w:r w:rsidRPr="0013324D">
        <w:rPr>
          <w:rStyle w:val="highlight"/>
          <w:szCs w:val="20"/>
          <w:lang w:val="en-US"/>
        </w:rPr>
        <w:t>evidence</w:t>
      </w:r>
      <w:r w:rsidRPr="0013324D">
        <w:rPr>
          <w:rStyle w:val="apple-converted-space"/>
          <w:szCs w:val="20"/>
          <w:lang w:val="en-US"/>
        </w:rPr>
        <w:t> </w:t>
      </w:r>
      <w:r w:rsidRPr="0013324D">
        <w:rPr>
          <w:szCs w:val="20"/>
          <w:lang w:val="en-US"/>
        </w:rPr>
        <w:t>on</w:t>
      </w:r>
      <w:r w:rsidRPr="0013324D">
        <w:rPr>
          <w:rStyle w:val="apple-converted-space"/>
          <w:szCs w:val="20"/>
          <w:lang w:val="en-US"/>
        </w:rPr>
        <w:t> </w:t>
      </w:r>
      <w:r w:rsidRPr="0013324D">
        <w:rPr>
          <w:rStyle w:val="highlight"/>
          <w:szCs w:val="20"/>
          <w:lang w:val="en-US"/>
        </w:rPr>
        <w:t>clinical</w:t>
      </w:r>
      <w:r w:rsidRPr="0013324D">
        <w:rPr>
          <w:rStyle w:val="apple-converted-space"/>
          <w:szCs w:val="20"/>
          <w:lang w:val="en-US"/>
        </w:rPr>
        <w:t> </w:t>
      </w:r>
      <w:r w:rsidRPr="0013324D">
        <w:rPr>
          <w:szCs w:val="20"/>
          <w:lang w:val="en-US"/>
        </w:rPr>
        <w:t>herb-</w:t>
      </w:r>
      <w:r w:rsidRPr="0013324D">
        <w:rPr>
          <w:rStyle w:val="highlight"/>
          <w:szCs w:val="20"/>
          <w:lang w:val="en-US"/>
        </w:rPr>
        <w:t>drug</w:t>
      </w:r>
      <w:r w:rsidRPr="0013324D">
        <w:rPr>
          <w:rStyle w:val="apple-converted-space"/>
          <w:szCs w:val="20"/>
          <w:lang w:val="en-US"/>
        </w:rPr>
        <w:t> </w:t>
      </w:r>
      <w:r w:rsidRPr="0013324D">
        <w:rPr>
          <w:szCs w:val="20"/>
          <w:lang w:val="en-US"/>
        </w:rPr>
        <w:t>interaction studies which examined the potential of six popular</w:t>
      </w:r>
      <w:r w:rsidRPr="0013324D">
        <w:rPr>
          <w:rStyle w:val="apple-converted-space"/>
          <w:szCs w:val="20"/>
          <w:lang w:val="en-US"/>
        </w:rPr>
        <w:t> </w:t>
      </w:r>
      <w:r w:rsidRPr="0013324D">
        <w:rPr>
          <w:rStyle w:val="highlight"/>
          <w:szCs w:val="20"/>
          <w:lang w:val="en-US"/>
        </w:rPr>
        <w:t>herbal</w:t>
      </w:r>
      <w:r w:rsidRPr="0013324D">
        <w:rPr>
          <w:rStyle w:val="apple-converted-space"/>
          <w:szCs w:val="20"/>
          <w:lang w:val="en-US"/>
        </w:rPr>
        <w:t> </w:t>
      </w:r>
      <w:r w:rsidRPr="0013324D">
        <w:rPr>
          <w:rStyle w:val="highlight"/>
          <w:szCs w:val="20"/>
          <w:lang w:val="en-US"/>
        </w:rPr>
        <w:t>drugs</w:t>
      </w:r>
      <w:r w:rsidRPr="0013324D">
        <w:rPr>
          <w:rStyle w:val="apple-converted-space"/>
          <w:szCs w:val="20"/>
          <w:lang w:val="en-US"/>
        </w:rPr>
        <w:t> </w:t>
      </w:r>
      <w:r w:rsidRPr="0013324D">
        <w:rPr>
          <w:szCs w:val="20"/>
          <w:lang w:val="en-US"/>
        </w:rPr>
        <w:t>(Echinacea, garlic, gingko, ginseng, goldenseal, and milk thistle) as</w:t>
      </w:r>
      <w:r w:rsidRPr="0013324D">
        <w:rPr>
          <w:rStyle w:val="apple-converted-space"/>
          <w:szCs w:val="20"/>
          <w:lang w:val="en-US"/>
        </w:rPr>
        <w:t> </w:t>
      </w:r>
      <w:r w:rsidRPr="0013324D">
        <w:rPr>
          <w:rStyle w:val="highlight"/>
          <w:szCs w:val="20"/>
          <w:lang w:val="en-US"/>
        </w:rPr>
        <w:t>perpetrators</w:t>
      </w:r>
      <w:r w:rsidRPr="0013324D">
        <w:rPr>
          <w:rStyle w:val="apple-converted-space"/>
          <w:szCs w:val="20"/>
          <w:lang w:val="en-US"/>
        </w:rPr>
        <w:t> </w:t>
      </w:r>
      <w:r w:rsidRPr="0013324D">
        <w:rPr>
          <w:szCs w:val="20"/>
          <w:lang w:val="en-US"/>
        </w:rPr>
        <w:t>of</w:t>
      </w:r>
      <w:r w:rsidRPr="0013324D">
        <w:rPr>
          <w:rStyle w:val="apple-converted-space"/>
          <w:szCs w:val="20"/>
          <w:lang w:val="en-US"/>
        </w:rPr>
        <w:t> </w:t>
      </w:r>
      <w:r w:rsidRPr="0013324D">
        <w:rPr>
          <w:rStyle w:val="highlight"/>
          <w:szCs w:val="20"/>
          <w:lang w:val="en-US"/>
        </w:rPr>
        <w:t>pharmacokinetic</w:t>
      </w:r>
      <w:r w:rsidRPr="0013324D">
        <w:rPr>
          <w:rStyle w:val="apple-converted-space"/>
          <w:szCs w:val="20"/>
          <w:lang w:val="en-US"/>
        </w:rPr>
        <w:t> </w:t>
      </w:r>
      <w:r w:rsidRPr="0013324D">
        <w:rPr>
          <w:szCs w:val="20"/>
          <w:lang w:val="en-US"/>
        </w:rPr>
        <w:t>(PK)</w:t>
      </w:r>
      <w:r w:rsidRPr="0013324D">
        <w:rPr>
          <w:rStyle w:val="apple-converted-space"/>
          <w:szCs w:val="20"/>
          <w:lang w:val="en-US"/>
        </w:rPr>
        <w:t> </w:t>
      </w:r>
      <w:r w:rsidRPr="0013324D">
        <w:rPr>
          <w:rStyle w:val="highlight"/>
          <w:szCs w:val="20"/>
          <w:lang w:val="en-US"/>
        </w:rPr>
        <w:t>drug</w:t>
      </w:r>
      <w:r w:rsidRPr="0013324D">
        <w:rPr>
          <w:rStyle w:val="apple-converted-space"/>
          <w:szCs w:val="20"/>
          <w:lang w:val="en-US"/>
        </w:rPr>
        <w:t> </w:t>
      </w:r>
      <w:r w:rsidRPr="0013324D">
        <w:rPr>
          <w:rStyle w:val="highlight"/>
          <w:szCs w:val="20"/>
          <w:lang w:val="en-US"/>
        </w:rPr>
        <w:t>interactions</w:t>
      </w:r>
      <w:r w:rsidRPr="0013324D">
        <w:rPr>
          <w:szCs w:val="20"/>
          <w:lang w:val="en-US"/>
        </w:rPr>
        <w:t>. Reported effect sizes were systematically categorized according to FDA</w:t>
      </w:r>
      <w:r w:rsidRPr="0013324D">
        <w:rPr>
          <w:rStyle w:val="apple-converted-space"/>
          <w:szCs w:val="20"/>
          <w:lang w:val="en-US"/>
        </w:rPr>
        <w:t> </w:t>
      </w:r>
      <w:r w:rsidRPr="0013324D">
        <w:rPr>
          <w:rStyle w:val="highlight"/>
          <w:szCs w:val="20"/>
          <w:lang w:val="en-US"/>
        </w:rPr>
        <w:t>drug</w:t>
      </w:r>
      <w:r w:rsidRPr="0013324D">
        <w:rPr>
          <w:rStyle w:val="apple-converted-space"/>
          <w:szCs w:val="20"/>
          <w:lang w:val="en-US"/>
        </w:rPr>
        <w:t> </w:t>
      </w:r>
      <w:r w:rsidRPr="0013324D">
        <w:rPr>
          <w:szCs w:val="20"/>
          <w:lang w:val="en-US"/>
        </w:rPr>
        <w:t>interaction guideline criteria. A total of 66</w:t>
      </w:r>
      <w:r w:rsidRPr="0013324D">
        <w:rPr>
          <w:rStyle w:val="apple-converted-space"/>
          <w:szCs w:val="20"/>
          <w:lang w:val="en-US"/>
        </w:rPr>
        <w:t> </w:t>
      </w:r>
      <w:r w:rsidRPr="0013324D">
        <w:rPr>
          <w:rStyle w:val="highlight"/>
          <w:szCs w:val="20"/>
          <w:lang w:val="en-US"/>
        </w:rPr>
        <w:t>clinical</w:t>
      </w:r>
      <w:r w:rsidRPr="0013324D">
        <w:rPr>
          <w:rStyle w:val="apple-converted-space"/>
          <w:szCs w:val="20"/>
          <w:lang w:val="en-US"/>
        </w:rPr>
        <w:t> </w:t>
      </w:r>
      <w:r w:rsidRPr="0013324D">
        <w:rPr>
          <w:szCs w:val="20"/>
          <w:lang w:val="en-US"/>
        </w:rPr>
        <w:t>PK interaction studies, meeting the scope of the present review, were identified. The</w:t>
      </w:r>
      <w:r w:rsidRPr="0013324D">
        <w:rPr>
          <w:rStyle w:val="apple-converted-space"/>
          <w:szCs w:val="20"/>
          <w:lang w:val="en-US"/>
        </w:rPr>
        <w:t> </w:t>
      </w:r>
      <w:r w:rsidRPr="0013324D">
        <w:rPr>
          <w:rStyle w:val="highlight"/>
          <w:szCs w:val="20"/>
          <w:lang w:val="en-US"/>
        </w:rPr>
        <w:t>clinical</w:t>
      </w:r>
      <w:r w:rsidRPr="0013324D">
        <w:rPr>
          <w:rStyle w:val="apple-converted-space"/>
          <w:szCs w:val="20"/>
          <w:lang w:val="en-US"/>
        </w:rPr>
        <w:t> </w:t>
      </w:r>
      <w:r w:rsidRPr="0013324D">
        <w:rPr>
          <w:rStyle w:val="highlight"/>
          <w:szCs w:val="20"/>
          <w:lang w:val="en-US"/>
        </w:rPr>
        <w:t>evidence</w:t>
      </w:r>
      <w:r w:rsidRPr="0013324D">
        <w:rPr>
          <w:rStyle w:val="apple-converted-space"/>
          <w:szCs w:val="20"/>
          <w:lang w:val="en-US"/>
        </w:rPr>
        <w:t> </w:t>
      </w:r>
      <w:r w:rsidRPr="0013324D">
        <w:rPr>
          <w:szCs w:val="20"/>
          <w:lang w:val="en-US"/>
        </w:rPr>
        <w:t>was found to be most robust and informative for Gingko biloba (GB; 21 studies) and milk thistle/silymarin (MT; 13), and appears still limited for ginseng (9), goldenseal/berberine (GS; 8), garlic (8), and Echinacea (7). Collectively, the available</w:t>
      </w:r>
      <w:r w:rsidRPr="0013324D">
        <w:rPr>
          <w:rStyle w:val="apple-converted-space"/>
          <w:szCs w:val="20"/>
          <w:lang w:val="en-US"/>
        </w:rPr>
        <w:t> </w:t>
      </w:r>
      <w:r w:rsidRPr="0013324D">
        <w:rPr>
          <w:rStyle w:val="highlight"/>
          <w:szCs w:val="20"/>
          <w:lang w:val="en-US"/>
        </w:rPr>
        <w:t>evidence</w:t>
      </w:r>
      <w:r w:rsidRPr="0013324D">
        <w:rPr>
          <w:rStyle w:val="apple-converted-space"/>
          <w:szCs w:val="20"/>
          <w:lang w:val="en-US"/>
        </w:rPr>
        <w:t> </w:t>
      </w:r>
      <w:r w:rsidRPr="0013324D">
        <w:rPr>
          <w:szCs w:val="20"/>
          <w:lang w:val="en-US"/>
        </w:rPr>
        <w:t>indicates that, at commonly recommended doses, none of these herbs act as potent or moderate inhibitors or inducers of cytochrome P450 (CYP) enzymes or P-glycoprotein (ABCB1). Weak effects in terms of either induction or inhibition were found for GB (presystemic/hepatic CYP3A4 induction/inhibition, CYP2C19 induction at high doses), milk thistle/silymarin (CYP2C9 inhibition), GS/berberine (CYP3A4 and CYP2D6 inhibition), Echinacea (presystemic/hepatic CYP3A4 inhibition/induction, CYP1A2 and CYP2C9 inhibition at high doses). Information was found not always complete for the major</w:t>
      </w:r>
      <w:r w:rsidRPr="0013324D">
        <w:rPr>
          <w:rStyle w:val="apple-converted-space"/>
          <w:szCs w:val="20"/>
          <w:lang w:val="en-US"/>
        </w:rPr>
        <w:t> </w:t>
      </w:r>
      <w:r w:rsidRPr="0013324D">
        <w:rPr>
          <w:rStyle w:val="highlight"/>
          <w:szCs w:val="20"/>
          <w:lang w:val="en-US"/>
        </w:rPr>
        <w:t>drug</w:t>
      </w:r>
      <w:r w:rsidRPr="0013324D">
        <w:rPr>
          <w:rStyle w:val="apple-converted-space"/>
          <w:szCs w:val="20"/>
          <w:lang w:val="en-US"/>
        </w:rPr>
        <w:t> </w:t>
      </w:r>
      <w:r w:rsidRPr="0013324D">
        <w:rPr>
          <w:szCs w:val="20"/>
          <w:lang w:val="en-US"/>
        </w:rPr>
        <w:t>metabolizing CYP enzymes in the less well-studied herbs and is largely limited to P-glycoprotein (ABCB1) when effects on</w:t>
      </w:r>
      <w:r w:rsidRPr="0013324D">
        <w:rPr>
          <w:rStyle w:val="apple-converted-space"/>
          <w:szCs w:val="20"/>
          <w:lang w:val="en-US"/>
        </w:rPr>
        <w:t> </w:t>
      </w:r>
      <w:r w:rsidRPr="0013324D">
        <w:rPr>
          <w:rStyle w:val="highlight"/>
          <w:szCs w:val="20"/>
          <w:lang w:val="en-US"/>
        </w:rPr>
        <w:t>drug</w:t>
      </w:r>
      <w:r w:rsidRPr="0013324D">
        <w:rPr>
          <w:rStyle w:val="apple-converted-space"/>
          <w:szCs w:val="20"/>
          <w:lang w:val="en-US"/>
        </w:rPr>
        <w:t> </w:t>
      </w:r>
      <w:r w:rsidRPr="0013324D">
        <w:rPr>
          <w:szCs w:val="20"/>
          <w:lang w:val="en-US"/>
        </w:rPr>
        <w:t>transporters have been investigated.</w:t>
      </w:r>
    </w:p>
    <w:p w:rsidR="00975689" w:rsidRPr="0013324D" w:rsidRDefault="00975689" w:rsidP="00975689">
      <w:pPr>
        <w:pStyle w:val="Corpo"/>
        <w:rPr>
          <w:szCs w:val="20"/>
          <w:lang w:val="en-US"/>
        </w:rPr>
      </w:pPr>
      <w:r w:rsidRPr="0013324D">
        <w:rPr>
          <w:szCs w:val="20"/>
          <w:lang w:val="en-US"/>
        </w:rPr>
        <w:t>Georg Thieme Verlag KG Stuttgart · New York.</w:t>
      </w:r>
    </w:p>
    <w:p w:rsidR="00975689" w:rsidRPr="00B12D79" w:rsidRDefault="00975689" w:rsidP="00975689">
      <w:pPr>
        <w:pStyle w:val="Corpo"/>
        <w:rPr>
          <w:rStyle w:val="apple-converted-space"/>
          <w:szCs w:val="17"/>
          <w:lang w:val="en-US"/>
        </w:rPr>
      </w:pPr>
      <w:r w:rsidRPr="00B12D79">
        <w:rPr>
          <w:szCs w:val="17"/>
          <w:lang w:val="en-US"/>
        </w:rPr>
        <w:t>PMID:</w:t>
      </w:r>
      <w:r w:rsidRPr="00B12D79">
        <w:rPr>
          <w:rStyle w:val="apple-converted-space"/>
          <w:szCs w:val="17"/>
          <w:lang w:val="en-US"/>
        </w:rPr>
        <w:t> </w:t>
      </w:r>
      <w:r w:rsidRPr="00B12D79">
        <w:rPr>
          <w:szCs w:val="17"/>
          <w:lang w:val="en-US"/>
        </w:rPr>
        <w:t>22855269</w:t>
      </w:r>
      <w:r w:rsidRPr="00B12D79">
        <w:rPr>
          <w:rStyle w:val="apple-converted-space"/>
          <w:szCs w:val="17"/>
          <w:lang w:val="en-US"/>
        </w:rPr>
        <w:t> </w:t>
      </w:r>
      <w:r w:rsidRPr="00B12D79">
        <w:rPr>
          <w:szCs w:val="17"/>
          <w:lang w:val="en-US"/>
        </w:rPr>
        <w:t>[PubMed - indexed for MEDLINE]</w:t>
      </w:r>
      <w:r w:rsidRPr="00B12D79">
        <w:rPr>
          <w:rStyle w:val="apple-converted-space"/>
          <w:szCs w:val="17"/>
          <w:lang w:val="en-US"/>
        </w:rPr>
        <w:t> </w:t>
      </w:r>
    </w:p>
    <w:p w:rsidR="00975689" w:rsidRDefault="00975689" w:rsidP="00975689">
      <w:pPr>
        <w:pStyle w:val="Corpo"/>
        <w:rPr>
          <w:rStyle w:val="apple-converted-space"/>
          <w:szCs w:val="17"/>
          <w:lang w:val="en-US"/>
        </w:rPr>
      </w:pPr>
    </w:p>
    <w:p w:rsidR="00975689" w:rsidRPr="00B12D79" w:rsidRDefault="00975689" w:rsidP="00975689">
      <w:pPr>
        <w:pStyle w:val="Corpo"/>
        <w:rPr>
          <w:szCs w:val="17"/>
          <w:lang w:val="en-US"/>
        </w:rPr>
      </w:pPr>
    </w:p>
    <w:p w:rsidR="00975689" w:rsidRPr="0013324D" w:rsidRDefault="00935914" w:rsidP="00975689">
      <w:pPr>
        <w:pStyle w:val="Corpo"/>
        <w:rPr>
          <w:lang w:val="en-US"/>
        </w:rPr>
      </w:pPr>
      <w:hyperlink r:id="rId81" w:tooltip="Pakistan journal of pharmaceutical sciences." w:history="1">
        <w:r w:rsidR="00975689" w:rsidRPr="0013324D">
          <w:rPr>
            <w:rStyle w:val="Hyperlink"/>
            <w:color w:val="808080" w:themeColor="background1" w:themeShade="80"/>
            <w:szCs w:val="20"/>
            <w:u w:val="none"/>
            <w:lang w:val="en-US"/>
          </w:rPr>
          <w:t>Pak J Pharm Sci.</w:t>
        </w:r>
      </w:hyperlink>
      <w:r w:rsidR="00975689" w:rsidRPr="0013324D">
        <w:rPr>
          <w:rStyle w:val="apple-converted-space"/>
          <w:szCs w:val="20"/>
          <w:lang w:val="en-US"/>
        </w:rPr>
        <w:t> </w:t>
      </w:r>
      <w:r w:rsidR="00975689" w:rsidRPr="0013324D">
        <w:rPr>
          <w:szCs w:val="20"/>
          <w:lang w:val="en-US"/>
        </w:rPr>
        <w:t>2013 Sep;26(5):859-63.</w:t>
      </w:r>
    </w:p>
    <w:p w:rsidR="00975689" w:rsidRPr="0013324D" w:rsidRDefault="00975689" w:rsidP="00975689">
      <w:pPr>
        <w:pStyle w:val="Corpo"/>
        <w:rPr>
          <w:b/>
          <w:szCs w:val="20"/>
          <w:lang w:val="en-US"/>
        </w:rPr>
      </w:pPr>
      <w:r w:rsidRPr="0013324D">
        <w:rPr>
          <w:b/>
          <w:szCs w:val="30"/>
          <w:lang w:val="en-US"/>
        </w:rPr>
        <w:t>Effects of Allium sativum (garlic) on systolic and diastolic blood pressure in patients with essential hypertension.</w:t>
      </w:r>
    </w:p>
    <w:p w:rsidR="00975689" w:rsidRPr="0013324D" w:rsidRDefault="00935914" w:rsidP="00975689">
      <w:pPr>
        <w:pStyle w:val="Corpo"/>
        <w:rPr>
          <w:szCs w:val="30"/>
          <w:lang w:val="en-US"/>
        </w:rPr>
      </w:pPr>
      <w:hyperlink r:id="rId82" w:history="1">
        <w:r w:rsidR="00975689" w:rsidRPr="0013324D">
          <w:rPr>
            <w:rStyle w:val="Hyperlink"/>
            <w:color w:val="808080" w:themeColor="background1" w:themeShade="80"/>
            <w:szCs w:val="22"/>
            <w:u w:val="none"/>
            <w:lang w:val="en-US"/>
          </w:rPr>
          <w:t>Ashraf R</w:t>
        </w:r>
      </w:hyperlink>
      <w:r w:rsidR="00975689" w:rsidRPr="0013324D">
        <w:rPr>
          <w:szCs w:val="19"/>
          <w:lang w:val="en-US"/>
        </w:rPr>
        <w:t>1</w:t>
      </w:r>
      <w:r w:rsidR="00975689" w:rsidRPr="0013324D">
        <w:rPr>
          <w:szCs w:val="22"/>
          <w:lang w:val="en-US"/>
        </w:rPr>
        <w:t>,</w:t>
      </w:r>
      <w:r w:rsidR="00975689" w:rsidRPr="0013324D">
        <w:rPr>
          <w:rStyle w:val="apple-converted-space"/>
          <w:szCs w:val="22"/>
          <w:lang w:val="en-US"/>
        </w:rPr>
        <w:t> </w:t>
      </w:r>
      <w:hyperlink r:id="rId83" w:history="1">
        <w:r w:rsidR="00975689" w:rsidRPr="0013324D">
          <w:rPr>
            <w:rStyle w:val="Hyperlink"/>
            <w:color w:val="808080" w:themeColor="background1" w:themeShade="80"/>
            <w:szCs w:val="22"/>
            <w:u w:val="none"/>
            <w:lang w:val="en-US"/>
          </w:rPr>
          <w:t>Khan RA</w:t>
        </w:r>
      </w:hyperlink>
      <w:r w:rsidR="00975689" w:rsidRPr="0013324D">
        <w:rPr>
          <w:szCs w:val="22"/>
          <w:lang w:val="en-US"/>
        </w:rPr>
        <w:t>,</w:t>
      </w:r>
      <w:r w:rsidR="00975689" w:rsidRPr="0013324D">
        <w:rPr>
          <w:rStyle w:val="apple-converted-space"/>
          <w:szCs w:val="22"/>
          <w:lang w:val="en-US"/>
        </w:rPr>
        <w:t> </w:t>
      </w:r>
      <w:hyperlink r:id="rId84" w:history="1">
        <w:r w:rsidR="00975689" w:rsidRPr="0013324D">
          <w:rPr>
            <w:rStyle w:val="Hyperlink"/>
            <w:color w:val="808080" w:themeColor="background1" w:themeShade="80"/>
            <w:szCs w:val="22"/>
            <w:u w:val="none"/>
            <w:lang w:val="en-US"/>
          </w:rPr>
          <w:t>Ashraf I</w:t>
        </w:r>
      </w:hyperlink>
      <w:r w:rsidR="00975689" w:rsidRPr="0013324D">
        <w:rPr>
          <w:szCs w:val="22"/>
          <w:lang w:val="en-US"/>
        </w:rPr>
        <w:t>,</w:t>
      </w:r>
      <w:r w:rsidR="00975689" w:rsidRPr="0013324D">
        <w:rPr>
          <w:rStyle w:val="apple-converted-space"/>
          <w:szCs w:val="22"/>
          <w:lang w:val="en-US"/>
        </w:rPr>
        <w:t> </w:t>
      </w:r>
      <w:hyperlink r:id="rId85" w:history="1">
        <w:r w:rsidR="00975689" w:rsidRPr="0013324D">
          <w:rPr>
            <w:rStyle w:val="Hyperlink"/>
            <w:color w:val="808080" w:themeColor="background1" w:themeShade="80"/>
            <w:szCs w:val="22"/>
            <w:u w:val="none"/>
            <w:lang w:val="en-US"/>
          </w:rPr>
          <w:t>Qureshi AA</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13324D" w:rsidRDefault="00975689" w:rsidP="00975689">
      <w:pPr>
        <w:pStyle w:val="Corpo"/>
        <w:rPr>
          <w:szCs w:val="22"/>
          <w:lang w:val="en-US"/>
        </w:rPr>
      </w:pPr>
      <w:r w:rsidRPr="0013324D">
        <w:rPr>
          <w:szCs w:val="20"/>
          <w:lang w:val="en-US"/>
        </w:rPr>
        <w:t xml:space="preserve">The present study evaluated the effects of garlic on blood pressure in patients with essential hypertension. Patients (n=210) with stage 1 essential hypertension were </w:t>
      </w:r>
      <w:r w:rsidRPr="0013324D">
        <w:rPr>
          <w:szCs w:val="20"/>
          <w:lang w:val="en-US"/>
        </w:rPr>
        <w:lastRenderedPageBreak/>
        <w:t>divided into 7 groups named as A, B, C, D, E, F and G. Each group comprised of 30 patients. Each patient in group A, B, C, D and E has received garlic tablets at the dose of 300/mg. 600/mg, 900/mg, 1200/mg and 1500/mg in divided doses per day respectively for 24 weeks while Group F &amp; group G were given tablet atenolol and placebo respectively. Blood pressure readings were recorded at weeks 0, 12 and 24. Present study showed significant decrease in both Systolic and Diastolic blood pressure in both dose and duration dependent manner. In each garlic treated group, significant reduction in SBP and DBP (p&amp;lt;0.005) were observed when compared with atenolol (P&amp;lt;0.005) and placebo.</w:t>
      </w:r>
    </w:p>
    <w:p w:rsidR="00975689" w:rsidRPr="00B12D79" w:rsidRDefault="00975689" w:rsidP="00975689">
      <w:pPr>
        <w:pStyle w:val="Corpo"/>
        <w:rPr>
          <w:szCs w:val="17"/>
          <w:lang w:val="en-US"/>
        </w:rPr>
      </w:pPr>
      <w:r w:rsidRPr="00B12D79">
        <w:rPr>
          <w:szCs w:val="17"/>
          <w:lang w:val="en-US"/>
        </w:rPr>
        <w:t>PMID:</w:t>
      </w:r>
      <w:r w:rsidRPr="00B12D79">
        <w:rPr>
          <w:rStyle w:val="apple-converted-space"/>
          <w:szCs w:val="17"/>
          <w:lang w:val="en-US"/>
        </w:rPr>
        <w:t> </w:t>
      </w:r>
      <w:r w:rsidRPr="00B12D79">
        <w:rPr>
          <w:szCs w:val="17"/>
          <w:lang w:val="en-US"/>
        </w:rPr>
        <w:t>24035939</w:t>
      </w:r>
      <w:r w:rsidRPr="00B12D79">
        <w:rPr>
          <w:rStyle w:val="apple-converted-space"/>
          <w:szCs w:val="17"/>
          <w:lang w:val="en-US"/>
        </w:rPr>
        <w:t> </w:t>
      </w:r>
      <w:r w:rsidRPr="00B12D79">
        <w:rPr>
          <w:szCs w:val="17"/>
          <w:lang w:val="en-US"/>
        </w:rPr>
        <w:t>[PubMed - indexed for MEDLINE]</w:t>
      </w:r>
    </w:p>
    <w:p w:rsidR="00975689" w:rsidRPr="00B12D79" w:rsidRDefault="00975689" w:rsidP="00975689">
      <w:pPr>
        <w:pStyle w:val="Corpo"/>
        <w:rPr>
          <w:szCs w:val="17"/>
          <w:lang w:val="en-US"/>
        </w:rPr>
      </w:pPr>
    </w:p>
    <w:p w:rsidR="00975689" w:rsidRPr="00B12D79" w:rsidRDefault="00975689" w:rsidP="00975689">
      <w:pPr>
        <w:pStyle w:val="Corpo"/>
        <w:rPr>
          <w:szCs w:val="17"/>
          <w:lang w:val="en-US"/>
        </w:rPr>
      </w:pPr>
    </w:p>
    <w:p w:rsidR="00975689" w:rsidRPr="00170722" w:rsidRDefault="00935914" w:rsidP="00975689">
      <w:pPr>
        <w:pStyle w:val="Corpo"/>
        <w:rPr>
          <w:lang w:val="en-US"/>
        </w:rPr>
      </w:pPr>
      <w:hyperlink r:id="rId86" w:tooltip="Biomedical papers of the Medical Faculty of the University Palacký, Olomouc, Czechoslovakia." w:history="1">
        <w:r w:rsidR="00975689" w:rsidRPr="0013324D">
          <w:rPr>
            <w:rStyle w:val="Hyperlink"/>
            <w:color w:val="808080" w:themeColor="background1" w:themeShade="80"/>
            <w:szCs w:val="20"/>
            <w:u w:val="none"/>
            <w:lang w:val="en-US"/>
          </w:rPr>
          <w:t>Biomed Pap Med Fac Univ Palacky Olomouc Czech Repub.</w:t>
        </w:r>
      </w:hyperlink>
      <w:r w:rsidR="00975689" w:rsidRPr="0013324D">
        <w:rPr>
          <w:rStyle w:val="apple-converted-space"/>
          <w:szCs w:val="20"/>
          <w:lang w:val="en-US"/>
        </w:rPr>
        <w:t> </w:t>
      </w:r>
      <w:r w:rsidR="00975689" w:rsidRPr="00170722">
        <w:rPr>
          <w:szCs w:val="20"/>
          <w:lang w:val="en-US"/>
        </w:rPr>
        <w:t>2010 Sep;154(3):239-44.</w:t>
      </w:r>
    </w:p>
    <w:p w:rsidR="00975689" w:rsidRPr="0013324D" w:rsidRDefault="00975689" w:rsidP="00975689">
      <w:pPr>
        <w:pStyle w:val="Corpo"/>
        <w:rPr>
          <w:b/>
          <w:szCs w:val="20"/>
          <w:lang w:val="en-US"/>
        </w:rPr>
      </w:pPr>
      <w:r w:rsidRPr="0013324D">
        <w:rPr>
          <w:b/>
          <w:szCs w:val="30"/>
          <w:lang w:val="en-US"/>
        </w:rPr>
        <w:t>The safety and efficacy of a silymarin and selenium combination in men after radical prostatectomy - a six month placebo-controlled double-blind</w:t>
      </w:r>
      <w:r w:rsidRPr="0013324D">
        <w:rPr>
          <w:rStyle w:val="apple-converted-space"/>
          <w:b/>
          <w:szCs w:val="30"/>
          <w:lang w:val="en-US"/>
        </w:rPr>
        <w:t> </w:t>
      </w:r>
      <w:r w:rsidRPr="0013324D">
        <w:rPr>
          <w:rStyle w:val="highlight"/>
          <w:b/>
          <w:szCs w:val="30"/>
          <w:lang w:val="en-US"/>
        </w:rPr>
        <w:t>clinical</w:t>
      </w:r>
      <w:r w:rsidRPr="0013324D">
        <w:rPr>
          <w:rStyle w:val="apple-converted-space"/>
          <w:b/>
          <w:szCs w:val="30"/>
          <w:lang w:val="en-US"/>
        </w:rPr>
        <w:t> </w:t>
      </w:r>
      <w:r w:rsidRPr="0013324D">
        <w:rPr>
          <w:b/>
          <w:szCs w:val="30"/>
          <w:lang w:val="en-US"/>
        </w:rPr>
        <w:t>trial.</w:t>
      </w:r>
    </w:p>
    <w:p w:rsidR="00975689" w:rsidRPr="0013324D" w:rsidRDefault="00935914" w:rsidP="00975689">
      <w:pPr>
        <w:pStyle w:val="Corpo"/>
        <w:rPr>
          <w:szCs w:val="30"/>
          <w:lang w:val="en-US"/>
        </w:rPr>
      </w:pPr>
      <w:hyperlink r:id="rId87" w:history="1">
        <w:r w:rsidR="00975689" w:rsidRPr="0013324D">
          <w:rPr>
            <w:rStyle w:val="Hyperlink"/>
            <w:color w:val="808080" w:themeColor="background1" w:themeShade="80"/>
            <w:szCs w:val="22"/>
            <w:u w:val="none"/>
            <w:lang w:val="en-US"/>
          </w:rPr>
          <w:t>Vidlar A</w:t>
        </w:r>
      </w:hyperlink>
      <w:r w:rsidR="00975689" w:rsidRPr="0013324D">
        <w:rPr>
          <w:szCs w:val="19"/>
          <w:lang w:val="en-US"/>
        </w:rPr>
        <w:t>1</w:t>
      </w:r>
      <w:r w:rsidR="00975689" w:rsidRPr="0013324D">
        <w:rPr>
          <w:szCs w:val="22"/>
          <w:lang w:val="en-US"/>
        </w:rPr>
        <w:t>,</w:t>
      </w:r>
      <w:r w:rsidR="00975689" w:rsidRPr="0013324D">
        <w:rPr>
          <w:rStyle w:val="apple-converted-space"/>
          <w:szCs w:val="22"/>
          <w:lang w:val="en-US"/>
        </w:rPr>
        <w:t> </w:t>
      </w:r>
      <w:hyperlink r:id="rId88" w:history="1">
        <w:r w:rsidR="00975689" w:rsidRPr="0013324D">
          <w:rPr>
            <w:rStyle w:val="Hyperlink"/>
            <w:color w:val="808080" w:themeColor="background1" w:themeShade="80"/>
            <w:szCs w:val="22"/>
            <w:u w:val="none"/>
            <w:lang w:val="en-US"/>
          </w:rPr>
          <w:t>Vostalova J</w:t>
        </w:r>
      </w:hyperlink>
      <w:r w:rsidR="00975689" w:rsidRPr="0013324D">
        <w:rPr>
          <w:szCs w:val="22"/>
          <w:lang w:val="en-US"/>
        </w:rPr>
        <w:t>,</w:t>
      </w:r>
      <w:r w:rsidR="00975689" w:rsidRPr="0013324D">
        <w:rPr>
          <w:rStyle w:val="apple-converted-space"/>
          <w:szCs w:val="22"/>
          <w:lang w:val="en-US"/>
        </w:rPr>
        <w:t> </w:t>
      </w:r>
      <w:hyperlink r:id="rId89" w:history="1">
        <w:r w:rsidR="00975689" w:rsidRPr="0013324D">
          <w:rPr>
            <w:rStyle w:val="Hyperlink"/>
            <w:color w:val="808080" w:themeColor="background1" w:themeShade="80"/>
            <w:szCs w:val="22"/>
            <w:u w:val="none"/>
            <w:lang w:val="en-US"/>
          </w:rPr>
          <w:t>Ulrichova J</w:t>
        </w:r>
      </w:hyperlink>
      <w:r w:rsidR="00975689" w:rsidRPr="0013324D">
        <w:rPr>
          <w:szCs w:val="22"/>
          <w:lang w:val="en-US"/>
        </w:rPr>
        <w:t>,</w:t>
      </w:r>
      <w:r w:rsidR="00975689" w:rsidRPr="0013324D">
        <w:rPr>
          <w:rStyle w:val="apple-converted-space"/>
          <w:szCs w:val="22"/>
          <w:lang w:val="en-US"/>
        </w:rPr>
        <w:t> </w:t>
      </w:r>
      <w:hyperlink r:id="rId90" w:history="1">
        <w:r w:rsidR="00975689" w:rsidRPr="0013324D">
          <w:rPr>
            <w:rStyle w:val="Hyperlink"/>
            <w:color w:val="808080" w:themeColor="background1" w:themeShade="80"/>
            <w:szCs w:val="22"/>
            <w:u w:val="none"/>
            <w:lang w:val="en-US"/>
          </w:rPr>
          <w:t>Student V</w:t>
        </w:r>
      </w:hyperlink>
      <w:r w:rsidR="00975689" w:rsidRPr="0013324D">
        <w:rPr>
          <w:szCs w:val="22"/>
          <w:lang w:val="en-US"/>
        </w:rPr>
        <w:t>,</w:t>
      </w:r>
      <w:r w:rsidR="00975689" w:rsidRPr="0013324D">
        <w:rPr>
          <w:rStyle w:val="apple-converted-space"/>
          <w:szCs w:val="22"/>
          <w:lang w:val="en-US"/>
        </w:rPr>
        <w:t> </w:t>
      </w:r>
      <w:hyperlink r:id="rId91" w:history="1">
        <w:r w:rsidR="00975689" w:rsidRPr="0013324D">
          <w:rPr>
            <w:rStyle w:val="Hyperlink"/>
            <w:color w:val="808080" w:themeColor="background1" w:themeShade="80"/>
            <w:szCs w:val="22"/>
            <w:u w:val="none"/>
            <w:lang w:val="en-US"/>
          </w:rPr>
          <w:t>Krajicek M</w:t>
        </w:r>
      </w:hyperlink>
      <w:r w:rsidR="00975689" w:rsidRPr="0013324D">
        <w:rPr>
          <w:szCs w:val="22"/>
          <w:lang w:val="en-US"/>
        </w:rPr>
        <w:t>,</w:t>
      </w:r>
      <w:r w:rsidR="00975689" w:rsidRPr="0013324D">
        <w:rPr>
          <w:rStyle w:val="apple-converted-space"/>
          <w:szCs w:val="22"/>
          <w:lang w:val="en-US"/>
        </w:rPr>
        <w:t> </w:t>
      </w:r>
      <w:hyperlink r:id="rId92" w:history="1">
        <w:r w:rsidR="00975689" w:rsidRPr="0013324D">
          <w:rPr>
            <w:rStyle w:val="Hyperlink"/>
            <w:color w:val="808080" w:themeColor="background1" w:themeShade="80"/>
            <w:szCs w:val="22"/>
            <w:u w:val="none"/>
            <w:lang w:val="en-US"/>
          </w:rPr>
          <w:t>Vrbkova J</w:t>
        </w:r>
      </w:hyperlink>
      <w:r w:rsidR="00975689" w:rsidRPr="0013324D">
        <w:rPr>
          <w:szCs w:val="22"/>
          <w:lang w:val="en-US"/>
        </w:rPr>
        <w:t>,</w:t>
      </w:r>
      <w:r w:rsidR="00975689" w:rsidRPr="0013324D">
        <w:rPr>
          <w:rStyle w:val="apple-converted-space"/>
          <w:szCs w:val="22"/>
          <w:lang w:val="en-US"/>
        </w:rPr>
        <w:t> </w:t>
      </w:r>
      <w:hyperlink r:id="rId93" w:history="1">
        <w:r w:rsidR="00975689" w:rsidRPr="0013324D">
          <w:rPr>
            <w:rStyle w:val="Hyperlink"/>
            <w:color w:val="808080" w:themeColor="background1" w:themeShade="80"/>
            <w:szCs w:val="22"/>
            <w:u w:val="none"/>
            <w:lang w:val="en-US"/>
          </w:rPr>
          <w:t>Simanek V</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13324D" w:rsidRDefault="00975689" w:rsidP="00975689">
      <w:pPr>
        <w:pStyle w:val="Corpo"/>
        <w:rPr>
          <w:szCs w:val="20"/>
          <w:lang w:val="en-US"/>
        </w:rPr>
      </w:pPr>
      <w:r w:rsidRPr="00B12D79">
        <w:rPr>
          <w:szCs w:val="20"/>
          <w:lang w:val="en-US"/>
        </w:rPr>
        <w:t xml:space="preserve">BACKGROUND: Silymarin, a milk thistle flavonolignan mixture, has anti-proliferative and anti-angiogenic activities in xenografts of human prostate cancer (PCa). </w:t>
      </w:r>
      <w:r w:rsidRPr="0013324D">
        <w:rPr>
          <w:szCs w:val="20"/>
          <w:lang w:val="en-US"/>
        </w:rPr>
        <w:t>Low dietary selenium on the other hand has been associated with increased incidence of PCa. The purpose of the current trial was to determine whether a daily administration of a silymarin and selenium (SM-Se) combination for 6 months would alter basic</w:t>
      </w:r>
      <w:r w:rsidRPr="0013324D">
        <w:rPr>
          <w:rStyle w:val="apple-converted-space"/>
          <w:szCs w:val="20"/>
          <w:lang w:val="en-US"/>
        </w:rPr>
        <w:t> </w:t>
      </w:r>
      <w:r w:rsidRPr="0013324D">
        <w:rPr>
          <w:rStyle w:val="highlight"/>
          <w:szCs w:val="20"/>
          <w:lang w:val="en-US"/>
        </w:rPr>
        <w:t>clinical</w:t>
      </w:r>
      <w:r w:rsidRPr="0013324D">
        <w:rPr>
          <w:rStyle w:val="apple-converted-space"/>
          <w:szCs w:val="20"/>
          <w:lang w:val="en-US"/>
        </w:rPr>
        <w:t> </w:t>
      </w:r>
      <w:r w:rsidRPr="0013324D">
        <w:rPr>
          <w:szCs w:val="20"/>
          <w:lang w:val="en-US"/>
        </w:rPr>
        <w:t>chemistry and oxidative stress markers, and improve the quality of life score (QoL) in men after radical prostatectomy (RP).</w:t>
      </w:r>
    </w:p>
    <w:p w:rsidR="00975689" w:rsidRPr="0013324D" w:rsidRDefault="00975689" w:rsidP="00975689">
      <w:pPr>
        <w:pStyle w:val="Corpo"/>
        <w:rPr>
          <w:szCs w:val="20"/>
          <w:lang w:val="en-US"/>
        </w:rPr>
      </w:pPr>
      <w:r w:rsidRPr="00B12D79">
        <w:rPr>
          <w:szCs w:val="20"/>
          <w:lang w:val="en-US"/>
        </w:rPr>
        <w:t xml:space="preserve">METHODS: Thirty seven participants, 2-3 months after RP, were randomly assigned to receive 570 mg of silymarin and 240 µg of selenium as selenomethionine (n = 19, SM-Se group) or placebo (n = 18, Placebo group) daily for six months. </w:t>
      </w:r>
      <w:r w:rsidRPr="0013324D">
        <w:rPr>
          <w:szCs w:val="20"/>
          <w:lang w:val="en-US"/>
        </w:rPr>
        <w:t>Both groups had similar</w:t>
      </w:r>
      <w:r w:rsidRPr="0013324D">
        <w:rPr>
          <w:rStyle w:val="apple-converted-space"/>
          <w:szCs w:val="20"/>
          <w:lang w:val="en-US"/>
        </w:rPr>
        <w:t> </w:t>
      </w:r>
      <w:r w:rsidRPr="0013324D">
        <w:rPr>
          <w:rStyle w:val="highlight"/>
          <w:szCs w:val="20"/>
          <w:lang w:val="en-US"/>
        </w:rPr>
        <w:t>clinical</w:t>
      </w:r>
      <w:r w:rsidRPr="0013324D">
        <w:rPr>
          <w:rStyle w:val="apple-converted-space"/>
          <w:szCs w:val="20"/>
          <w:lang w:val="en-US"/>
        </w:rPr>
        <w:t> </w:t>
      </w:r>
      <w:r w:rsidRPr="0013324D">
        <w:rPr>
          <w:szCs w:val="20"/>
          <w:lang w:val="en-US"/>
        </w:rPr>
        <w:t>and demographic characteristics. Physical examination, QoL score, haematology, basic</w:t>
      </w:r>
      <w:r w:rsidRPr="0013324D">
        <w:rPr>
          <w:rStyle w:val="apple-converted-space"/>
          <w:szCs w:val="20"/>
          <w:lang w:val="en-US"/>
        </w:rPr>
        <w:t> </w:t>
      </w:r>
      <w:r w:rsidRPr="0013324D">
        <w:rPr>
          <w:rStyle w:val="highlight"/>
          <w:szCs w:val="20"/>
          <w:lang w:val="en-US"/>
        </w:rPr>
        <w:t>clinical</w:t>
      </w:r>
      <w:r w:rsidRPr="0013324D">
        <w:rPr>
          <w:rStyle w:val="apple-converted-space"/>
          <w:szCs w:val="20"/>
          <w:lang w:val="en-US"/>
        </w:rPr>
        <w:t> </w:t>
      </w:r>
      <w:r w:rsidRPr="0013324D">
        <w:rPr>
          <w:szCs w:val="20"/>
          <w:lang w:val="en-US"/>
        </w:rPr>
        <w:t>chemistry and oxidative stress markers, selenium and testosterone levels, antioxidant status were evaluated at baseline, at 3 and 6 months.</w:t>
      </w:r>
    </w:p>
    <w:p w:rsidR="00975689" w:rsidRPr="0013324D" w:rsidRDefault="00975689" w:rsidP="00975689">
      <w:pPr>
        <w:pStyle w:val="Corpo"/>
        <w:rPr>
          <w:szCs w:val="20"/>
          <w:lang w:val="en-US"/>
        </w:rPr>
      </w:pPr>
      <w:r w:rsidRPr="00B12D79">
        <w:rPr>
          <w:szCs w:val="20"/>
          <w:lang w:val="en-US"/>
        </w:rPr>
        <w:t xml:space="preserve">RESULTS: The six months administration of silymarin and selenium improved the QoL score, decreased low density lipoproteins (LDL) and total cholesterol and, increased serum selenium levels. </w:t>
      </w:r>
      <w:r w:rsidRPr="0013324D">
        <w:rPr>
          <w:szCs w:val="20"/>
          <w:lang w:val="en-US"/>
        </w:rPr>
        <w:t>The combination had no effect on blood antioxidant status and no influence on testosterone level. No adverse events were recorded. No improvement was found in the placebo group.</w:t>
      </w:r>
    </w:p>
    <w:p w:rsidR="00975689" w:rsidRPr="0013324D" w:rsidRDefault="00975689" w:rsidP="00975689">
      <w:pPr>
        <w:pStyle w:val="Corpo"/>
        <w:rPr>
          <w:szCs w:val="20"/>
          <w:lang w:val="en-US"/>
        </w:rPr>
      </w:pPr>
      <w:r w:rsidRPr="00B12D79">
        <w:rPr>
          <w:szCs w:val="20"/>
          <w:lang w:val="en-US"/>
        </w:rPr>
        <w:t xml:space="preserve">CONCLUSIONS: The selected combination of silymarin and selenium significantly reduced two markers of lipid metabolism known to be associated with PCa progression, LDL and total cholesterol in the blood of men after RP. </w:t>
      </w:r>
      <w:r w:rsidRPr="0013324D">
        <w:rPr>
          <w:szCs w:val="20"/>
          <w:lang w:val="en-US"/>
        </w:rPr>
        <w:t>This suggests that this combination may be effective in reducing PCa progression.</w:t>
      </w:r>
    </w:p>
    <w:p w:rsidR="00975689" w:rsidRPr="00B12D79" w:rsidRDefault="00975689" w:rsidP="00975689">
      <w:pPr>
        <w:pStyle w:val="Corpo"/>
        <w:rPr>
          <w:rStyle w:val="apple-converted-space"/>
          <w:szCs w:val="17"/>
          <w:lang w:val="en-US"/>
        </w:rPr>
      </w:pPr>
      <w:r w:rsidRPr="00B12D79">
        <w:rPr>
          <w:szCs w:val="17"/>
          <w:lang w:val="en-US"/>
        </w:rPr>
        <w:t>PMID:</w:t>
      </w:r>
      <w:r w:rsidRPr="00B12D79">
        <w:rPr>
          <w:rStyle w:val="apple-converted-space"/>
          <w:szCs w:val="17"/>
          <w:lang w:val="en-US"/>
        </w:rPr>
        <w:t> </w:t>
      </w:r>
      <w:r w:rsidRPr="00B12D79">
        <w:rPr>
          <w:szCs w:val="17"/>
          <w:lang w:val="en-US"/>
        </w:rPr>
        <w:t>21048810</w:t>
      </w:r>
      <w:r w:rsidRPr="00B12D79">
        <w:rPr>
          <w:rStyle w:val="apple-converted-space"/>
          <w:szCs w:val="17"/>
          <w:lang w:val="en-US"/>
        </w:rPr>
        <w:t> </w:t>
      </w:r>
      <w:r w:rsidRPr="00B12D79">
        <w:rPr>
          <w:szCs w:val="17"/>
          <w:lang w:val="en-US"/>
        </w:rPr>
        <w:t>[PubMed - indexed for MEDLINE]</w:t>
      </w:r>
      <w:r w:rsidRPr="00B12D79">
        <w:rPr>
          <w:rStyle w:val="apple-converted-space"/>
          <w:szCs w:val="17"/>
          <w:lang w:val="en-US"/>
        </w:rPr>
        <w:t> </w:t>
      </w:r>
    </w:p>
    <w:p w:rsidR="00975689" w:rsidRDefault="00975689" w:rsidP="00975689">
      <w:pPr>
        <w:pStyle w:val="Corpo"/>
        <w:rPr>
          <w:rStyle w:val="apple-converted-space"/>
          <w:szCs w:val="17"/>
          <w:lang w:val="en-US"/>
        </w:rPr>
      </w:pPr>
    </w:p>
    <w:p w:rsidR="00975689" w:rsidRPr="00B12D79" w:rsidRDefault="00975689" w:rsidP="00975689">
      <w:pPr>
        <w:pStyle w:val="Corpo"/>
        <w:rPr>
          <w:szCs w:val="17"/>
          <w:lang w:val="en-US"/>
        </w:rPr>
      </w:pPr>
    </w:p>
    <w:p w:rsidR="00975689" w:rsidRPr="0013324D" w:rsidRDefault="00935914" w:rsidP="00975689">
      <w:pPr>
        <w:pStyle w:val="Corpo"/>
        <w:rPr>
          <w:lang w:val="en-US"/>
        </w:rPr>
      </w:pPr>
      <w:hyperlink r:id="rId94" w:tooltip="The British journal of nutrition." w:history="1">
        <w:r w:rsidR="00975689" w:rsidRPr="0013324D">
          <w:rPr>
            <w:rStyle w:val="Hyperlink"/>
            <w:color w:val="808080" w:themeColor="background1" w:themeShade="80"/>
            <w:szCs w:val="20"/>
            <w:u w:val="none"/>
            <w:lang w:val="en-US"/>
          </w:rPr>
          <w:t>Br J Nutr.</w:t>
        </w:r>
      </w:hyperlink>
      <w:r w:rsidR="00975689" w:rsidRPr="0013324D">
        <w:rPr>
          <w:rStyle w:val="apple-converted-space"/>
          <w:szCs w:val="20"/>
          <w:lang w:val="en-US"/>
        </w:rPr>
        <w:t> </w:t>
      </w:r>
      <w:r w:rsidR="00975689" w:rsidRPr="0013324D">
        <w:rPr>
          <w:lang w:val="en-US"/>
        </w:rPr>
        <w:t>2011 Jan;105(1):90-100. doi: 10.1017/S0007114510003132. Epub 2010 Aug 23.</w:t>
      </w:r>
    </w:p>
    <w:p w:rsidR="00975689" w:rsidRPr="0013324D" w:rsidRDefault="00975689" w:rsidP="00975689">
      <w:pPr>
        <w:pStyle w:val="Corpo"/>
        <w:rPr>
          <w:b/>
          <w:lang w:val="en-US"/>
        </w:rPr>
      </w:pPr>
      <w:r w:rsidRPr="0013324D">
        <w:rPr>
          <w:b/>
          <w:szCs w:val="30"/>
          <w:lang w:val="en-US"/>
        </w:rPr>
        <w:lastRenderedPageBreak/>
        <w:t>The effect of a fibre supplement compared to a healthy diet on body composition, lipids, glucose, insulin and other metabolic syndrome risk factors in overweight and obese individuals.</w:t>
      </w:r>
    </w:p>
    <w:p w:rsidR="00975689" w:rsidRPr="0013324D" w:rsidRDefault="00935914" w:rsidP="00975689">
      <w:pPr>
        <w:pStyle w:val="Corpo"/>
        <w:rPr>
          <w:szCs w:val="30"/>
          <w:lang w:val="en-US"/>
        </w:rPr>
      </w:pPr>
      <w:hyperlink r:id="rId95" w:history="1">
        <w:r w:rsidR="00975689" w:rsidRPr="0013324D">
          <w:rPr>
            <w:rStyle w:val="Hyperlink"/>
            <w:color w:val="808080" w:themeColor="background1" w:themeShade="80"/>
            <w:szCs w:val="22"/>
            <w:u w:val="none"/>
            <w:lang w:val="en-US"/>
          </w:rPr>
          <w:t>Pal S</w:t>
        </w:r>
      </w:hyperlink>
      <w:r w:rsidR="00975689" w:rsidRPr="0013324D">
        <w:rPr>
          <w:szCs w:val="19"/>
          <w:lang w:val="en-US"/>
        </w:rPr>
        <w:t>1</w:t>
      </w:r>
      <w:r w:rsidR="00975689" w:rsidRPr="0013324D">
        <w:rPr>
          <w:szCs w:val="22"/>
          <w:lang w:val="en-US"/>
        </w:rPr>
        <w:t>,</w:t>
      </w:r>
      <w:r w:rsidR="00975689" w:rsidRPr="0013324D">
        <w:rPr>
          <w:rStyle w:val="apple-converted-space"/>
          <w:szCs w:val="22"/>
          <w:lang w:val="en-US"/>
        </w:rPr>
        <w:t> </w:t>
      </w:r>
      <w:hyperlink r:id="rId96" w:history="1">
        <w:r w:rsidR="00975689" w:rsidRPr="0013324D">
          <w:rPr>
            <w:rStyle w:val="Hyperlink"/>
            <w:color w:val="808080" w:themeColor="background1" w:themeShade="80"/>
            <w:szCs w:val="22"/>
            <w:u w:val="none"/>
            <w:lang w:val="en-US"/>
          </w:rPr>
          <w:t>Khossousi A</w:t>
        </w:r>
      </w:hyperlink>
      <w:r w:rsidR="00975689" w:rsidRPr="0013324D">
        <w:rPr>
          <w:szCs w:val="22"/>
          <w:lang w:val="en-US"/>
        </w:rPr>
        <w:t>,</w:t>
      </w:r>
      <w:r w:rsidR="00975689" w:rsidRPr="0013324D">
        <w:rPr>
          <w:rStyle w:val="apple-converted-space"/>
          <w:szCs w:val="22"/>
          <w:lang w:val="en-US"/>
        </w:rPr>
        <w:t> </w:t>
      </w:r>
      <w:hyperlink r:id="rId97" w:history="1">
        <w:r w:rsidR="00975689" w:rsidRPr="0013324D">
          <w:rPr>
            <w:rStyle w:val="Hyperlink"/>
            <w:color w:val="808080" w:themeColor="background1" w:themeShade="80"/>
            <w:szCs w:val="22"/>
            <w:u w:val="none"/>
            <w:lang w:val="en-US"/>
          </w:rPr>
          <w:t>Binns C</w:t>
        </w:r>
      </w:hyperlink>
      <w:r w:rsidR="00975689" w:rsidRPr="0013324D">
        <w:rPr>
          <w:szCs w:val="22"/>
          <w:lang w:val="en-US"/>
        </w:rPr>
        <w:t>,</w:t>
      </w:r>
      <w:r w:rsidR="00975689" w:rsidRPr="0013324D">
        <w:rPr>
          <w:rStyle w:val="apple-converted-space"/>
          <w:szCs w:val="22"/>
          <w:lang w:val="en-US"/>
        </w:rPr>
        <w:t> </w:t>
      </w:r>
      <w:hyperlink r:id="rId98" w:history="1">
        <w:r w:rsidR="00975689" w:rsidRPr="0013324D">
          <w:rPr>
            <w:rStyle w:val="Hyperlink"/>
            <w:color w:val="808080" w:themeColor="background1" w:themeShade="80"/>
            <w:szCs w:val="22"/>
            <w:u w:val="none"/>
            <w:lang w:val="en-US"/>
          </w:rPr>
          <w:t>Dhaliwal S</w:t>
        </w:r>
      </w:hyperlink>
      <w:r w:rsidR="00975689" w:rsidRPr="0013324D">
        <w:rPr>
          <w:szCs w:val="22"/>
          <w:lang w:val="en-US"/>
        </w:rPr>
        <w:t>,</w:t>
      </w:r>
      <w:r w:rsidR="00975689" w:rsidRPr="0013324D">
        <w:rPr>
          <w:rStyle w:val="apple-converted-space"/>
          <w:szCs w:val="22"/>
          <w:lang w:val="en-US"/>
        </w:rPr>
        <w:t> </w:t>
      </w:r>
      <w:hyperlink r:id="rId99" w:history="1">
        <w:r w:rsidR="00975689" w:rsidRPr="0013324D">
          <w:rPr>
            <w:rStyle w:val="Hyperlink"/>
            <w:color w:val="808080" w:themeColor="background1" w:themeShade="80"/>
            <w:szCs w:val="22"/>
            <w:u w:val="none"/>
            <w:lang w:val="en-US"/>
          </w:rPr>
          <w:t>Ellis V</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B12D79" w:rsidRDefault="00975689" w:rsidP="00975689">
      <w:pPr>
        <w:pStyle w:val="Corpo"/>
        <w:rPr>
          <w:szCs w:val="22"/>
          <w:lang w:val="en-US"/>
        </w:rPr>
      </w:pPr>
      <w:r w:rsidRPr="0013324D">
        <w:rPr>
          <w:lang w:val="en-US"/>
        </w:rPr>
        <w:t>Optimum levels and types of dietary fibre that provide the greatest beneficial effects on metabolic syndrome risk factors in overweight and obese individuals have yet to be determined in</w:t>
      </w:r>
      <w:r w:rsidRPr="0013324D">
        <w:rPr>
          <w:rStyle w:val="apple-converted-space"/>
          <w:szCs w:val="20"/>
          <w:lang w:val="en-US"/>
        </w:rPr>
        <w:t> </w:t>
      </w:r>
      <w:r w:rsidRPr="0013324D">
        <w:rPr>
          <w:rStyle w:val="highlight"/>
          <w:szCs w:val="20"/>
          <w:lang w:val="en-US"/>
        </w:rPr>
        <w:t>clinical</w:t>
      </w:r>
      <w:r w:rsidRPr="0013324D">
        <w:rPr>
          <w:rStyle w:val="apple-converted-space"/>
          <w:szCs w:val="20"/>
          <w:lang w:val="en-US"/>
        </w:rPr>
        <w:t> </w:t>
      </w:r>
      <w:r w:rsidRPr="0013324D">
        <w:rPr>
          <w:lang w:val="en-US"/>
        </w:rPr>
        <w:t xml:space="preserve">trials. The present parallel design study compared the effects of fibre intake from a healthy diet v. a fibre supplement (psyllium) or a healthy diet plus fibre supplement on fasting lipids, glucose, insulin and body composition. Overweight/obese adults were randomised to either control (with placebo), fibre supplement (FIB), healthy eating plus placebo (HLT) or healthy eating plus fibre supplement (HLT-FIB). There was a significant increase in fibre intake in HLT-FIB, HLT and FIB groups up to 59, 31 and 55 g, respectively, at 12 weeks when compared to control (20 g). Weight, BMI and % total body fat were significantly reduced in FIB and HLT-FIB groups, with weight and BMI significantly reduced in the HLT group compared with control at 12 weeks. HLT-FIB and HLT groups had significant reductions in TAG and insulin compared with control at 6 and 12 weeks, and in insulin compared with the FIB group at 12 weeks. The HLT-FIB, HLT and FIB groups all had significant reductions in total cholesterol and LDL-cholesterol compared with control after 6 and 12 weeks. The present study demonstrated that simply adding psyllium fibre supplementation to a normal diet was sufficient to obtain beneficial effects in risk factors. </w:t>
      </w:r>
      <w:r w:rsidRPr="00B12D79">
        <w:rPr>
          <w:lang w:val="en-US"/>
        </w:rPr>
        <w:t>However, a high-fibre diet consisting of a psyllium supplement plus fibre from a healthy diet provided the greatest improvements in metabolic syndrome risk factors.</w:t>
      </w:r>
    </w:p>
    <w:p w:rsidR="00975689" w:rsidRPr="00B12D79" w:rsidRDefault="00975689" w:rsidP="00975689">
      <w:pPr>
        <w:pStyle w:val="Corpo"/>
        <w:rPr>
          <w:szCs w:val="17"/>
          <w:lang w:val="en-US"/>
        </w:rPr>
      </w:pPr>
      <w:r w:rsidRPr="00B12D79">
        <w:rPr>
          <w:szCs w:val="17"/>
          <w:lang w:val="en-US"/>
        </w:rPr>
        <w:t>PMID:</w:t>
      </w:r>
      <w:r w:rsidRPr="00B12D79">
        <w:rPr>
          <w:rStyle w:val="apple-converted-space"/>
          <w:szCs w:val="17"/>
          <w:lang w:val="en-US"/>
        </w:rPr>
        <w:t> </w:t>
      </w:r>
      <w:r w:rsidRPr="00B12D79">
        <w:rPr>
          <w:szCs w:val="17"/>
          <w:lang w:val="en-US"/>
        </w:rPr>
        <w:t>20727237</w:t>
      </w:r>
      <w:r w:rsidRPr="00B12D79">
        <w:rPr>
          <w:rStyle w:val="apple-converted-space"/>
          <w:szCs w:val="17"/>
          <w:lang w:val="en-US"/>
        </w:rPr>
        <w:t> </w:t>
      </w:r>
      <w:r w:rsidRPr="00B12D79">
        <w:rPr>
          <w:szCs w:val="17"/>
          <w:lang w:val="en-US"/>
        </w:rPr>
        <w:t>[PubMed - indexed for MEDLINE]</w:t>
      </w:r>
    </w:p>
    <w:p w:rsidR="00975689" w:rsidRDefault="00975689" w:rsidP="00975689">
      <w:pPr>
        <w:pStyle w:val="Corpo"/>
        <w:rPr>
          <w:szCs w:val="17"/>
          <w:lang w:val="en-US"/>
        </w:rPr>
      </w:pPr>
    </w:p>
    <w:p w:rsidR="00975689" w:rsidRPr="00B12D79" w:rsidRDefault="00975689" w:rsidP="00975689">
      <w:pPr>
        <w:pStyle w:val="Corpo"/>
        <w:rPr>
          <w:szCs w:val="17"/>
          <w:lang w:val="en-US"/>
        </w:rPr>
      </w:pPr>
    </w:p>
    <w:p w:rsidR="00975689" w:rsidRPr="0013324D" w:rsidRDefault="00935914" w:rsidP="00975689">
      <w:pPr>
        <w:pStyle w:val="Corpo"/>
        <w:rPr>
          <w:lang w:val="en-US"/>
        </w:rPr>
      </w:pPr>
      <w:hyperlink r:id="rId100" w:tooltip="PloS one." w:history="1">
        <w:r w:rsidR="00975689" w:rsidRPr="0013324D">
          <w:rPr>
            <w:rStyle w:val="Hyperlink"/>
            <w:color w:val="808080" w:themeColor="background1" w:themeShade="80"/>
            <w:szCs w:val="20"/>
            <w:u w:val="none"/>
            <w:lang w:val="en-US"/>
          </w:rPr>
          <w:t>PLoS One.</w:t>
        </w:r>
      </w:hyperlink>
      <w:r w:rsidR="00975689" w:rsidRPr="0013324D">
        <w:rPr>
          <w:rStyle w:val="apple-converted-space"/>
          <w:szCs w:val="20"/>
          <w:lang w:val="en-US"/>
        </w:rPr>
        <w:t> </w:t>
      </w:r>
      <w:r w:rsidR="00975689" w:rsidRPr="0013324D">
        <w:rPr>
          <w:lang w:val="en-US"/>
        </w:rPr>
        <w:t>2012;7(7):e41735. doi: 10.1371/journal.pone.0041735. Epub 2012 Jul 27.</w:t>
      </w:r>
    </w:p>
    <w:p w:rsidR="00975689" w:rsidRPr="0013324D" w:rsidRDefault="00975689" w:rsidP="00975689">
      <w:pPr>
        <w:pStyle w:val="Corpo"/>
        <w:rPr>
          <w:b/>
          <w:szCs w:val="30"/>
          <w:lang w:val="en-US"/>
        </w:rPr>
      </w:pPr>
      <w:r w:rsidRPr="0013324D">
        <w:rPr>
          <w:b/>
          <w:szCs w:val="30"/>
          <w:lang w:val="en-US"/>
        </w:rPr>
        <w:t>Psyllium supplementation in adolescents improves fat distribution &amp; lipid profile: a randomized, participant-blinded, placebo-controlled, crossover trial.</w:t>
      </w:r>
    </w:p>
    <w:p w:rsidR="00975689" w:rsidRPr="0013324D" w:rsidRDefault="00935914" w:rsidP="00975689">
      <w:pPr>
        <w:pStyle w:val="Corpo"/>
        <w:rPr>
          <w:szCs w:val="22"/>
          <w:lang w:val="en-US"/>
        </w:rPr>
      </w:pPr>
      <w:hyperlink r:id="rId101" w:history="1">
        <w:r w:rsidR="00975689" w:rsidRPr="0013324D">
          <w:rPr>
            <w:rStyle w:val="Hyperlink"/>
            <w:color w:val="808080" w:themeColor="background1" w:themeShade="80"/>
            <w:szCs w:val="22"/>
            <w:u w:val="none"/>
            <w:lang w:val="en-US"/>
          </w:rPr>
          <w:t>de Bock M</w:t>
        </w:r>
      </w:hyperlink>
      <w:r w:rsidR="00975689" w:rsidRPr="0013324D">
        <w:rPr>
          <w:szCs w:val="19"/>
          <w:lang w:val="en-US"/>
        </w:rPr>
        <w:t>1</w:t>
      </w:r>
      <w:r w:rsidR="00975689" w:rsidRPr="0013324D">
        <w:rPr>
          <w:szCs w:val="22"/>
          <w:lang w:val="en-US"/>
        </w:rPr>
        <w:t>,</w:t>
      </w:r>
      <w:r w:rsidR="00975689" w:rsidRPr="0013324D">
        <w:rPr>
          <w:rStyle w:val="apple-converted-space"/>
          <w:szCs w:val="22"/>
          <w:lang w:val="en-US"/>
        </w:rPr>
        <w:t> </w:t>
      </w:r>
      <w:hyperlink r:id="rId102" w:history="1">
        <w:r w:rsidR="00975689" w:rsidRPr="0013324D">
          <w:rPr>
            <w:rStyle w:val="Hyperlink"/>
            <w:color w:val="808080" w:themeColor="background1" w:themeShade="80"/>
            <w:szCs w:val="22"/>
            <w:u w:val="none"/>
            <w:lang w:val="en-US"/>
          </w:rPr>
          <w:t>Derraik JG</w:t>
        </w:r>
      </w:hyperlink>
      <w:r w:rsidR="00975689" w:rsidRPr="0013324D">
        <w:rPr>
          <w:szCs w:val="22"/>
          <w:lang w:val="en-US"/>
        </w:rPr>
        <w:t>,</w:t>
      </w:r>
      <w:r w:rsidR="00975689" w:rsidRPr="0013324D">
        <w:rPr>
          <w:rStyle w:val="apple-converted-space"/>
          <w:szCs w:val="22"/>
          <w:lang w:val="en-US"/>
        </w:rPr>
        <w:t> </w:t>
      </w:r>
      <w:hyperlink r:id="rId103" w:history="1">
        <w:r w:rsidR="00975689" w:rsidRPr="0013324D">
          <w:rPr>
            <w:rStyle w:val="Hyperlink"/>
            <w:color w:val="808080" w:themeColor="background1" w:themeShade="80"/>
            <w:szCs w:val="22"/>
            <w:u w:val="none"/>
            <w:lang w:val="en-US"/>
          </w:rPr>
          <w:t>Brennan CM</w:t>
        </w:r>
      </w:hyperlink>
      <w:r w:rsidR="00975689" w:rsidRPr="0013324D">
        <w:rPr>
          <w:szCs w:val="22"/>
          <w:lang w:val="en-US"/>
        </w:rPr>
        <w:t>,</w:t>
      </w:r>
      <w:r w:rsidR="00975689" w:rsidRPr="0013324D">
        <w:rPr>
          <w:rStyle w:val="apple-converted-space"/>
          <w:szCs w:val="22"/>
          <w:lang w:val="en-US"/>
        </w:rPr>
        <w:t> </w:t>
      </w:r>
      <w:hyperlink r:id="rId104" w:history="1">
        <w:r w:rsidR="00975689" w:rsidRPr="0013324D">
          <w:rPr>
            <w:rStyle w:val="Hyperlink"/>
            <w:color w:val="808080" w:themeColor="background1" w:themeShade="80"/>
            <w:szCs w:val="22"/>
            <w:u w:val="none"/>
            <w:lang w:val="en-US"/>
          </w:rPr>
          <w:t>Biggs JB</w:t>
        </w:r>
      </w:hyperlink>
      <w:r w:rsidR="00975689" w:rsidRPr="0013324D">
        <w:rPr>
          <w:szCs w:val="22"/>
          <w:lang w:val="en-US"/>
        </w:rPr>
        <w:t>,</w:t>
      </w:r>
      <w:r w:rsidR="00975689" w:rsidRPr="0013324D">
        <w:rPr>
          <w:rStyle w:val="apple-converted-space"/>
          <w:szCs w:val="22"/>
          <w:lang w:val="en-US"/>
        </w:rPr>
        <w:t> </w:t>
      </w:r>
      <w:hyperlink r:id="rId105" w:history="1">
        <w:r w:rsidR="00975689" w:rsidRPr="0013324D">
          <w:rPr>
            <w:rStyle w:val="Hyperlink"/>
            <w:color w:val="808080" w:themeColor="background1" w:themeShade="80"/>
            <w:szCs w:val="22"/>
            <w:u w:val="none"/>
            <w:lang w:val="en-US"/>
          </w:rPr>
          <w:t>Smith GC</w:t>
        </w:r>
      </w:hyperlink>
      <w:r w:rsidR="00975689" w:rsidRPr="0013324D">
        <w:rPr>
          <w:szCs w:val="22"/>
          <w:lang w:val="en-US"/>
        </w:rPr>
        <w:t>,</w:t>
      </w:r>
      <w:r w:rsidR="00975689" w:rsidRPr="0013324D">
        <w:rPr>
          <w:rStyle w:val="apple-converted-space"/>
          <w:szCs w:val="22"/>
          <w:lang w:val="en-US"/>
        </w:rPr>
        <w:t> </w:t>
      </w:r>
      <w:hyperlink r:id="rId106" w:history="1">
        <w:r w:rsidR="00975689" w:rsidRPr="0013324D">
          <w:rPr>
            <w:rStyle w:val="Hyperlink"/>
            <w:color w:val="808080" w:themeColor="background1" w:themeShade="80"/>
            <w:szCs w:val="22"/>
            <w:u w:val="none"/>
            <w:lang w:val="en-US"/>
          </w:rPr>
          <w:t>Cameron-Smith D</w:t>
        </w:r>
      </w:hyperlink>
      <w:r w:rsidR="00975689" w:rsidRPr="0013324D">
        <w:rPr>
          <w:szCs w:val="22"/>
          <w:lang w:val="en-US"/>
        </w:rPr>
        <w:t>,</w:t>
      </w:r>
      <w:r w:rsidR="00975689" w:rsidRPr="0013324D">
        <w:rPr>
          <w:rStyle w:val="apple-converted-space"/>
          <w:szCs w:val="22"/>
          <w:lang w:val="en-US"/>
        </w:rPr>
        <w:t> </w:t>
      </w:r>
      <w:hyperlink r:id="rId107" w:history="1">
        <w:r w:rsidR="00975689" w:rsidRPr="0013324D">
          <w:rPr>
            <w:rStyle w:val="Hyperlink"/>
            <w:color w:val="808080" w:themeColor="background1" w:themeShade="80"/>
            <w:szCs w:val="22"/>
            <w:u w:val="none"/>
            <w:lang w:val="en-US"/>
          </w:rPr>
          <w:t>Wall CR</w:t>
        </w:r>
      </w:hyperlink>
      <w:r w:rsidR="00975689" w:rsidRPr="0013324D">
        <w:rPr>
          <w:szCs w:val="22"/>
          <w:lang w:val="en-US"/>
        </w:rPr>
        <w:t>,</w:t>
      </w:r>
      <w:r w:rsidR="00975689" w:rsidRPr="0013324D">
        <w:rPr>
          <w:rStyle w:val="apple-converted-space"/>
          <w:szCs w:val="22"/>
          <w:lang w:val="en-US"/>
        </w:rPr>
        <w:t> </w:t>
      </w:r>
      <w:hyperlink r:id="rId108" w:history="1">
        <w:r w:rsidR="00975689" w:rsidRPr="0013324D">
          <w:rPr>
            <w:rStyle w:val="Hyperlink"/>
            <w:color w:val="808080" w:themeColor="background1" w:themeShade="80"/>
            <w:szCs w:val="22"/>
            <w:u w:val="none"/>
            <w:lang w:val="en-US"/>
          </w:rPr>
          <w:t>Cutfield WS</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275F3D" w:rsidRDefault="00975689" w:rsidP="00975689">
      <w:pPr>
        <w:pStyle w:val="Corpo"/>
        <w:rPr>
          <w:lang w:val="en-US"/>
        </w:rPr>
      </w:pPr>
      <w:r w:rsidRPr="00275F3D">
        <w:rPr>
          <w:lang w:val="en-US"/>
        </w:rPr>
        <w:t>AIMS: We aimed to assess the effects of psyllium supplementation on insulin sensitivity and other parameters of the metabolic syndrome in an at risk adolescent population.</w:t>
      </w:r>
    </w:p>
    <w:p w:rsidR="00975689" w:rsidRPr="0013324D" w:rsidRDefault="00975689" w:rsidP="00975689">
      <w:pPr>
        <w:pStyle w:val="Corpo"/>
        <w:rPr>
          <w:lang w:val="en-US"/>
        </w:rPr>
      </w:pPr>
      <w:r w:rsidRPr="00275F3D">
        <w:rPr>
          <w:lang w:val="en-US"/>
        </w:rPr>
        <w:t xml:space="preserve">METHODS: This study encompassed a participant-blinded, randomized, placebo-controlled, crossover trial. </w:t>
      </w:r>
      <w:r w:rsidRPr="0013324D">
        <w:rPr>
          <w:lang w:val="en-US"/>
        </w:rPr>
        <w:t>Subjects were 47 healthy adolescent males aged 15-16 years, recruited from secondary schools in lower socio-economic areas with high rates of obesity. Participants received 6 g/day of psyllium or placebo for 6 weeks, with a two-week washout before crossing over. Fasting lipid profiles, ambulatory blood pressure, auxological data, body composition, activity levels, and three-day food records were collected at baseline and after each 6-week intervention. Insulin sensitivity was measured by the Matsuda method using glucose and insulin values from an oral glucose tolerance test.</w:t>
      </w:r>
    </w:p>
    <w:p w:rsidR="00975689" w:rsidRPr="0013324D" w:rsidRDefault="00975689" w:rsidP="00975689">
      <w:pPr>
        <w:pStyle w:val="Corpo"/>
        <w:rPr>
          <w:lang w:val="en-US"/>
        </w:rPr>
      </w:pPr>
      <w:r w:rsidRPr="00275F3D">
        <w:rPr>
          <w:lang w:val="en-US"/>
        </w:rPr>
        <w:lastRenderedPageBreak/>
        <w:t xml:space="preserve">RESULTS: 45 subjects completed the study, and compliance was very high: 87% of participants took &gt;80% of prescribed capsules. </w:t>
      </w:r>
      <w:r w:rsidRPr="0013324D">
        <w:rPr>
          <w:lang w:val="en-US"/>
        </w:rPr>
        <w:t>At baseline, 44% of subjects were overweight or obese. 28% had decreased insulin sensitivity, but none had impaired glucose tolerance. Fibre supplementation led to a 4% reduction in android fat to gynoid fat ratio (p</w:t>
      </w:r>
      <w:r w:rsidRPr="0013324D">
        <w:rPr>
          <w:rFonts w:ascii="Cambria Math" w:hAnsi="Cambria Math" w:cs="Cambria Math"/>
          <w:lang w:val="en-US"/>
        </w:rPr>
        <w:t> </w:t>
      </w:r>
      <w:r w:rsidRPr="0013324D">
        <w:rPr>
          <w:lang w:val="en-US"/>
        </w:rPr>
        <w:t>=</w:t>
      </w:r>
      <w:r w:rsidRPr="0013324D">
        <w:rPr>
          <w:rFonts w:ascii="Cambria Math" w:hAnsi="Cambria Math" w:cs="Cambria Math"/>
          <w:lang w:val="en-US"/>
        </w:rPr>
        <w:t> </w:t>
      </w:r>
      <w:r w:rsidRPr="0013324D">
        <w:rPr>
          <w:lang w:val="en-US"/>
        </w:rPr>
        <w:t>0.019), as well as a 0.12 mmol/l (6%) reduction in LDL cholesterol (p</w:t>
      </w:r>
      <w:r w:rsidRPr="0013324D">
        <w:rPr>
          <w:rFonts w:ascii="Cambria Math" w:hAnsi="Cambria Math" w:cs="Cambria Math"/>
          <w:lang w:val="en-US"/>
        </w:rPr>
        <w:t> </w:t>
      </w:r>
      <w:r w:rsidRPr="0013324D">
        <w:rPr>
          <w:lang w:val="en-US"/>
        </w:rPr>
        <w:t>=</w:t>
      </w:r>
      <w:r w:rsidRPr="0013324D">
        <w:rPr>
          <w:rFonts w:ascii="Cambria Math" w:hAnsi="Cambria Math" w:cs="Cambria Math"/>
          <w:lang w:val="en-US"/>
        </w:rPr>
        <w:t> </w:t>
      </w:r>
      <w:r w:rsidRPr="0013324D">
        <w:rPr>
          <w:lang w:val="en-US"/>
        </w:rPr>
        <w:t>0.042). No associated adverse events were recorded.</w:t>
      </w:r>
    </w:p>
    <w:p w:rsidR="00975689" w:rsidRPr="00275F3D" w:rsidRDefault="00975689" w:rsidP="00975689">
      <w:pPr>
        <w:pStyle w:val="Corpo"/>
        <w:rPr>
          <w:lang w:val="en-US"/>
        </w:rPr>
      </w:pPr>
      <w:r w:rsidRPr="00275F3D">
        <w:rPr>
          <w:lang w:val="en-US"/>
        </w:rPr>
        <w:t>CONCLUSIONS: Dietary supplementation with 6 g/day of psyllium over 6 weeks improves fat distribution and lipid profile (parameters of the metabolic syndrome) in an at risk population of adolescent males.</w:t>
      </w:r>
    </w:p>
    <w:p w:rsidR="00975689" w:rsidRPr="00275F3D" w:rsidRDefault="00975689" w:rsidP="00975689">
      <w:pPr>
        <w:pStyle w:val="Corpo"/>
        <w:rPr>
          <w:lang w:val="en-US"/>
        </w:rPr>
      </w:pPr>
      <w:r w:rsidRPr="00275F3D">
        <w:rPr>
          <w:lang w:val="en-US"/>
        </w:rPr>
        <w:t>TRIAL REGISTRATION: Australian New Zealand</w:t>
      </w:r>
      <w:r w:rsidRPr="00275F3D">
        <w:rPr>
          <w:rStyle w:val="apple-converted-space"/>
          <w:szCs w:val="20"/>
          <w:lang w:val="en-US"/>
        </w:rPr>
        <w:t> </w:t>
      </w:r>
      <w:r w:rsidRPr="00275F3D">
        <w:rPr>
          <w:rStyle w:val="highlight"/>
          <w:szCs w:val="20"/>
          <w:lang w:val="en-US"/>
        </w:rPr>
        <w:t>Clinical</w:t>
      </w:r>
      <w:r w:rsidRPr="00275F3D">
        <w:rPr>
          <w:rStyle w:val="apple-converted-space"/>
          <w:szCs w:val="20"/>
          <w:lang w:val="en-US"/>
        </w:rPr>
        <w:t> </w:t>
      </w:r>
      <w:r w:rsidRPr="00275F3D">
        <w:rPr>
          <w:lang w:val="en-US"/>
        </w:rPr>
        <w:t>Trials Registry ACTRN12609000888268.</w:t>
      </w:r>
    </w:p>
    <w:p w:rsidR="00975689" w:rsidRPr="00275F3D" w:rsidRDefault="00975689" w:rsidP="00975689">
      <w:pPr>
        <w:pStyle w:val="Corpo"/>
        <w:rPr>
          <w:rStyle w:val="apple-converted-space"/>
          <w:szCs w:val="17"/>
          <w:lang w:val="en-US"/>
        </w:rPr>
      </w:pPr>
      <w:r w:rsidRPr="00275F3D">
        <w:rPr>
          <w:szCs w:val="17"/>
          <w:lang w:val="en-US"/>
        </w:rPr>
        <w:t>PMID:</w:t>
      </w:r>
      <w:r w:rsidRPr="00275F3D">
        <w:rPr>
          <w:rStyle w:val="apple-converted-space"/>
          <w:szCs w:val="17"/>
          <w:lang w:val="en-US"/>
        </w:rPr>
        <w:t> </w:t>
      </w:r>
      <w:r w:rsidRPr="00275F3D">
        <w:rPr>
          <w:szCs w:val="17"/>
          <w:lang w:val="en-US"/>
        </w:rPr>
        <w:t>22848584</w:t>
      </w:r>
      <w:r w:rsidRPr="00275F3D">
        <w:rPr>
          <w:rStyle w:val="apple-converted-space"/>
          <w:szCs w:val="17"/>
          <w:lang w:val="en-US"/>
        </w:rPr>
        <w:t> </w:t>
      </w:r>
      <w:r w:rsidRPr="00275F3D">
        <w:rPr>
          <w:szCs w:val="17"/>
          <w:lang w:val="en-US"/>
        </w:rPr>
        <w:t>[PubMed - indexed for MEDLINE]</w:t>
      </w:r>
      <w:r w:rsidRPr="00275F3D">
        <w:rPr>
          <w:rStyle w:val="apple-converted-space"/>
          <w:szCs w:val="17"/>
          <w:lang w:val="en-US"/>
        </w:rPr>
        <w:t> </w:t>
      </w:r>
      <w:r w:rsidRPr="00275F3D">
        <w:rPr>
          <w:szCs w:val="17"/>
          <w:lang w:val="en-US"/>
        </w:rPr>
        <w:t>PMCID:</w:t>
      </w:r>
      <w:r w:rsidRPr="00275F3D">
        <w:rPr>
          <w:rStyle w:val="apple-converted-space"/>
          <w:szCs w:val="17"/>
          <w:lang w:val="en-US"/>
        </w:rPr>
        <w:t> </w:t>
      </w:r>
      <w:r w:rsidRPr="00275F3D">
        <w:rPr>
          <w:szCs w:val="17"/>
          <w:lang w:val="en-US"/>
        </w:rPr>
        <w:t>PMC3407232</w:t>
      </w:r>
      <w:r w:rsidRPr="00275F3D">
        <w:rPr>
          <w:rStyle w:val="apple-converted-space"/>
          <w:szCs w:val="17"/>
          <w:lang w:val="en-US"/>
        </w:rPr>
        <w:t> </w:t>
      </w:r>
    </w:p>
    <w:p w:rsidR="00975689" w:rsidRPr="00275F3D" w:rsidRDefault="00975689" w:rsidP="00975689">
      <w:pPr>
        <w:pStyle w:val="Corpo"/>
        <w:rPr>
          <w:rStyle w:val="apple-converted-space"/>
          <w:szCs w:val="17"/>
          <w:lang w:val="en-US"/>
        </w:rPr>
      </w:pPr>
    </w:p>
    <w:p w:rsidR="00975689" w:rsidRPr="00275F3D" w:rsidRDefault="00975689" w:rsidP="00975689">
      <w:pPr>
        <w:pStyle w:val="Corpo"/>
        <w:rPr>
          <w:lang w:val="en-US"/>
        </w:rPr>
      </w:pPr>
    </w:p>
    <w:p w:rsidR="00975689" w:rsidRPr="00170722" w:rsidRDefault="00935914" w:rsidP="00975689">
      <w:pPr>
        <w:pStyle w:val="Corpo"/>
        <w:rPr>
          <w:lang w:val="en-US"/>
        </w:rPr>
      </w:pPr>
      <w:hyperlink r:id="rId109" w:tooltip="Clinical therapeutics." w:history="1">
        <w:r w:rsidR="00975689" w:rsidRPr="00170722">
          <w:rPr>
            <w:rStyle w:val="Hyperlink"/>
            <w:color w:val="808080" w:themeColor="background1" w:themeShade="80"/>
            <w:szCs w:val="20"/>
            <w:u w:val="none"/>
            <w:lang w:val="en-US"/>
          </w:rPr>
          <w:t>Clin Ther.</w:t>
        </w:r>
      </w:hyperlink>
      <w:r w:rsidR="00975689" w:rsidRPr="00170722">
        <w:rPr>
          <w:rStyle w:val="apple-converted-space"/>
          <w:szCs w:val="20"/>
          <w:lang w:val="en-US"/>
        </w:rPr>
        <w:t> </w:t>
      </w:r>
      <w:r w:rsidR="00975689" w:rsidRPr="00170722">
        <w:rPr>
          <w:lang w:val="en-US"/>
        </w:rPr>
        <w:t>2006 Feb;28(2):174-83.</w:t>
      </w:r>
    </w:p>
    <w:p w:rsidR="00975689" w:rsidRPr="0013324D" w:rsidRDefault="00975689" w:rsidP="00975689">
      <w:pPr>
        <w:pStyle w:val="Corpo"/>
        <w:rPr>
          <w:b/>
          <w:szCs w:val="30"/>
          <w:lang w:val="en-US"/>
        </w:rPr>
      </w:pPr>
      <w:r w:rsidRPr="0013324D">
        <w:rPr>
          <w:rStyle w:val="highlight"/>
          <w:b/>
          <w:szCs w:val="30"/>
          <w:lang w:val="en-US"/>
        </w:rPr>
        <w:t>Echinacea</w:t>
      </w:r>
      <w:r w:rsidRPr="0013324D">
        <w:rPr>
          <w:rStyle w:val="apple-converted-space"/>
          <w:b/>
          <w:szCs w:val="30"/>
          <w:lang w:val="en-US"/>
        </w:rPr>
        <w:t> </w:t>
      </w:r>
      <w:r w:rsidRPr="0013324D">
        <w:rPr>
          <w:b/>
          <w:szCs w:val="30"/>
          <w:lang w:val="en-US"/>
        </w:rPr>
        <w:t>in the</w:t>
      </w:r>
      <w:r w:rsidRPr="0013324D">
        <w:rPr>
          <w:rStyle w:val="apple-converted-space"/>
          <w:b/>
          <w:szCs w:val="30"/>
          <w:lang w:val="en-US"/>
        </w:rPr>
        <w:t> </w:t>
      </w:r>
      <w:r w:rsidRPr="0013324D">
        <w:rPr>
          <w:rStyle w:val="highlight"/>
          <w:b/>
          <w:szCs w:val="30"/>
          <w:lang w:val="en-US"/>
        </w:rPr>
        <w:t>prevention</w:t>
      </w:r>
      <w:r w:rsidRPr="0013324D">
        <w:rPr>
          <w:rStyle w:val="apple-converted-space"/>
          <w:b/>
          <w:szCs w:val="30"/>
          <w:lang w:val="en-US"/>
        </w:rPr>
        <w:t> </w:t>
      </w:r>
      <w:r w:rsidRPr="0013324D">
        <w:rPr>
          <w:b/>
          <w:szCs w:val="30"/>
          <w:lang w:val="en-US"/>
        </w:rPr>
        <w:t>of</w:t>
      </w:r>
      <w:r w:rsidRPr="0013324D">
        <w:rPr>
          <w:rStyle w:val="apple-converted-space"/>
          <w:b/>
          <w:szCs w:val="30"/>
          <w:lang w:val="en-US"/>
        </w:rPr>
        <w:t> </w:t>
      </w:r>
      <w:r w:rsidRPr="0013324D">
        <w:rPr>
          <w:rStyle w:val="highlight"/>
          <w:b/>
          <w:szCs w:val="30"/>
          <w:lang w:val="en-US"/>
        </w:rPr>
        <w:t>induced</w:t>
      </w:r>
      <w:r w:rsidRPr="0013324D">
        <w:rPr>
          <w:rStyle w:val="apple-converted-space"/>
          <w:b/>
          <w:szCs w:val="30"/>
          <w:lang w:val="en-US"/>
        </w:rPr>
        <w:t> </w:t>
      </w:r>
      <w:r w:rsidRPr="0013324D">
        <w:rPr>
          <w:rStyle w:val="highlight"/>
          <w:b/>
          <w:szCs w:val="30"/>
          <w:lang w:val="en-US"/>
        </w:rPr>
        <w:t>rhinovirus</w:t>
      </w:r>
      <w:r w:rsidRPr="0013324D">
        <w:rPr>
          <w:rStyle w:val="apple-converted-space"/>
          <w:b/>
          <w:szCs w:val="30"/>
          <w:lang w:val="en-US"/>
        </w:rPr>
        <w:t> </w:t>
      </w:r>
      <w:r w:rsidRPr="0013324D">
        <w:rPr>
          <w:rStyle w:val="highlight"/>
          <w:b/>
          <w:szCs w:val="30"/>
          <w:lang w:val="en-US"/>
        </w:rPr>
        <w:t>colds</w:t>
      </w:r>
      <w:r w:rsidRPr="0013324D">
        <w:rPr>
          <w:b/>
          <w:szCs w:val="30"/>
          <w:lang w:val="en-US"/>
        </w:rPr>
        <w:t>: a</w:t>
      </w:r>
      <w:r w:rsidRPr="0013324D">
        <w:rPr>
          <w:rStyle w:val="apple-converted-space"/>
          <w:b/>
          <w:szCs w:val="30"/>
          <w:lang w:val="en-US"/>
        </w:rPr>
        <w:t> </w:t>
      </w:r>
      <w:r w:rsidRPr="0013324D">
        <w:rPr>
          <w:rStyle w:val="highlight"/>
          <w:b/>
          <w:szCs w:val="30"/>
          <w:lang w:val="en-US"/>
        </w:rPr>
        <w:t>meta-analysis</w:t>
      </w:r>
      <w:r w:rsidRPr="0013324D">
        <w:rPr>
          <w:b/>
          <w:szCs w:val="30"/>
          <w:lang w:val="en-US"/>
        </w:rPr>
        <w:t>.</w:t>
      </w:r>
    </w:p>
    <w:p w:rsidR="00975689" w:rsidRPr="0013324D" w:rsidRDefault="00935914" w:rsidP="00975689">
      <w:pPr>
        <w:pStyle w:val="Corpo"/>
        <w:rPr>
          <w:szCs w:val="22"/>
          <w:lang w:val="en-US"/>
        </w:rPr>
      </w:pPr>
      <w:hyperlink r:id="rId110" w:history="1">
        <w:r w:rsidR="00975689" w:rsidRPr="0013324D">
          <w:rPr>
            <w:rStyle w:val="Hyperlink"/>
            <w:color w:val="808080" w:themeColor="background1" w:themeShade="80"/>
            <w:szCs w:val="22"/>
            <w:u w:val="none"/>
            <w:lang w:val="en-US"/>
          </w:rPr>
          <w:t>Schoop R</w:t>
        </w:r>
      </w:hyperlink>
      <w:r w:rsidR="00975689" w:rsidRPr="0013324D">
        <w:rPr>
          <w:szCs w:val="19"/>
          <w:lang w:val="en-US"/>
        </w:rPr>
        <w:t>1</w:t>
      </w:r>
      <w:r w:rsidR="00975689" w:rsidRPr="0013324D">
        <w:rPr>
          <w:szCs w:val="22"/>
          <w:lang w:val="en-US"/>
        </w:rPr>
        <w:t>,</w:t>
      </w:r>
      <w:r w:rsidR="00975689" w:rsidRPr="0013324D">
        <w:rPr>
          <w:rStyle w:val="apple-converted-space"/>
          <w:szCs w:val="22"/>
          <w:lang w:val="en-US"/>
        </w:rPr>
        <w:t> </w:t>
      </w:r>
      <w:hyperlink r:id="rId111" w:history="1">
        <w:r w:rsidR="00975689" w:rsidRPr="0013324D">
          <w:rPr>
            <w:rStyle w:val="Hyperlink"/>
            <w:color w:val="808080" w:themeColor="background1" w:themeShade="80"/>
            <w:szCs w:val="22"/>
            <w:u w:val="none"/>
            <w:lang w:val="en-US"/>
          </w:rPr>
          <w:t>Klein P</w:t>
        </w:r>
      </w:hyperlink>
      <w:r w:rsidR="00975689" w:rsidRPr="0013324D">
        <w:rPr>
          <w:szCs w:val="22"/>
          <w:lang w:val="en-US"/>
        </w:rPr>
        <w:t>,</w:t>
      </w:r>
      <w:r w:rsidR="00975689" w:rsidRPr="0013324D">
        <w:rPr>
          <w:rStyle w:val="apple-converted-space"/>
          <w:szCs w:val="22"/>
          <w:lang w:val="en-US"/>
        </w:rPr>
        <w:t> </w:t>
      </w:r>
      <w:hyperlink r:id="rId112" w:history="1">
        <w:r w:rsidR="00975689" w:rsidRPr="0013324D">
          <w:rPr>
            <w:rStyle w:val="Hyperlink"/>
            <w:color w:val="808080" w:themeColor="background1" w:themeShade="80"/>
            <w:szCs w:val="22"/>
            <w:u w:val="none"/>
            <w:lang w:val="en-US"/>
          </w:rPr>
          <w:t>Suter A</w:t>
        </w:r>
      </w:hyperlink>
      <w:r w:rsidR="00975689" w:rsidRPr="0013324D">
        <w:rPr>
          <w:szCs w:val="22"/>
          <w:lang w:val="en-US"/>
        </w:rPr>
        <w:t>,</w:t>
      </w:r>
      <w:r w:rsidR="00975689" w:rsidRPr="0013324D">
        <w:rPr>
          <w:rStyle w:val="apple-converted-space"/>
          <w:szCs w:val="22"/>
          <w:lang w:val="en-US"/>
        </w:rPr>
        <w:t> </w:t>
      </w:r>
      <w:hyperlink r:id="rId113" w:history="1">
        <w:r w:rsidR="00975689" w:rsidRPr="0013324D">
          <w:rPr>
            <w:rStyle w:val="Hyperlink"/>
            <w:color w:val="808080" w:themeColor="background1" w:themeShade="80"/>
            <w:szCs w:val="22"/>
            <w:u w:val="none"/>
            <w:lang w:val="en-US"/>
          </w:rPr>
          <w:t>Johnston SL</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13324D" w:rsidRDefault="00975689" w:rsidP="00975689">
      <w:pPr>
        <w:pStyle w:val="Corpo"/>
        <w:rPr>
          <w:lang w:val="en-US"/>
        </w:rPr>
      </w:pPr>
      <w:r w:rsidRPr="00275F3D">
        <w:rPr>
          <w:lang w:val="en-US"/>
        </w:rPr>
        <w:t>BACKGROUND: The therapeutic effectiveness of</w:t>
      </w:r>
      <w:r w:rsidRPr="00275F3D">
        <w:rPr>
          <w:rStyle w:val="apple-converted-space"/>
          <w:szCs w:val="20"/>
          <w:lang w:val="en-US"/>
        </w:rPr>
        <w:t> </w:t>
      </w:r>
      <w:r w:rsidRPr="00275F3D">
        <w:rPr>
          <w:rStyle w:val="highlight"/>
          <w:szCs w:val="20"/>
          <w:lang w:val="en-US"/>
        </w:rPr>
        <w:t>Echinacea</w:t>
      </w:r>
      <w:r w:rsidRPr="00275F3D">
        <w:rPr>
          <w:rStyle w:val="apple-converted-space"/>
          <w:szCs w:val="20"/>
          <w:lang w:val="en-US"/>
        </w:rPr>
        <w:t> </w:t>
      </w:r>
      <w:r w:rsidRPr="00275F3D">
        <w:rPr>
          <w:lang w:val="en-US"/>
        </w:rPr>
        <w:t>in the treatment and the</w:t>
      </w:r>
      <w:r w:rsidRPr="00275F3D">
        <w:rPr>
          <w:rStyle w:val="apple-converted-space"/>
          <w:szCs w:val="20"/>
          <w:lang w:val="en-US"/>
        </w:rPr>
        <w:t> </w:t>
      </w:r>
      <w:r w:rsidRPr="00275F3D">
        <w:rPr>
          <w:rStyle w:val="highlight"/>
          <w:szCs w:val="20"/>
          <w:lang w:val="en-US"/>
        </w:rPr>
        <w:t>prevention</w:t>
      </w:r>
      <w:r w:rsidRPr="00275F3D">
        <w:rPr>
          <w:rStyle w:val="apple-converted-space"/>
          <w:szCs w:val="20"/>
          <w:lang w:val="en-US"/>
        </w:rPr>
        <w:t> </w:t>
      </w:r>
      <w:r w:rsidRPr="00275F3D">
        <w:rPr>
          <w:lang w:val="en-US"/>
        </w:rPr>
        <w:t>of</w:t>
      </w:r>
      <w:r w:rsidRPr="00275F3D">
        <w:rPr>
          <w:rStyle w:val="apple-converted-space"/>
          <w:szCs w:val="20"/>
          <w:lang w:val="en-US"/>
        </w:rPr>
        <w:t> </w:t>
      </w:r>
      <w:r w:rsidRPr="00275F3D">
        <w:rPr>
          <w:rStyle w:val="highlight"/>
          <w:szCs w:val="20"/>
          <w:lang w:val="en-US"/>
        </w:rPr>
        <w:t>colds</w:t>
      </w:r>
      <w:r w:rsidRPr="00275F3D">
        <w:rPr>
          <w:rStyle w:val="apple-converted-space"/>
          <w:szCs w:val="20"/>
          <w:lang w:val="en-US"/>
        </w:rPr>
        <w:t> </w:t>
      </w:r>
      <w:r w:rsidRPr="00275F3D">
        <w:rPr>
          <w:lang w:val="en-US"/>
        </w:rPr>
        <w:t xml:space="preserve">has been debated. </w:t>
      </w:r>
      <w:r w:rsidRPr="0013324D">
        <w:rPr>
          <w:lang w:val="en-US"/>
        </w:rPr>
        <w:t>Studies of naturally occurring</w:t>
      </w:r>
      <w:r w:rsidRPr="0013324D">
        <w:rPr>
          <w:rStyle w:val="apple-converted-space"/>
          <w:szCs w:val="20"/>
          <w:lang w:val="en-US"/>
        </w:rPr>
        <w:t> </w:t>
      </w:r>
      <w:r w:rsidRPr="0013324D">
        <w:rPr>
          <w:rStyle w:val="highlight"/>
          <w:szCs w:val="20"/>
          <w:lang w:val="en-US"/>
        </w:rPr>
        <w:t>colds</w:t>
      </w:r>
      <w:r w:rsidRPr="0013324D">
        <w:rPr>
          <w:rStyle w:val="apple-converted-space"/>
          <w:szCs w:val="20"/>
          <w:lang w:val="en-US"/>
        </w:rPr>
        <w:t> </w:t>
      </w:r>
      <w:r w:rsidRPr="0013324D">
        <w:rPr>
          <w:lang w:val="en-US"/>
        </w:rPr>
        <w:t>are hampered by variability in time from onset of symptoms to treatment and by heterogeneity in trial design. Experimental infection studies allow for the standardization of time to initiation of treatment, virus type and dose, and immune competence of volunteers.</w:t>
      </w:r>
    </w:p>
    <w:p w:rsidR="00975689" w:rsidRPr="00275F3D" w:rsidRDefault="00975689" w:rsidP="00975689">
      <w:pPr>
        <w:pStyle w:val="Corpo"/>
        <w:rPr>
          <w:lang w:val="en-US"/>
        </w:rPr>
      </w:pPr>
      <w:r w:rsidRPr="00275F3D">
        <w:rPr>
          <w:lang w:val="en-US"/>
        </w:rPr>
        <w:t>OBJECTIVE: To determine whether the negative results obtained in previous studies of</w:t>
      </w:r>
      <w:r w:rsidRPr="00275F3D">
        <w:rPr>
          <w:rStyle w:val="apple-converted-space"/>
          <w:szCs w:val="20"/>
          <w:lang w:val="en-US"/>
        </w:rPr>
        <w:t> </w:t>
      </w:r>
      <w:r w:rsidRPr="00275F3D">
        <w:rPr>
          <w:rStyle w:val="highlight"/>
          <w:szCs w:val="20"/>
          <w:lang w:val="en-US"/>
        </w:rPr>
        <w:t>Echinacea</w:t>
      </w:r>
      <w:r w:rsidRPr="00275F3D">
        <w:rPr>
          <w:rStyle w:val="apple-converted-space"/>
          <w:szCs w:val="20"/>
          <w:lang w:val="en-US"/>
        </w:rPr>
        <w:t> </w:t>
      </w:r>
      <w:r w:rsidRPr="00275F3D">
        <w:rPr>
          <w:lang w:val="en-US"/>
        </w:rPr>
        <w:t>were a consequence of efficacy or of inadequate sample size, we performed a</w:t>
      </w:r>
      <w:r w:rsidRPr="00275F3D">
        <w:rPr>
          <w:rStyle w:val="apple-converted-space"/>
          <w:szCs w:val="20"/>
          <w:lang w:val="en-US"/>
        </w:rPr>
        <w:t> </w:t>
      </w:r>
      <w:r w:rsidRPr="00275F3D">
        <w:rPr>
          <w:rStyle w:val="highlight"/>
          <w:szCs w:val="20"/>
          <w:lang w:val="en-US"/>
        </w:rPr>
        <w:t>meta-analysis</w:t>
      </w:r>
      <w:r w:rsidRPr="00275F3D">
        <w:rPr>
          <w:rStyle w:val="apple-converted-space"/>
          <w:szCs w:val="20"/>
          <w:lang w:val="en-US"/>
        </w:rPr>
        <w:t> </w:t>
      </w:r>
      <w:r w:rsidRPr="00275F3D">
        <w:rPr>
          <w:lang w:val="en-US"/>
        </w:rPr>
        <w:t>of experimental</w:t>
      </w:r>
      <w:r w:rsidRPr="00275F3D">
        <w:rPr>
          <w:rStyle w:val="apple-converted-space"/>
          <w:szCs w:val="20"/>
          <w:lang w:val="en-US"/>
        </w:rPr>
        <w:t> </w:t>
      </w:r>
      <w:r w:rsidRPr="00275F3D">
        <w:rPr>
          <w:rStyle w:val="highlight"/>
          <w:szCs w:val="20"/>
          <w:lang w:val="en-US"/>
        </w:rPr>
        <w:t>rhinovirus</w:t>
      </w:r>
      <w:r w:rsidRPr="00275F3D">
        <w:rPr>
          <w:rStyle w:val="apple-converted-space"/>
          <w:szCs w:val="20"/>
          <w:lang w:val="en-US"/>
        </w:rPr>
        <w:t> </w:t>
      </w:r>
      <w:r w:rsidRPr="00275F3D">
        <w:rPr>
          <w:lang w:val="en-US"/>
        </w:rPr>
        <w:t>infection studies on the efficacy of</w:t>
      </w:r>
      <w:r w:rsidRPr="00275F3D">
        <w:rPr>
          <w:rStyle w:val="apple-converted-space"/>
          <w:szCs w:val="20"/>
          <w:lang w:val="en-US"/>
        </w:rPr>
        <w:t> </w:t>
      </w:r>
      <w:r w:rsidRPr="00275F3D">
        <w:rPr>
          <w:rStyle w:val="highlight"/>
          <w:szCs w:val="20"/>
          <w:lang w:val="en-US"/>
        </w:rPr>
        <w:t>Echinacea</w:t>
      </w:r>
      <w:r w:rsidRPr="00275F3D">
        <w:rPr>
          <w:rStyle w:val="apple-converted-space"/>
          <w:szCs w:val="20"/>
          <w:lang w:val="en-US"/>
        </w:rPr>
        <w:t> </w:t>
      </w:r>
      <w:r w:rsidRPr="00275F3D">
        <w:rPr>
          <w:lang w:val="en-US"/>
        </w:rPr>
        <w:t>extracts to prevent symptomatic development of an experimentally</w:t>
      </w:r>
      <w:r w:rsidRPr="00275F3D">
        <w:rPr>
          <w:rStyle w:val="apple-converted-space"/>
          <w:szCs w:val="20"/>
          <w:lang w:val="en-US"/>
        </w:rPr>
        <w:t> </w:t>
      </w:r>
      <w:r w:rsidRPr="00275F3D">
        <w:rPr>
          <w:rStyle w:val="highlight"/>
          <w:szCs w:val="20"/>
          <w:lang w:val="en-US"/>
        </w:rPr>
        <w:t>induced</w:t>
      </w:r>
      <w:r w:rsidRPr="00275F3D">
        <w:rPr>
          <w:rStyle w:val="apple-converted-space"/>
          <w:szCs w:val="20"/>
          <w:lang w:val="en-US"/>
        </w:rPr>
        <w:t> </w:t>
      </w:r>
      <w:r w:rsidRPr="00275F3D">
        <w:rPr>
          <w:lang w:val="en-US"/>
        </w:rPr>
        <w:t>cold.</w:t>
      </w:r>
    </w:p>
    <w:p w:rsidR="00975689" w:rsidRPr="0013324D" w:rsidRDefault="00975689" w:rsidP="00975689">
      <w:pPr>
        <w:pStyle w:val="Corpo"/>
        <w:rPr>
          <w:lang w:val="en-US"/>
        </w:rPr>
      </w:pPr>
      <w:r w:rsidRPr="00275F3D">
        <w:rPr>
          <w:lang w:val="en-US"/>
        </w:rPr>
        <w:t>METHODS: We carried out a systematic search of English- and German-language literature using the MEDLINE, EMBASE, CAplus, BIOSIS, CABA, AGRICOLA, TOXCENTER, SCISEARCH, NAHL, and NAPRALERT, databases and the search terms</w:t>
      </w:r>
      <w:r w:rsidRPr="00275F3D">
        <w:rPr>
          <w:rStyle w:val="highlight"/>
          <w:szCs w:val="20"/>
          <w:lang w:val="en-US"/>
        </w:rPr>
        <w:t>Echinacea</w:t>
      </w:r>
      <w:r w:rsidRPr="00275F3D">
        <w:rPr>
          <w:lang w:val="en-US"/>
        </w:rPr>
        <w:t xml:space="preserve">, black Sampson, coneflower, and Roter Sonnenbut. </w:t>
      </w:r>
      <w:r w:rsidRPr="0013324D">
        <w:rPr>
          <w:lang w:val="en-US"/>
        </w:rPr>
        <w:t>Matching documents were then searched for &gt; or = 1 of the following terms:</w:t>
      </w:r>
      <w:r w:rsidRPr="0013324D">
        <w:rPr>
          <w:rStyle w:val="apple-converted-space"/>
          <w:szCs w:val="20"/>
          <w:lang w:val="en-US"/>
        </w:rPr>
        <w:t> </w:t>
      </w:r>
      <w:r w:rsidRPr="0013324D">
        <w:rPr>
          <w:rStyle w:val="highlight"/>
          <w:szCs w:val="20"/>
          <w:lang w:val="en-US"/>
        </w:rPr>
        <w:t>rhinovirus</w:t>
      </w:r>
      <w:r w:rsidRPr="0013324D">
        <w:rPr>
          <w:lang w:val="en-US"/>
        </w:rPr>
        <w:t>, RV, inoculation, Inokulation,</w:t>
      </w:r>
      <w:r w:rsidRPr="0013324D">
        <w:rPr>
          <w:rStyle w:val="apple-converted-space"/>
          <w:szCs w:val="20"/>
          <w:lang w:val="en-US"/>
        </w:rPr>
        <w:t> </w:t>
      </w:r>
      <w:r w:rsidRPr="0013324D">
        <w:rPr>
          <w:rStyle w:val="highlight"/>
          <w:szCs w:val="20"/>
          <w:lang w:val="en-US"/>
        </w:rPr>
        <w:t>induced</w:t>
      </w:r>
      <w:r w:rsidRPr="0013324D">
        <w:rPr>
          <w:lang w:val="en-US"/>
        </w:rPr>
        <w:t>, induziert, artificial, and artifiziell. Suitable studies were identified and pooled for analysis. The primary end point was the development of symptomatic clinical</w:t>
      </w:r>
      <w:r w:rsidRPr="0013324D">
        <w:rPr>
          <w:rStyle w:val="apple-converted-space"/>
          <w:szCs w:val="20"/>
          <w:lang w:val="en-US"/>
        </w:rPr>
        <w:t> </w:t>
      </w:r>
      <w:r w:rsidRPr="0013324D">
        <w:rPr>
          <w:rStyle w:val="highlight"/>
          <w:szCs w:val="20"/>
          <w:lang w:val="en-US"/>
        </w:rPr>
        <w:t>colds</w:t>
      </w:r>
      <w:r w:rsidRPr="0013324D">
        <w:rPr>
          <w:lang w:val="en-US"/>
        </w:rPr>
        <w:t>, as defined by the authors of the original studies. Results were reported as differences in the proportion of subjects with symptomatic episodes of a common cold, expressed as odds ratios (ORs) and 95% CIs. The secondary outcome was the difference in total symptom severity scores between treatment groups (assessed daily by integrating the severity scores of 8 individual cold-related symptoms that were rated on a scale from 0 [absent] to 4 [very severe]).</w:t>
      </w:r>
    </w:p>
    <w:p w:rsidR="00975689" w:rsidRPr="0013324D" w:rsidRDefault="00975689" w:rsidP="00975689">
      <w:pPr>
        <w:pStyle w:val="Corpo"/>
        <w:rPr>
          <w:lang w:val="en-US"/>
        </w:rPr>
      </w:pPr>
      <w:r w:rsidRPr="00275F3D">
        <w:rPr>
          <w:lang w:val="en-US"/>
        </w:rPr>
        <w:t xml:space="preserve">RESULTS: A total of 234 articles were identified through the literature search; 231 were excluded from the analysis because they related to studies of spontaneous </w:t>
      </w:r>
      <w:r w:rsidRPr="00275F3D">
        <w:rPr>
          <w:lang w:val="en-US"/>
        </w:rPr>
        <w:lastRenderedPageBreak/>
        <w:t>common</w:t>
      </w:r>
      <w:r w:rsidRPr="00275F3D">
        <w:rPr>
          <w:rStyle w:val="apple-converted-space"/>
          <w:szCs w:val="20"/>
          <w:lang w:val="en-US"/>
        </w:rPr>
        <w:t> </w:t>
      </w:r>
      <w:r w:rsidRPr="00275F3D">
        <w:rPr>
          <w:rStyle w:val="highlight"/>
          <w:szCs w:val="20"/>
          <w:lang w:val="en-US"/>
        </w:rPr>
        <w:t>colds</w:t>
      </w:r>
      <w:r w:rsidRPr="00275F3D">
        <w:rPr>
          <w:lang w:val="en-US"/>
        </w:rPr>
        <w:t xml:space="preserve">. </w:t>
      </w:r>
      <w:r w:rsidRPr="0013324D">
        <w:rPr>
          <w:lang w:val="en-US"/>
        </w:rPr>
        <w:t>Three suitable studies were selected for pooling of data. Based on the analysis, the likelihood of experiencing a clinical cold was 55% higher with placebo than with</w:t>
      </w:r>
      <w:r w:rsidRPr="0013324D">
        <w:rPr>
          <w:rStyle w:val="apple-converted-space"/>
          <w:szCs w:val="20"/>
          <w:lang w:val="en-US"/>
        </w:rPr>
        <w:t> </w:t>
      </w:r>
      <w:r w:rsidRPr="0013324D">
        <w:rPr>
          <w:rStyle w:val="highlight"/>
          <w:szCs w:val="20"/>
          <w:lang w:val="en-US"/>
        </w:rPr>
        <w:t>Echinacea</w:t>
      </w:r>
      <w:r w:rsidRPr="0013324D">
        <w:rPr>
          <w:rStyle w:val="apple-converted-space"/>
          <w:szCs w:val="20"/>
          <w:lang w:val="en-US"/>
        </w:rPr>
        <w:t> </w:t>
      </w:r>
      <w:r w:rsidRPr="0013324D">
        <w:rPr>
          <w:lang w:val="en-US"/>
        </w:rPr>
        <w:t>(OR, 1.55 [95% CI, 1.02-2.36]; P&lt;0.043). The absolute difference in total symptom scores between groups was -1.96 (95% CI, -4.83 to 0.90; P=NS).</w:t>
      </w:r>
    </w:p>
    <w:p w:rsidR="00975689" w:rsidRPr="0013324D" w:rsidRDefault="00975689" w:rsidP="00975689">
      <w:pPr>
        <w:pStyle w:val="Corpo"/>
        <w:rPr>
          <w:lang w:val="en-US"/>
        </w:rPr>
      </w:pPr>
      <w:r w:rsidRPr="00275F3D">
        <w:rPr>
          <w:lang w:val="en-US"/>
        </w:rPr>
        <w:t>CONCLUSIONS: This</w:t>
      </w:r>
      <w:r w:rsidRPr="00275F3D">
        <w:rPr>
          <w:rStyle w:val="apple-converted-space"/>
          <w:szCs w:val="20"/>
          <w:lang w:val="en-US"/>
        </w:rPr>
        <w:t> </w:t>
      </w:r>
      <w:r w:rsidRPr="00275F3D">
        <w:rPr>
          <w:rStyle w:val="highlight"/>
          <w:szCs w:val="20"/>
          <w:lang w:val="en-US"/>
        </w:rPr>
        <w:t>meta-analysis</w:t>
      </w:r>
      <w:r w:rsidRPr="00275F3D">
        <w:rPr>
          <w:rStyle w:val="apple-converted-space"/>
          <w:szCs w:val="20"/>
          <w:lang w:val="en-US"/>
        </w:rPr>
        <w:t> </w:t>
      </w:r>
      <w:r w:rsidRPr="00275F3D">
        <w:rPr>
          <w:lang w:val="en-US"/>
        </w:rPr>
        <w:t>suggests that standardized extracts of</w:t>
      </w:r>
      <w:r w:rsidRPr="00275F3D">
        <w:rPr>
          <w:rStyle w:val="apple-converted-space"/>
          <w:szCs w:val="20"/>
          <w:lang w:val="en-US"/>
        </w:rPr>
        <w:t> </w:t>
      </w:r>
      <w:r w:rsidRPr="00275F3D">
        <w:rPr>
          <w:rStyle w:val="highlight"/>
          <w:szCs w:val="20"/>
          <w:lang w:val="en-US"/>
        </w:rPr>
        <w:t>Echinacea</w:t>
      </w:r>
      <w:r w:rsidRPr="00275F3D">
        <w:rPr>
          <w:rStyle w:val="apple-converted-space"/>
          <w:szCs w:val="20"/>
          <w:lang w:val="en-US"/>
        </w:rPr>
        <w:t> </w:t>
      </w:r>
      <w:r w:rsidRPr="00275F3D">
        <w:rPr>
          <w:lang w:val="en-US"/>
        </w:rPr>
        <w:t>were effective in the</w:t>
      </w:r>
      <w:r w:rsidRPr="00275F3D">
        <w:rPr>
          <w:rStyle w:val="apple-converted-space"/>
          <w:szCs w:val="20"/>
          <w:lang w:val="en-US"/>
        </w:rPr>
        <w:t> </w:t>
      </w:r>
      <w:r w:rsidRPr="00275F3D">
        <w:rPr>
          <w:rStyle w:val="highlight"/>
          <w:szCs w:val="20"/>
          <w:lang w:val="en-US"/>
        </w:rPr>
        <w:t>prevention</w:t>
      </w:r>
      <w:r w:rsidRPr="00275F3D">
        <w:rPr>
          <w:rStyle w:val="apple-converted-space"/>
          <w:szCs w:val="20"/>
          <w:lang w:val="en-US"/>
        </w:rPr>
        <w:t> </w:t>
      </w:r>
      <w:r w:rsidRPr="00275F3D">
        <w:rPr>
          <w:lang w:val="en-US"/>
        </w:rPr>
        <w:t xml:space="preserve">of symptoms of the common cold after clinical inoculation, compared with placebo. </w:t>
      </w:r>
      <w:r w:rsidRPr="0013324D">
        <w:rPr>
          <w:lang w:val="en-US"/>
        </w:rPr>
        <w:t>Further prospective, appropriately powered clinical studies are required to confirm this finding.</w:t>
      </w:r>
    </w:p>
    <w:p w:rsidR="00975689" w:rsidRDefault="00975689" w:rsidP="00975689">
      <w:pPr>
        <w:pStyle w:val="Corpo"/>
        <w:rPr>
          <w:szCs w:val="17"/>
          <w:lang w:val="en-US"/>
        </w:rPr>
      </w:pPr>
      <w:r w:rsidRPr="00275F3D">
        <w:rPr>
          <w:szCs w:val="17"/>
          <w:lang w:val="en-US"/>
        </w:rPr>
        <w:t>PMID:</w:t>
      </w:r>
      <w:r w:rsidRPr="00275F3D">
        <w:rPr>
          <w:rStyle w:val="apple-converted-space"/>
          <w:szCs w:val="17"/>
          <w:lang w:val="en-US"/>
        </w:rPr>
        <w:t> </w:t>
      </w:r>
      <w:r w:rsidRPr="00275F3D">
        <w:rPr>
          <w:szCs w:val="17"/>
          <w:lang w:val="en-US"/>
        </w:rPr>
        <w:t>16678640</w:t>
      </w:r>
      <w:r w:rsidRPr="00275F3D">
        <w:rPr>
          <w:rStyle w:val="apple-converted-space"/>
          <w:szCs w:val="17"/>
          <w:lang w:val="en-US"/>
        </w:rPr>
        <w:t> </w:t>
      </w:r>
      <w:r w:rsidRPr="00275F3D">
        <w:rPr>
          <w:szCs w:val="17"/>
          <w:lang w:val="en-US"/>
        </w:rPr>
        <w:t>[PubMed - indexed for MEDLINE]</w:t>
      </w:r>
    </w:p>
    <w:p w:rsidR="00975689" w:rsidRDefault="00975689" w:rsidP="00975689">
      <w:pPr>
        <w:pStyle w:val="Corpo"/>
        <w:rPr>
          <w:szCs w:val="17"/>
          <w:lang w:val="en-US"/>
        </w:rPr>
      </w:pPr>
    </w:p>
    <w:p w:rsidR="00975689" w:rsidRPr="00FB028C" w:rsidRDefault="00975689" w:rsidP="00975689">
      <w:pPr>
        <w:pStyle w:val="Corpo"/>
        <w:rPr>
          <w:lang w:val="en-US"/>
        </w:rPr>
      </w:pPr>
      <w:r w:rsidRPr="00FB028C">
        <w:rPr>
          <w:lang w:val="en-US"/>
        </w:rPr>
        <w:t>Br J Clin Pharmacol. 2002 Oct;54(4):349-56.</w:t>
      </w:r>
    </w:p>
    <w:p w:rsidR="00975689" w:rsidRPr="00FB028C" w:rsidRDefault="00975689" w:rsidP="00975689">
      <w:pPr>
        <w:pStyle w:val="Corpo"/>
        <w:rPr>
          <w:b/>
          <w:lang w:val="en-US"/>
        </w:rPr>
      </w:pPr>
      <w:r w:rsidRPr="00FB028C">
        <w:rPr>
          <w:b/>
          <w:lang w:val="en-US"/>
        </w:rPr>
        <w:t>St John's wort (Hypericum perforatum): drug interactions and clinical outcomes.</w:t>
      </w:r>
    </w:p>
    <w:p w:rsidR="00975689" w:rsidRPr="00FB028C" w:rsidRDefault="00975689" w:rsidP="00975689">
      <w:pPr>
        <w:pStyle w:val="Corpo"/>
        <w:rPr>
          <w:lang w:val="en-US"/>
        </w:rPr>
      </w:pPr>
      <w:r w:rsidRPr="00FB028C">
        <w:rPr>
          <w:lang w:val="en-US"/>
        </w:rPr>
        <w:t>Henderson L1, Yue QY, Bergquist C, Gerden B, Arlett P.</w:t>
      </w:r>
    </w:p>
    <w:p w:rsidR="00975689" w:rsidRPr="00FB028C" w:rsidRDefault="00975689" w:rsidP="00975689">
      <w:pPr>
        <w:pStyle w:val="Corpo"/>
        <w:rPr>
          <w:lang w:val="en-US"/>
        </w:rPr>
      </w:pPr>
      <w:r w:rsidRPr="00FB028C">
        <w:rPr>
          <w:lang w:val="en-US"/>
        </w:rPr>
        <w:t>Author information</w:t>
      </w:r>
    </w:p>
    <w:p w:rsidR="00975689" w:rsidRPr="00FB028C" w:rsidRDefault="00975689" w:rsidP="00975689">
      <w:pPr>
        <w:pStyle w:val="Corpo"/>
        <w:rPr>
          <w:lang w:val="en-US"/>
        </w:rPr>
      </w:pPr>
      <w:r w:rsidRPr="00FB028C">
        <w:rPr>
          <w:lang w:val="en-US"/>
        </w:rPr>
        <w:t>Abstract</w:t>
      </w:r>
    </w:p>
    <w:p w:rsidR="00975689" w:rsidRPr="00FB028C" w:rsidRDefault="00975689" w:rsidP="00975689">
      <w:pPr>
        <w:pStyle w:val="Corpo"/>
        <w:rPr>
          <w:lang w:val="en-US"/>
        </w:rPr>
      </w:pPr>
      <w:r w:rsidRPr="00FB028C">
        <w:rPr>
          <w:lang w:val="en-US"/>
        </w:rPr>
        <w:t>AIMS:</w:t>
      </w:r>
    </w:p>
    <w:p w:rsidR="00975689" w:rsidRPr="00FB028C" w:rsidRDefault="00975689" w:rsidP="00975689">
      <w:pPr>
        <w:pStyle w:val="Corpo"/>
        <w:rPr>
          <w:lang w:val="en-US"/>
        </w:rPr>
      </w:pPr>
      <w:r w:rsidRPr="00FB028C">
        <w:rPr>
          <w:lang w:val="en-US"/>
        </w:rPr>
        <w:t>The aim of this work is to identify the medicines which interact with the herbal remedy St John's wort (SJW), and the mechanisms responsible.</w:t>
      </w:r>
    </w:p>
    <w:p w:rsidR="00975689" w:rsidRPr="00FB028C" w:rsidRDefault="00975689" w:rsidP="00975689">
      <w:pPr>
        <w:pStyle w:val="Corpo"/>
        <w:rPr>
          <w:lang w:val="en-US"/>
        </w:rPr>
      </w:pPr>
      <w:r w:rsidRPr="00FB028C">
        <w:rPr>
          <w:lang w:val="en-US"/>
        </w:rPr>
        <w:t>METHODS:</w:t>
      </w:r>
    </w:p>
    <w:p w:rsidR="00975689" w:rsidRPr="00FB028C" w:rsidRDefault="00975689" w:rsidP="00975689">
      <w:pPr>
        <w:pStyle w:val="Corpo"/>
        <w:rPr>
          <w:lang w:val="en-US"/>
        </w:rPr>
      </w:pPr>
      <w:r w:rsidRPr="00FB028C">
        <w:rPr>
          <w:lang w:val="en-US"/>
        </w:rPr>
        <w:t>A systematic review of all the available evidence, including worldwide published literature and spontaneous case reports provided by healthcare professionals and regulatory authorities within Europe has been undertaken.</w:t>
      </w:r>
    </w:p>
    <w:p w:rsidR="00975689" w:rsidRPr="00FB028C" w:rsidRDefault="00975689" w:rsidP="00975689">
      <w:pPr>
        <w:pStyle w:val="Corpo"/>
        <w:rPr>
          <w:lang w:val="en-US"/>
        </w:rPr>
      </w:pPr>
      <w:r w:rsidRPr="00FB028C">
        <w:rPr>
          <w:lang w:val="en-US"/>
        </w:rPr>
        <w:t>RESULTS:</w:t>
      </w:r>
    </w:p>
    <w:p w:rsidR="00975689" w:rsidRPr="00FB028C" w:rsidRDefault="00975689" w:rsidP="00975689">
      <w:pPr>
        <w:pStyle w:val="Corpo"/>
        <w:rPr>
          <w:lang w:val="en-US"/>
        </w:rPr>
      </w:pPr>
      <w:r w:rsidRPr="00FB028C">
        <w:rPr>
          <w:lang w:val="en-US"/>
        </w:rPr>
        <w:t>A number of clinically significant interactions have been identified with prescribed medicines including warfarin, phenprocoumon, cyclosporin, HIV protease inhibitors, theophylline, digoxin and oral contraceptives resulting in a decrease in concentration or effect of the medicines. These interactions are probably due to the induction of cytochrome P450 isoenzymes CYP3A4, CYP2C9, CYP1A2 and the transport protein P-glycoprotein by constituent(s) in SJW. The degree of induction is unpredictable due to factors such as the variable quality and quantity of constituent(s) in SJW preparations. In addition, possible pharmacodynamic interactions with selective serotonin re-uptake inhibitors and serotonin (5-HT(1d)) receptor-agonists such as triptans used to treat migraine were identified. These interactions are associated with an increased risk of adverse reactions.</w:t>
      </w:r>
    </w:p>
    <w:p w:rsidR="00975689" w:rsidRPr="00FB028C" w:rsidRDefault="00975689" w:rsidP="00975689">
      <w:pPr>
        <w:pStyle w:val="Corpo"/>
        <w:rPr>
          <w:lang w:val="en-US"/>
        </w:rPr>
      </w:pPr>
      <w:r w:rsidRPr="00FB028C">
        <w:rPr>
          <w:lang w:val="en-US"/>
        </w:rPr>
        <w:t>CONCLUSIONS:</w:t>
      </w:r>
    </w:p>
    <w:p w:rsidR="00975689" w:rsidRPr="00FB028C" w:rsidRDefault="00975689" w:rsidP="00975689">
      <w:pPr>
        <w:pStyle w:val="Corpo"/>
        <w:rPr>
          <w:lang w:val="en-US"/>
        </w:rPr>
      </w:pPr>
      <w:r w:rsidRPr="00FB028C">
        <w:rPr>
          <w:lang w:val="en-US"/>
        </w:rPr>
        <w:t>In Sweden and the UK the potential risks to patients were judged to be significant and therefore information about the interactions was provided to health care professionals and patients. The product information of the licensed medicines involved has been amended to reflect these newly identified interactions and SJW preparations have been voluntarily labelled with appropriate warnings.</w:t>
      </w:r>
    </w:p>
    <w:p w:rsidR="00975689" w:rsidRDefault="00975689" w:rsidP="00975689">
      <w:pPr>
        <w:pStyle w:val="Corpo"/>
        <w:rPr>
          <w:lang w:val="en-US"/>
        </w:rPr>
      </w:pPr>
      <w:r w:rsidRPr="00FB028C">
        <w:rPr>
          <w:lang w:val="en-US"/>
        </w:rPr>
        <w:t>PMID: 12392581 [PubMed - indexed for MEDLINE] PMCID: PMC1874438</w:t>
      </w:r>
    </w:p>
    <w:p w:rsidR="00975689" w:rsidRDefault="00975689" w:rsidP="00975689">
      <w:pPr>
        <w:pStyle w:val="Corpo"/>
        <w:rPr>
          <w:lang w:val="en-US"/>
        </w:rPr>
      </w:pPr>
    </w:p>
    <w:p w:rsidR="00975689" w:rsidRPr="00FB028C" w:rsidRDefault="00975689" w:rsidP="00975689">
      <w:pPr>
        <w:pStyle w:val="Corpo"/>
        <w:rPr>
          <w:lang w:val="en-US"/>
        </w:rPr>
      </w:pPr>
      <w:r w:rsidRPr="00FB028C">
        <w:rPr>
          <w:lang w:val="en-US"/>
        </w:rPr>
        <w:t>Evid Based Complement Alternat Med. 2014;2014:879396. doi: 10.1155/2014/879396. Epub 2014 Jun 30.</w:t>
      </w:r>
    </w:p>
    <w:p w:rsidR="00975689" w:rsidRPr="00FB028C" w:rsidRDefault="00975689" w:rsidP="00975689">
      <w:pPr>
        <w:pStyle w:val="Corpo"/>
        <w:rPr>
          <w:b/>
          <w:lang w:val="en-US"/>
        </w:rPr>
      </w:pPr>
      <w:r w:rsidRPr="00FB028C">
        <w:rPr>
          <w:b/>
          <w:lang w:val="en-US"/>
        </w:rPr>
        <w:lastRenderedPageBreak/>
        <w:t>Valerian: no evidence for clinically relevant interactions.</w:t>
      </w:r>
    </w:p>
    <w:p w:rsidR="00975689" w:rsidRPr="00FB028C" w:rsidRDefault="00975689" w:rsidP="00975689">
      <w:pPr>
        <w:pStyle w:val="Corpo"/>
        <w:rPr>
          <w:lang w:val="en-US"/>
        </w:rPr>
      </w:pPr>
      <w:r w:rsidRPr="00FB028C">
        <w:rPr>
          <w:lang w:val="en-US"/>
        </w:rPr>
        <w:t>Kelber O1, Nieber K2, Kraft K3.</w:t>
      </w:r>
    </w:p>
    <w:p w:rsidR="00975689" w:rsidRPr="00FB028C" w:rsidRDefault="00975689" w:rsidP="00975689">
      <w:pPr>
        <w:pStyle w:val="Corpo"/>
        <w:rPr>
          <w:lang w:val="en-US"/>
        </w:rPr>
      </w:pPr>
      <w:r w:rsidRPr="00FB028C">
        <w:rPr>
          <w:lang w:val="en-US"/>
        </w:rPr>
        <w:t>Author information</w:t>
      </w:r>
    </w:p>
    <w:p w:rsidR="00975689" w:rsidRPr="00FB028C" w:rsidRDefault="00975689" w:rsidP="00975689">
      <w:pPr>
        <w:pStyle w:val="Corpo"/>
        <w:rPr>
          <w:lang w:val="en-US"/>
        </w:rPr>
      </w:pPr>
      <w:r w:rsidRPr="00FB028C">
        <w:rPr>
          <w:lang w:val="en-US"/>
        </w:rPr>
        <w:t>Abstract</w:t>
      </w:r>
    </w:p>
    <w:p w:rsidR="00975689" w:rsidRPr="00FB028C" w:rsidRDefault="00975689" w:rsidP="00975689">
      <w:pPr>
        <w:pStyle w:val="Corpo"/>
        <w:rPr>
          <w:lang w:val="en-US"/>
        </w:rPr>
      </w:pPr>
      <w:r w:rsidRPr="00FB028C">
        <w:rPr>
          <w:lang w:val="en-US"/>
        </w:rPr>
        <w:t>In recent popular publications as well as in widely used information websites directed to cancer patients, valerian is claimed to have a potential of adverse interactions with anticancer drugs. This questions its use as a safe replacement for, for example, benzodiazepines. A review on the interaction potential of preparations from valerian root (Valeriana officinalis L. root) was therefore conducted. A data base search and search in a clinical drug interaction data base were conducted. Thereafter, a systematic assessment of publications was performed. Seven in vitro studies on six CYP 450 isoenzymes, on p-glycoprotein, and on two UGT isoenzymes were identified. However, the methodological assessment of these studies did not support their suitability for the prediction of clinically relevant interactions. In addition, clinical studies on various valerian preparations did not reveal any relevant interaction potential concerning CYP 1A2, 2D6, 2E1, and 3A4. Available animal and human pharmacodynamic studies did not verify any interaction potential. The interaction potential of valerian preparations therefore seems to be low and thereby without clinical relevance. We conclude that there is no specific evidence questioning their safety, also in cancer patients.</w:t>
      </w:r>
    </w:p>
    <w:p w:rsidR="00975689" w:rsidRDefault="00975689" w:rsidP="00975689">
      <w:pPr>
        <w:pStyle w:val="Corpo"/>
        <w:rPr>
          <w:lang w:val="en-US"/>
        </w:rPr>
      </w:pPr>
      <w:r w:rsidRPr="00FB028C">
        <w:rPr>
          <w:lang w:val="en-US"/>
        </w:rPr>
        <w:t>PMID: 25093031 [PubMed] PMCID: PMC4100259</w:t>
      </w:r>
    </w:p>
    <w:p w:rsidR="00975689" w:rsidRDefault="00975689" w:rsidP="00975689">
      <w:pPr>
        <w:pStyle w:val="Corpo"/>
        <w:rPr>
          <w:lang w:val="en-US"/>
        </w:rPr>
      </w:pPr>
    </w:p>
    <w:p w:rsidR="00975689" w:rsidRPr="00FB028C" w:rsidRDefault="00975689" w:rsidP="00975689">
      <w:pPr>
        <w:pStyle w:val="Corpo"/>
        <w:rPr>
          <w:lang w:val="en-US"/>
        </w:rPr>
      </w:pPr>
      <w:r w:rsidRPr="00FB028C">
        <w:rPr>
          <w:lang w:val="en-US"/>
        </w:rPr>
        <w:t>J Ethnopharmacol. 2004 Aug;93(2-3):153-60.</w:t>
      </w:r>
    </w:p>
    <w:p w:rsidR="00975689" w:rsidRPr="00FB028C" w:rsidRDefault="00975689" w:rsidP="00975689">
      <w:pPr>
        <w:pStyle w:val="Corpo"/>
        <w:rPr>
          <w:b/>
          <w:lang w:val="en-US"/>
        </w:rPr>
      </w:pPr>
      <w:r w:rsidRPr="00FB028C">
        <w:rPr>
          <w:b/>
          <w:lang w:val="en-US"/>
        </w:rPr>
        <w:t>Pharmacokinetic and pharmacodynamic drug interactions with Kava (Piper methysticum Forst. f.).</w:t>
      </w:r>
    </w:p>
    <w:p w:rsidR="00975689" w:rsidRPr="00FB028C" w:rsidRDefault="00975689" w:rsidP="00975689">
      <w:pPr>
        <w:pStyle w:val="Corpo"/>
        <w:rPr>
          <w:lang w:val="en-US"/>
        </w:rPr>
      </w:pPr>
      <w:r w:rsidRPr="00FB028C">
        <w:rPr>
          <w:lang w:val="en-US"/>
        </w:rPr>
        <w:t>Anke J1, Ramzan I.</w:t>
      </w:r>
    </w:p>
    <w:p w:rsidR="00975689" w:rsidRPr="00FB028C" w:rsidRDefault="00975689" w:rsidP="00975689">
      <w:pPr>
        <w:pStyle w:val="Corpo"/>
        <w:rPr>
          <w:lang w:val="en-US"/>
        </w:rPr>
      </w:pPr>
      <w:r w:rsidRPr="00FB028C">
        <w:rPr>
          <w:lang w:val="en-US"/>
        </w:rPr>
        <w:t>Author information</w:t>
      </w:r>
    </w:p>
    <w:p w:rsidR="00975689" w:rsidRPr="00FB028C" w:rsidRDefault="00975689" w:rsidP="00975689">
      <w:pPr>
        <w:pStyle w:val="Corpo"/>
        <w:rPr>
          <w:lang w:val="en-US"/>
        </w:rPr>
      </w:pPr>
      <w:r w:rsidRPr="00FB028C">
        <w:rPr>
          <w:lang w:val="en-US"/>
        </w:rPr>
        <w:t>Abstract</w:t>
      </w:r>
    </w:p>
    <w:p w:rsidR="00975689" w:rsidRPr="00FB028C" w:rsidRDefault="00975689" w:rsidP="00975689">
      <w:pPr>
        <w:pStyle w:val="Corpo"/>
        <w:rPr>
          <w:lang w:val="en-US"/>
        </w:rPr>
      </w:pPr>
      <w:r w:rsidRPr="00FB028C">
        <w:rPr>
          <w:lang w:val="en-US"/>
        </w:rPr>
        <w:t xml:space="preserve">Kava kava, a beverage or extract prepared from the rhizome of the kava plant (Piper methysticum Forst. f.), was used for many centuries as a traditional beverage in the Pacific Islands. During the past few decades, kava has also gained popularity in Western countries as well, due to its anxiolytic and sedative properties. However, in recent years, kava has been implicated in several liver failure cases which led to its ban in many countries and this has prompted wide discussion on its relative benefits and risks as a social beverage and a herbal remedy. Recently, it has been shown that several kavalactones, the assumed active principles of kava extracts, are potent inhibitors of several enzymes of the CYP 450 system (CYP1A2, 2C9, 2C19, 2D6, 3A4 and 4A9/11). This indicates that kava has a high potential for causing pharmacokinetic drug interactions with other herbal products or drugs, which are metabolised by the CYP 450 enzymes. In addition, several pharmacodynamic interactions have been postulated and indeed observed. Nevertheless, evidence of true pharmacokinetic and/or pharmacodynamic interactions remains unsubstantiated, and only few investigations of the potential of kava preparations to interact with specific drugs have been carried out. This review provides a critical overview of the existing data on interactions of kava with other drugs and concludes that there is an urgent need for further in vitro and in vivo investigations </w:t>
      </w:r>
      <w:r w:rsidRPr="00FB028C">
        <w:rPr>
          <w:lang w:val="en-US"/>
        </w:rPr>
        <w:lastRenderedPageBreak/>
        <w:t>to fully understand clinically significant interactions with kava that have the potential to cause adverse effects or toxicity in kava users.</w:t>
      </w:r>
    </w:p>
    <w:p w:rsidR="00975689" w:rsidRDefault="00975689" w:rsidP="00975689">
      <w:pPr>
        <w:pStyle w:val="Corpo"/>
        <w:rPr>
          <w:lang w:val="en-US"/>
        </w:rPr>
      </w:pPr>
      <w:r w:rsidRPr="00FB028C">
        <w:rPr>
          <w:lang w:val="en-US"/>
        </w:rPr>
        <w:t>PMID: 15234747 [PubMed - indexed for MEDLINE]</w:t>
      </w:r>
    </w:p>
    <w:p w:rsidR="00975689" w:rsidRDefault="00975689" w:rsidP="00975689">
      <w:pPr>
        <w:pStyle w:val="Corpo"/>
        <w:rPr>
          <w:lang w:val="en-US"/>
        </w:rPr>
      </w:pPr>
    </w:p>
    <w:p w:rsidR="00975689" w:rsidRPr="00FB028C" w:rsidRDefault="00975689" w:rsidP="00975689">
      <w:pPr>
        <w:pStyle w:val="Corpo"/>
        <w:rPr>
          <w:lang w:val="en-US"/>
        </w:rPr>
      </w:pPr>
      <w:r w:rsidRPr="00FB028C">
        <w:rPr>
          <w:lang w:val="en-US"/>
        </w:rPr>
        <w:t>Drugs. 2001;61(15):2163-75.</w:t>
      </w:r>
    </w:p>
    <w:p w:rsidR="00975689" w:rsidRPr="00FB028C" w:rsidRDefault="00975689" w:rsidP="00975689">
      <w:pPr>
        <w:pStyle w:val="Corpo"/>
        <w:rPr>
          <w:b/>
          <w:lang w:val="en-US"/>
        </w:rPr>
      </w:pPr>
      <w:r w:rsidRPr="00FB028C">
        <w:rPr>
          <w:b/>
          <w:lang w:val="en-US"/>
        </w:rPr>
        <w:t>Interactions between herbal medicines and prescribed drugs: a systematic review.</w:t>
      </w:r>
    </w:p>
    <w:p w:rsidR="00975689" w:rsidRPr="00FB028C" w:rsidRDefault="00975689" w:rsidP="00975689">
      <w:pPr>
        <w:pStyle w:val="Corpo"/>
        <w:rPr>
          <w:lang w:val="en-US"/>
        </w:rPr>
      </w:pPr>
      <w:r w:rsidRPr="00FB028C">
        <w:rPr>
          <w:lang w:val="en-US"/>
        </w:rPr>
        <w:t>Izzo AA1, Ernst E.</w:t>
      </w:r>
    </w:p>
    <w:p w:rsidR="00975689" w:rsidRPr="00FB028C" w:rsidRDefault="00975689" w:rsidP="00975689">
      <w:pPr>
        <w:pStyle w:val="Corpo"/>
        <w:rPr>
          <w:lang w:val="en-US"/>
        </w:rPr>
      </w:pPr>
      <w:r w:rsidRPr="00FB028C">
        <w:rPr>
          <w:lang w:val="en-US"/>
        </w:rPr>
        <w:t>Author information</w:t>
      </w:r>
    </w:p>
    <w:p w:rsidR="00975689" w:rsidRPr="00FB028C" w:rsidRDefault="00975689" w:rsidP="00975689">
      <w:pPr>
        <w:pStyle w:val="Corpo"/>
        <w:rPr>
          <w:lang w:val="en-US"/>
        </w:rPr>
      </w:pPr>
      <w:r w:rsidRPr="00FB028C">
        <w:rPr>
          <w:lang w:val="en-US"/>
        </w:rPr>
        <w:t>Abstract</w:t>
      </w:r>
    </w:p>
    <w:p w:rsidR="00975689" w:rsidRPr="00FB028C" w:rsidRDefault="00975689" w:rsidP="00975689">
      <w:pPr>
        <w:pStyle w:val="Corpo"/>
        <w:rPr>
          <w:lang w:val="en-US"/>
        </w:rPr>
      </w:pPr>
      <w:r w:rsidRPr="00FB028C">
        <w:rPr>
          <w:lang w:val="en-US"/>
        </w:rPr>
        <w:t>Despite the widespread use of herbal medicines, documented herb-drug interactions are sparse. We have reviewed the literature to determine the possible interactions between the seven top-selling herbal medicines (ginkgo, St John's wort, ginseng, garlic, echinacea, saw palmetto and kava) and prescribed drugs. Literature searches were performed using the following databases: Medline (via Pubmed), Cochrane Library, Embase and phytobase (all from their inception to July 2000). All data relating to herb-drug interactions were included regardless of whether they were based on case reports, case series, clinical trials or other types of investigation in humans. In vitro experiments were excluded. Data were extracted by the first author and validated by the second author. 41 case reports or case series and 17 clinical trials were identified. The results indicate that St John's wort (Hypericum perforatum) lowers blood concentrations of cyclosporin, amitriptyline, digoxin, indinavir, warfarin, phenprocoumon and theophylline; furthermore it causes intermenstrual bleeding, delirium or mild serotonin syndrome, respectively, when used concomitantly with oral contraceptives (ethinylestradiol/desogestrel), loperamide or selective serotonin-reuptake inhibitors (sertaline, paroxetine, nefazodone). Ginkgo (Ginkgo biloba) interactions include bleeding when combined with warfarin, raised blood pressure when combined with a thiazide diuretic and coma when combined with trazodone. Ginseng (Panax ginseng) lowers blood concentrations of alcohol and warfarin, and induces mania if used concomitantly with phenelzine. Garlic (Allium sativum) changes pharmacokinetic variables of paracetamol, decreases blood concentrations of warfarin and produces hypoglycaemia when taken with chlorpropamide. Kava (Piper methysticum) increases 'off' periods in Parkinson patients taking levodopa and can cause a semicomatose state when given concomitantly with alprazolam. No interactions were found for echinacea (Echinacea angustifolia, E. purpurea, E. pallida) and saw palmetto (Serenoa repens). In conclusion, interactions between herbal medicines and synthetic drugs exist and can have serious clinical consequences. Healthcare professionals should ask their patients about the use of herbal products and consider the possibility of herb-drug interactions.</w:t>
      </w:r>
    </w:p>
    <w:p w:rsidR="00975689" w:rsidRDefault="00975689" w:rsidP="00975689">
      <w:pPr>
        <w:pStyle w:val="Corpo"/>
        <w:rPr>
          <w:lang w:val="en-US"/>
        </w:rPr>
      </w:pPr>
      <w:r w:rsidRPr="00FB028C">
        <w:rPr>
          <w:lang w:val="en-US"/>
        </w:rPr>
        <w:t>PMID: 11772128 [PubMed - indexed for MEDLINE]</w:t>
      </w:r>
    </w:p>
    <w:p w:rsidR="00975689" w:rsidRDefault="00975689" w:rsidP="00975689">
      <w:pPr>
        <w:pStyle w:val="Corpo"/>
        <w:rPr>
          <w:lang w:val="en-US"/>
        </w:rPr>
      </w:pPr>
    </w:p>
    <w:p w:rsidR="00975689" w:rsidRPr="00FB028C" w:rsidRDefault="00975689" w:rsidP="00975689">
      <w:pPr>
        <w:pStyle w:val="Corpo"/>
        <w:rPr>
          <w:lang w:val="en-US"/>
        </w:rPr>
      </w:pPr>
      <w:r w:rsidRPr="00FB028C">
        <w:rPr>
          <w:lang w:val="en-US"/>
        </w:rPr>
        <w:t>Pharmacopsychiatry. 2012 Nov;45(7):275-8. doi: 10.1055/s-0032-1306348. Epub 2012 May 16.</w:t>
      </w:r>
    </w:p>
    <w:p w:rsidR="00975689" w:rsidRPr="00FB028C" w:rsidRDefault="00975689" w:rsidP="00975689">
      <w:pPr>
        <w:pStyle w:val="Corpo"/>
        <w:rPr>
          <w:b/>
          <w:lang w:val="en-US"/>
        </w:rPr>
      </w:pPr>
      <w:r w:rsidRPr="00FB028C">
        <w:rPr>
          <w:b/>
          <w:lang w:val="en-US"/>
        </w:rPr>
        <w:t>St John's wort (Hypericum perforatum) versus sertraline and placebo in major depressive disorder: continuation data from a 26-week RCT.</w:t>
      </w:r>
    </w:p>
    <w:p w:rsidR="00975689" w:rsidRPr="00FB028C" w:rsidRDefault="00975689" w:rsidP="00975689">
      <w:pPr>
        <w:pStyle w:val="Corpo"/>
        <w:rPr>
          <w:lang w:val="en-US"/>
        </w:rPr>
      </w:pPr>
      <w:r w:rsidRPr="00FB028C">
        <w:rPr>
          <w:lang w:val="en-US"/>
        </w:rPr>
        <w:t>Sarris J1, Fava M, Schweitzer I, Mischoulon D.</w:t>
      </w:r>
    </w:p>
    <w:p w:rsidR="00975689" w:rsidRPr="00FB028C" w:rsidRDefault="00975689" w:rsidP="00975689">
      <w:pPr>
        <w:pStyle w:val="Corpo"/>
        <w:rPr>
          <w:lang w:val="en-US"/>
        </w:rPr>
      </w:pPr>
      <w:r w:rsidRPr="00FB028C">
        <w:rPr>
          <w:lang w:val="en-US"/>
        </w:rPr>
        <w:lastRenderedPageBreak/>
        <w:t>Author information</w:t>
      </w:r>
    </w:p>
    <w:p w:rsidR="00975689" w:rsidRPr="00FB028C" w:rsidRDefault="00975689" w:rsidP="00975689">
      <w:pPr>
        <w:pStyle w:val="Corpo"/>
        <w:rPr>
          <w:lang w:val="en-US"/>
        </w:rPr>
      </w:pPr>
      <w:r w:rsidRPr="00FB028C">
        <w:rPr>
          <w:lang w:val="en-US"/>
        </w:rPr>
        <w:t>Abstract</w:t>
      </w:r>
    </w:p>
    <w:p w:rsidR="00975689" w:rsidRPr="00FB028C" w:rsidRDefault="00975689" w:rsidP="00975689">
      <w:pPr>
        <w:pStyle w:val="Corpo"/>
        <w:rPr>
          <w:lang w:val="en-US"/>
        </w:rPr>
      </w:pPr>
      <w:r w:rsidRPr="00FB028C">
        <w:rPr>
          <w:lang w:val="en-US"/>
        </w:rPr>
        <w:t>Hypericum perforatum (St John's wort: SJW) has been extensively studied as an antidepressant in short-term trials, however little research has been conducted on longer-term efficacy.Our objective was to analyze the continuation data from a 26-week randomized, double-blind, controlled study of SJW (LI-160) vs. sertraline and placebo in major depressive disorder. 124 participant "responders" continued treatment after week 8, until week 26. They continued randomly assigned SJW (900-1</w:t>
      </w:r>
      <w:r w:rsidRPr="00FB028C">
        <w:rPr>
          <w:rFonts w:ascii="Cambria Math" w:hAnsi="Cambria Math" w:cs="Cambria Math"/>
          <w:lang w:val="en-US"/>
        </w:rPr>
        <w:t> </w:t>
      </w:r>
      <w:r w:rsidRPr="00FB028C">
        <w:rPr>
          <w:rFonts w:ascii="Arial" w:hAnsi="Arial" w:cs="Arial"/>
          <w:lang w:val="en-US"/>
        </w:rPr>
        <w:t>500</w:t>
      </w:r>
      <w:r w:rsidRPr="00FB028C">
        <w:rPr>
          <w:rFonts w:ascii="Cambria Math" w:hAnsi="Cambria Math" w:cs="Cambria Math"/>
          <w:lang w:val="en-US"/>
        </w:rPr>
        <w:t> </w:t>
      </w:r>
      <w:r w:rsidRPr="00FB028C">
        <w:rPr>
          <w:rFonts w:ascii="Arial" w:hAnsi="Arial" w:cs="Arial"/>
          <w:lang w:val="en-US"/>
        </w:rPr>
        <w:t>mg), sertraline (50-100</w:t>
      </w:r>
      <w:r w:rsidRPr="00FB028C">
        <w:rPr>
          <w:rFonts w:ascii="Cambria Math" w:hAnsi="Cambria Math" w:cs="Cambria Math"/>
          <w:lang w:val="en-US"/>
        </w:rPr>
        <w:t> </w:t>
      </w:r>
      <w:r w:rsidRPr="00FB028C">
        <w:rPr>
          <w:rFonts w:ascii="Arial" w:hAnsi="Arial" w:cs="Arial"/>
          <w:lang w:val="en-US"/>
        </w:rPr>
        <w:t>mg) or matching placebo.At week 26, on the primary outcome, Hamilton depression rating scale (HAM-D) completer scores were:</w:t>
      </w:r>
      <w:r w:rsidRPr="00FB028C">
        <w:rPr>
          <w:lang w:val="en-US"/>
        </w:rPr>
        <w:t xml:space="preserve"> SJW (6.6±4.5), sertraline (7.1±5.4) and placebo (5.7±5.4) with a significant effect for time (p=0.036). Comparisons between all treatments were however non-significant (p=0.61). This effect was mirrored on the other outcomes: the BDI, CGI-severity, CGI-improvement, and on intention-to-treat analyses.While the continuation data revealed an equivocal outcome between treatments at week 26, both SJW and sertraline were still therapeutically effective, with a pronounced "placebo-effect" impeding a significant result at week 26.</w:t>
      </w:r>
    </w:p>
    <w:p w:rsidR="00975689" w:rsidRPr="00FB028C" w:rsidRDefault="00975689" w:rsidP="00975689">
      <w:pPr>
        <w:pStyle w:val="Corpo"/>
        <w:rPr>
          <w:lang w:val="en-US"/>
        </w:rPr>
      </w:pPr>
      <w:r w:rsidRPr="00FB028C">
        <w:rPr>
          <w:lang w:val="en-US"/>
        </w:rPr>
        <w:t>© Georg Thieme Verlag KG Stuttgart • New York.</w:t>
      </w:r>
    </w:p>
    <w:p w:rsidR="00975689" w:rsidRDefault="00975689" w:rsidP="00975689">
      <w:pPr>
        <w:pStyle w:val="Corpo"/>
        <w:rPr>
          <w:lang w:val="en-US"/>
        </w:rPr>
      </w:pPr>
      <w:r w:rsidRPr="00FB028C">
        <w:rPr>
          <w:lang w:val="en-US"/>
        </w:rPr>
        <w:t>PMID: 22592504 [PubMed - indexed for MEDLINE]</w:t>
      </w:r>
    </w:p>
    <w:p w:rsidR="00975689" w:rsidRDefault="00975689" w:rsidP="00975689">
      <w:pPr>
        <w:pStyle w:val="Corpo"/>
        <w:rPr>
          <w:lang w:val="en-US"/>
        </w:rPr>
      </w:pPr>
    </w:p>
    <w:p w:rsidR="00975689" w:rsidRPr="00FB028C" w:rsidRDefault="00975689" w:rsidP="00975689">
      <w:pPr>
        <w:spacing w:after="0" w:line="240" w:lineRule="auto"/>
        <w:jc w:val="both"/>
        <w:rPr>
          <w:rFonts w:ascii="Futura Lt BT" w:eastAsia="Calibri" w:hAnsi="Futura Lt BT" w:cs="Times New Roman"/>
          <w:color w:val="808080"/>
          <w:lang w:val="en-US"/>
        </w:rPr>
      </w:pPr>
      <w:r w:rsidRPr="00FB028C">
        <w:rPr>
          <w:rFonts w:ascii="Futura Lt BT" w:eastAsia="Calibri" w:hAnsi="Futura Lt BT" w:cs="Times New Roman"/>
          <w:color w:val="808080"/>
          <w:lang w:val="en-US"/>
        </w:rPr>
        <w:t>J Child Adolesc Psychopharmacol. 2005 Apr;15(2):293-301.</w:t>
      </w:r>
    </w:p>
    <w:p w:rsidR="00975689" w:rsidRPr="00FB028C" w:rsidRDefault="00975689" w:rsidP="00975689">
      <w:pPr>
        <w:spacing w:after="0" w:line="240" w:lineRule="auto"/>
        <w:jc w:val="both"/>
        <w:rPr>
          <w:rFonts w:ascii="Futura Lt BT" w:eastAsia="Calibri" w:hAnsi="Futura Lt BT" w:cs="Times New Roman"/>
          <w:b/>
          <w:color w:val="808080"/>
          <w:lang w:val="en-US"/>
        </w:rPr>
      </w:pPr>
      <w:r w:rsidRPr="00FB028C">
        <w:rPr>
          <w:rFonts w:ascii="Futura Lt BT" w:eastAsia="Calibri" w:hAnsi="Futura Lt BT" w:cs="Times New Roman"/>
          <w:b/>
          <w:color w:val="808080"/>
          <w:lang w:val="en-US"/>
        </w:rPr>
        <w:t>Open-label pilot study of St. John's wort in adolescent depression.</w:t>
      </w:r>
    </w:p>
    <w:p w:rsidR="00975689" w:rsidRPr="00FB028C" w:rsidRDefault="00975689" w:rsidP="00975689">
      <w:pPr>
        <w:spacing w:after="0" w:line="240" w:lineRule="auto"/>
        <w:jc w:val="both"/>
        <w:rPr>
          <w:rFonts w:ascii="Futura Lt BT" w:eastAsia="Calibri" w:hAnsi="Futura Lt BT" w:cs="Times New Roman"/>
          <w:color w:val="808080"/>
          <w:lang w:val="en-US"/>
        </w:rPr>
      </w:pPr>
      <w:r w:rsidRPr="00FB028C">
        <w:rPr>
          <w:rFonts w:ascii="Futura Lt BT" w:eastAsia="Calibri" w:hAnsi="Futura Lt BT" w:cs="Times New Roman"/>
          <w:color w:val="808080"/>
          <w:lang w:val="en-US"/>
        </w:rPr>
        <w:t>Simeon J1, Nixon MK, Milin R, Jovanovic R, Walker S.</w:t>
      </w:r>
    </w:p>
    <w:p w:rsidR="00975689" w:rsidRPr="00FB028C" w:rsidRDefault="00975689" w:rsidP="00975689">
      <w:pPr>
        <w:spacing w:after="0" w:line="240" w:lineRule="auto"/>
        <w:jc w:val="both"/>
        <w:rPr>
          <w:rFonts w:ascii="Futura Lt BT" w:eastAsia="Calibri" w:hAnsi="Futura Lt BT" w:cs="Times New Roman"/>
          <w:color w:val="808080"/>
          <w:lang w:val="en-US"/>
        </w:rPr>
      </w:pPr>
      <w:r w:rsidRPr="00FB028C">
        <w:rPr>
          <w:rFonts w:ascii="Futura Lt BT" w:eastAsia="Calibri" w:hAnsi="Futura Lt BT" w:cs="Times New Roman"/>
          <w:color w:val="808080"/>
          <w:lang w:val="en-US"/>
        </w:rPr>
        <w:t>Author information</w:t>
      </w:r>
    </w:p>
    <w:p w:rsidR="00975689" w:rsidRPr="00FB028C" w:rsidRDefault="00975689" w:rsidP="00975689">
      <w:pPr>
        <w:spacing w:after="0" w:line="240" w:lineRule="auto"/>
        <w:jc w:val="both"/>
        <w:rPr>
          <w:rFonts w:ascii="Futura Lt BT" w:eastAsia="Calibri" w:hAnsi="Futura Lt BT" w:cs="Times New Roman"/>
          <w:color w:val="808080"/>
          <w:lang w:val="en-US"/>
        </w:rPr>
      </w:pPr>
      <w:r w:rsidRPr="00FB028C">
        <w:rPr>
          <w:rFonts w:ascii="Futura Lt BT" w:eastAsia="Calibri" w:hAnsi="Futura Lt BT" w:cs="Times New Roman"/>
          <w:color w:val="808080"/>
          <w:lang w:val="en-US"/>
        </w:rPr>
        <w:t>Abstract</w:t>
      </w:r>
    </w:p>
    <w:p w:rsidR="00975689" w:rsidRPr="00FB028C" w:rsidRDefault="00975689" w:rsidP="00975689">
      <w:pPr>
        <w:spacing w:after="0" w:line="240" w:lineRule="auto"/>
        <w:jc w:val="both"/>
        <w:rPr>
          <w:rFonts w:ascii="Futura Lt BT" w:eastAsia="Calibri" w:hAnsi="Futura Lt BT" w:cs="Times New Roman"/>
          <w:color w:val="808080"/>
          <w:lang w:val="en-US"/>
        </w:rPr>
      </w:pPr>
      <w:r w:rsidRPr="00FB028C">
        <w:rPr>
          <w:rFonts w:ascii="Futura Lt BT" w:eastAsia="Calibri" w:hAnsi="Futura Lt BT" w:cs="Times New Roman"/>
          <w:color w:val="808080"/>
          <w:lang w:val="en-US"/>
        </w:rPr>
        <w:t>AIM:</w:t>
      </w:r>
    </w:p>
    <w:p w:rsidR="00975689" w:rsidRPr="00FB028C" w:rsidRDefault="00975689" w:rsidP="00975689">
      <w:pPr>
        <w:spacing w:after="0" w:line="240" w:lineRule="auto"/>
        <w:jc w:val="both"/>
        <w:rPr>
          <w:rFonts w:ascii="Futura Lt BT" w:eastAsia="Calibri" w:hAnsi="Futura Lt BT" w:cs="Times New Roman"/>
          <w:color w:val="808080"/>
          <w:lang w:val="en-US"/>
        </w:rPr>
      </w:pPr>
      <w:r w:rsidRPr="00FB028C">
        <w:rPr>
          <w:rFonts w:ascii="Futura Lt BT" w:eastAsia="Calibri" w:hAnsi="Futura Lt BT" w:cs="Times New Roman"/>
          <w:color w:val="808080"/>
          <w:lang w:val="en-US"/>
        </w:rPr>
        <w:t>Clinical experience suggests the use of alternative remedies, such as St. John's Wort (SJW), in adolescents with affective disorders is increasing. In view of the paucity of documented, well-established, and safe antidepressant medications for children and adolescents, it was important to investigate the potential usefulness of SJW in adolescents with major depressive disorders (MDD).</w:t>
      </w:r>
    </w:p>
    <w:p w:rsidR="00975689" w:rsidRPr="00FB028C" w:rsidRDefault="00975689" w:rsidP="00975689">
      <w:pPr>
        <w:spacing w:after="0" w:line="240" w:lineRule="auto"/>
        <w:jc w:val="both"/>
        <w:rPr>
          <w:rFonts w:ascii="Futura Lt BT" w:eastAsia="Calibri" w:hAnsi="Futura Lt BT" w:cs="Times New Roman"/>
          <w:color w:val="808080"/>
          <w:lang w:val="en-US"/>
        </w:rPr>
      </w:pPr>
      <w:r w:rsidRPr="00FB028C">
        <w:rPr>
          <w:rFonts w:ascii="Futura Lt BT" w:eastAsia="Calibri" w:hAnsi="Futura Lt BT" w:cs="Times New Roman"/>
          <w:color w:val="808080"/>
          <w:lang w:val="en-US"/>
        </w:rPr>
        <w:t>METHODS AND RESULTS:</w:t>
      </w:r>
    </w:p>
    <w:p w:rsidR="00975689" w:rsidRPr="00FB028C" w:rsidRDefault="00975689" w:rsidP="00975689">
      <w:pPr>
        <w:spacing w:after="0" w:line="240" w:lineRule="auto"/>
        <w:jc w:val="both"/>
        <w:rPr>
          <w:rFonts w:ascii="Futura Lt BT" w:eastAsia="Calibri" w:hAnsi="Futura Lt BT" w:cs="Times New Roman"/>
          <w:color w:val="808080"/>
          <w:lang w:val="en-US"/>
        </w:rPr>
      </w:pPr>
      <w:r w:rsidRPr="00FB028C">
        <w:rPr>
          <w:rFonts w:ascii="Futura Lt BT" w:eastAsia="Calibri" w:hAnsi="Futura Lt BT" w:cs="Times New Roman"/>
          <w:color w:val="808080"/>
          <w:lang w:val="en-US"/>
        </w:rPr>
        <w:t>An 8-week, open-label study evaluated the potential efficacy and safety of SJW (300 mg TID) in adolescents with MDD. Twenty-six patients, 12-17 years of age (mean age, 14.8 years) were enrolled in the study. Of the 11 patients who completed the study, 9 patients (82%) showed significant clinical improvement based on Clinical Global Improvement (CGI) change scores (treatment response was indicated by a clinical improvement rating of either very much improved or much improved at the final visit). Of the 15 patients (58%) who did not complete the study, 8 patients were noncompliant and 7 patients were discontinued because of persisting or worsening depression. Of the 8 noncompliant patients, at week 8, 2 patients (25%) remained unchanged, 1 patient (12.5%) was minimally improved, 4 patients (75%) were much improved, and 1 patient (12.5%) was very much improved, based on the CGI change score.</w:t>
      </w:r>
    </w:p>
    <w:p w:rsidR="00975689" w:rsidRPr="00FB028C" w:rsidRDefault="00975689" w:rsidP="00975689">
      <w:pPr>
        <w:spacing w:after="0" w:line="240" w:lineRule="auto"/>
        <w:jc w:val="both"/>
        <w:rPr>
          <w:rFonts w:ascii="Futura Lt BT" w:eastAsia="Calibri" w:hAnsi="Futura Lt BT" w:cs="Times New Roman"/>
          <w:color w:val="808080"/>
          <w:lang w:val="en-US"/>
        </w:rPr>
      </w:pPr>
      <w:r w:rsidRPr="00FB028C">
        <w:rPr>
          <w:rFonts w:ascii="Futura Lt BT" w:eastAsia="Calibri" w:hAnsi="Futura Lt BT" w:cs="Times New Roman"/>
          <w:color w:val="808080"/>
          <w:lang w:val="en-US"/>
        </w:rPr>
        <w:t>CONCLUSION:</w:t>
      </w:r>
    </w:p>
    <w:p w:rsidR="00975689" w:rsidRPr="00FB028C" w:rsidRDefault="00975689" w:rsidP="00975689">
      <w:pPr>
        <w:spacing w:after="0" w:line="240" w:lineRule="auto"/>
        <w:jc w:val="both"/>
        <w:rPr>
          <w:rFonts w:ascii="Futura Lt BT" w:eastAsia="Calibri" w:hAnsi="Futura Lt BT" w:cs="Times New Roman"/>
          <w:color w:val="808080"/>
          <w:lang w:val="en-US"/>
        </w:rPr>
      </w:pPr>
      <w:r w:rsidRPr="00FB028C">
        <w:rPr>
          <w:rFonts w:ascii="Futura Lt BT" w:eastAsia="Calibri" w:hAnsi="Futura Lt BT" w:cs="Times New Roman"/>
          <w:color w:val="808080"/>
          <w:lang w:val="en-US"/>
        </w:rPr>
        <w:lastRenderedPageBreak/>
        <w:t>Preliminary findings suggest that SJW is well tolerated and may be clinically effective in the treatment of some adolescents with mild depression. Controlled trials of SJW in adolescents with MDD are suggested.</w:t>
      </w:r>
    </w:p>
    <w:p w:rsidR="00975689" w:rsidRPr="00FB028C" w:rsidRDefault="00975689" w:rsidP="00975689">
      <w:pPr>
        <w:spacing w:after="0" w:line="240" w:lineRule="auto"/>
        <w:jc w:val="both"/>
        <w:rPr>
          <w:rFonts w:ascii="Futura Lt BT" w:eastAsia="Calibri" w:hAnsi="Futura Lt BT" w:cs="Times New Roman"/>
          <w:color w:val="808080"/>
          <w:lang w:val="en-US"/>
        </w:rPr>
      </w:pPr>
      <w:r w:rsidRPr="00FB028C">
        <w:rPr>
          <w:rFonts w:ascii="Futura Lt BT" w:eastAsia="Calibri" w:hAnsi="Futura Lt BT" w:cs="Times New Roman"/>
          <w:color w:val="808080"/>
          <w:lang w:val="en-US"/>
        </w:rPr>
        <w:t>PMID: 15910213 [PubMed - indexed for MEDLINE]</w:t>
      </w:r>
    </w:p>
    <w:p w:rsidR="00975689" w:rsidRDefault="00975689" w:rsidP="00975689">
      <w:pPr>
        <w:pStyle w:val="Corpo"/>
        <w:rPr>
          <w:lang w:val="en-US"/>
        </w:rPr>
      </w:pPr>
    </w:p>
    <w:p w:rsidR="00975689" w:rsidRPr="00FB028C" w:rsidRDefault="00975689" w:rsidP="00975689">
      <w:pPr>
        <w:pStyle w:val="Corpo"/>
      </w:pPr>
      <w:r w:rsidRPr="00FB028C">
        <w:t>Menopause. 2011 Sep;18(9):951-5. doi: 10.1097/gme.0b013e31820e9acf.</w:t>
      </w:r>
    </w:p>
    <w:p w:rsidR="00975689" w:rsidRPr="00FB028C" w:rsidRDefault="00975689" w:rsidP="00975689">
      <w:pPr>
        <w:pStyle w:val="Corpo"/>
        <w:rPr>
          <w:b/>
          <w:lang w:val="en-US"/>
        </w:rPr>
      </w:pPr>
      <w:r w:rsidRPr="00FB028C">
        <w:rPr>
          <w:b/>
          <w:lang w:val="en-US"/>
        </w:rPr>
        <w:t>Effect of valerian on sleep quality in postmenopausal women: a randomized placebo-controlled clinical trial.</w:t>
      </w:r>
    </w:p>
    <w:p w:rsidR="00975689" w:rsidRPr="00FB028C" w:rsidRDefault="00975689" w:rsidP="00975689">
      <w:pPr>
        <w:pStyle w:val="Corpo"/>
      </w:pPr>
      <w:r w:rsidRPr="00FB028C">
        <w:t>Taavoni S1, Ekbatani N, Kashaniyan M, Haghani H.</w:t>
      </w:r>
    </w:p>
    <w:p w:rsidR="00975689" w:rsidRPr="00FB028C" w:rsidRDefault="00975689" w:rsidP="00975689">
      <w:pPr>
        <w:pStyle w:val="Corpo"/>
        <w:rPr>
          <w:lang w:val="en-US"/>
        </w:rPr>
      </w:pPr>
      <w:r w:rsidRPr="00FB028C">
        <w:rPr>
          <w:lang w:val="en-US"/>
        </w:rPr>
        <w:t>Author information</w:t>
      </w:r>
    </w:p>
    <w:p w:rsidR="00975689" w:rsidRPr="00FB028C" w:rsidRDefault="00975689" w:rsidP="00975689">
      <w:pPr>
        <w:pStyle w:val="Corpo"/>
        <w:rPr>
          <w:lang w:val="en-US"/>
        </w:rPr>
      </w:pPr>
      <w:r w:rsidRPr="00FB028C">
        <w:rPr>
          <w:lang w:val="en-US"/>
        </w:rPr>
        <w:t>Abstract</w:t>
      </w:r>
    </w:p>
    <w:p w:rsidR="00975689" w:rsidRPr="00FB028C" w:rsidRDefault="00975689" w:rsidP="00975689">
      <w:pPr>
        <w:pStyle w:val="Corpo"/>
        <w:rPr>
          <w:lang w:val="en-US"/>
        </w:rPr>
      </w:pPr>
      <w:r w:rsidRPr="00FB028C">
        <w:rPr>
          <w:lang w:val="en-US"/>
        </w:rPr>
        <w:t>OBJECTIVE:</w:t>
      </w:r>
    </w:p>
    <w:p w:rsidR="00975689" w:rsidRPr="00FB028C" w:rsidRDefault="00975689" w:rsidP="00975689">
      <w:pPr>
        <w:pStyle w:val="Corpo"/>
        <w:rPr>
          <w:lang w:val="en-US"/>
        </w:rPr>
      </w:pPr>
      <w:r w:rsidRPr="00FB028C">
        <w:rPr>
          <w:lang w:val="en-US"/>
        </w:rPr>
        <w:t>Sleep disturbances reduce the quality of life. About 50% of postmenopausal women experience sleep disturbances such as insomnia. Complementary and alternative medical therapies may be useful for the management of sleep disturbances among postmenopausal women. The aim of the present study was to evaluate the effects of valerian extract taken nightly on the improvement of sleep quality in postmenopausal women experiencing insomnia.</w:t>
      </w:r>
    </w:p>
    <w:p w:rsidR="00975689" w:rsidRPr="00FB028C" w:rsidRDefault="00975689" w:rsidP="00975689">
      <w:pPr>
        <w:pStyle w:val="Corpo"/>
        <w:rPr>
          <w:lang w:val="en-US"/>
        </w:rPr>
      </w:pPr>
      <w:r w:rsidRPr="00FB028C">
        <w:rPr>
          <w:lang w:val="en-US"/>
        </w:rPr>
        <w:t>METHODS:</w:t>
      </w:r>
    </w:p>
    <w:p w:rsidR="00975689" w:rsidRPr="00FB028C" w:rsidRDefault="00975689" w:rsidP="00975689">
      <w:pPr>
        <w:pStyle w:val="Corpo"/>
        <w:rPr>
          <w:lang w:val="en-US"/>
        </w:rPr>
      </w:pPr>
      <w:r w:rsidRPr="00FB028C">
        <w:rPr>
          <w:lang w:val="en-US"/>
        </w:rPr>
        <w:t>A randomized, triple-blind, controlled trial design was used for this study. Participants consisted of 100 postmenopausal women aged 50 to 60 years who were experiencing insomnia. A demographic data form and the Pittsburgh Sleep Quality Index were used to collect data. The women were randomly divided into two groups. Each group received either 530 mg of concentrated valerian extract or a placebo twice a day for 4 weeks. Descriptive and inferential statistics were used to analyze the data.</w:t>
      </w:r>
    </w:p>
    <w:p w:rsidR="00975689" w:rsidRPr="00FB028C" w:rsidRDefault="00975689" w:rsidP="00975689">
      <w:pPr>
        <w:pStyle w:val="Corpo"/>
        <w:rPr>
          <w:lang w:val="en-US"/>
        </w:rPr>
      </w:pPr>
      <w:r w:rsidRPr="00FB028C">
        <w:rPr>
          <w:lang w:val="en-US"/>
        </w:rPr>
        <w:t>RESULTS:</w:t>
      </w:r>
    </w:p>
    <w:p w:rsidR="00975689" w:rsidRPr="00FB028C" w:rsidRDefault="00975689" w:rsidP="00975689">
      <w:pPr>
        <w:pStyle w:val="Corpo"/>
        <w:rPr>
          <w:lang w:val="en-US"/>
        </w:rPr>
      </w:pPr>
      <w:r w:rsidRPr="00FB028C">
        <w:rPr>
          <w:lang w:val="en-US"/>
        </w:rPr>
        <w:t>A statistically significant change was reported in the quality of sleep of the intervention group in comparison with the placebo group (P &lt; 0.001). Also, 30% of the participants in the intervention group and 4% in the placebo group showed an improvement in the quality of sleep (P &lt; 0.001).</w:t>
      </w:r>
    </w:p>
    <w:p w:rsidR="00975689" w:rsidRPr="00FB028C" w:rsidRDefault="00975689" w:rsidP="00975689">
      <w:pPr>
        <w:pStyle w:val="Corpo"/>
        <w:rPr>
          <w:lang w:val="en-US"/>
        </w:rPr>
      </w:pPr>
      <w:r w:rsidRPr="00FB028C">
        <w:rPr>
          <w:lang w:val="en-US"/>
        </w:rPr>
        <w:t>CONCLUSIONS:</w:t>
      </w:r>
    </w:p>
    <w:p w:rsidR="00975689" w:rsidRPr="00FB028C" w:rsidRDefault="00975689" w:rsidP="00975689">
      <w:pPr>
        <w:pStyle w:val="Corpo"/>
        <w:rPr>
          <w:lang w:val="en-US"/>
        </w:rPr>
      </w:pPr>
      <w:r w:rsidRPr="00FB028C">
        <w:rPr>
          <w:lang w:val="en-US"/>
        </w:rPr>
        <w:t>Valerian improves the quality of sleep in women with menopause who are experiencing insomnia. Findings from this study add support to the reported effectiveness of valerian in the clinical management of insomnia.</w:t>
      </w:r>
    </w:p>
    <w:p w:rsidR="00975689" w:rsidRPr="00FB028C" w:rsidRDefault="00975689" w:rsidP="00975689">
      <w:pPr>
        <w:pStyle w:val="Corpo"/>
        <w:rPr>
          <w:lang w:val="en-US"/>
        </w:rPr>
      </w:pPr>
      <w:r w:rsidRPr="00FB028C">
        <w:rPr>
          <w:lang w:val="en-US"/>
        </w:rPr>
        <w:t>Comment in</w:t>
      </w:r>
    </w:p>
    <w:p w:rsidR="00975689" w:rsidRPr="00FB028C" w:rsidRDefault="00975689" w:rsidP="00975689">
      <w:pPr>
        <w:pStyle w:val="Corpo"/>
        <w:rPr>
          <w:lang w:val="en-US"/>
        </w:rPr>
      </w:pPr>
      <w:r w:rsidRPr="00FB028C">
        <w:rPr>
          <w:lang w:val="en-US"/>
        </w:rPr>
        <w:t>Is there anything special about valerian? [Menopause. 2011]</w:t>
      </w:r>
    </w:p>
    <w:p w:rsidR="00975689" w:rsidRDefault="00975689" w:rsidP="00975689">
      <w:pPr>
        <w:pStyle w:val="Corpo"/>
        <w:rPr>
          <w:lang w:val="en-US"/>
        </w:rPr>
      </w:pPr>
      <w:r w:rsidRPr="00FB028C">
        <w:rPr>
          <w:lang w:val="en-US"/>
        </w:rPr>
        <w:t>PMID: 21775910 [PubMed - indexed for MEDLINE]</w:t>
      </w:r>
    </w:p>
    <w:p w:rsidR="00975689" w:rsidRDefault="00975689" w:rsidP="00975689">
      <w:pPr>
        <w:pStyle w:val="Corpo"/>
        <w:rPr>
          <w:lang w:val="en-US"/>
        </w:rPr>
      </w:pPr>
    </w:p>
    <w:p w:rsidR="00975689" w:rsidRPr="00347BB2" w:rsidRDefault="00975689" w:rsidP="00975689">
      <w:pPr>
        <w:pStyle w:val="Corpo"/>
        <w:rPr>
          <w:lang w:val="en-US"/>
        </w:rPr>
      </w:pPr>
      <w:r w:rsidRPr="00347BB2">
        <w:rPr>
          <w:lang w:val="en-US"/>
        </w:rPr>
        <w:t>J Physiol Pharmacol. 2002 Sep;53(3):337-48.</w:t>
      </w:r>
    </w:p>
    <w:p w:rsidR="00975689" w:rsidRPr="00347BB2" w:rsidRDefault="00975689" w:rsidP="00975689">
      <w:pPr>
        <w:pStyle w:val="Corpo"/>
        <w:rPr>
          <w:b/>
          <w:lang w:val="en-US"/>
        </w:rPr>
      </w:pPr>
      <w:r w:rsidRPr="00347BB2">
        <w:rPr>
          <w:b/>
          <w:lang w:val="en-US"/>
        </w:rPr>
        <w:t>Reduction of rise in blood pressure and cortisol release during stress by Ginkgo biloba extract (EGb 761) in healthy volunteers.</w:t>
      </w:r>
    </w:p>
    <w:p w:rsidR="00975689" w:rsidRPr="00347BB2" w:rsidRDefault="00975689" w:rsidP="00975689">
      <w:pPr>
        <w:pStyle w:val="Corpo"/>
      </w:pPr>
      <w:r w:rsidRPr="00347BB2">
        <w:t>Jezova D1, Duncko R, Lassanova M, Kriska M, Moncek F.</w:t>
      </w:r>
    </w:p>
    <w:p w:rsidR="00975689" w:rsidRPr="00347BB2" w:rsidRDefault="00975689" w:rsidP="00975689">
      <w:pPr>
        <w:pStyle w:val="Corpo"/>
        <w:rPr>
          <w:lang w:val="en-US"/>
        </w:rPr>
      </w:pPr>
      <w:r w:rsidRPr="00347BB2">
        <w:rPr>
          <w:lang w:val="en-US"/>
        </w:rPr>
        <w:t>Author information</w:t>
      </w:r>
    </w:p>
    <w:p w:rsidR="00975689" w:rsidRPr="00347BB2" w:rsidRDefault="00975689" w:rsidP="00975689">
      <w:pPr>
        <w:pStyle w:val="Corpo"/>
        <w:rPr>
          <w:lang w:val="en-US"/>
        </w:rPr>
      </w:pPr>
      <w:r w:rsidRPr="00347BB2">
        <w:rPr>
          <w:lang w:val="en-US"/>
        </w:rPr>
        <w:lastRenderedPageBreak/>
        <w:t>Abstract</w:t>
      </w:r>
    </w:p>
    <w:p w:rsidR="00975689" w:rsidRPr="00347BB2" w:rsidRDefault="00975689" w:rsidP="00975689">
      <w:pPr>
        <w:pStyle w:val="Corpo"/>
        <w:rPr>
          <w:lang w:val="en-US"/>
        </w:rPr>
      </w:pPr>
      <w:r w:rsidRPr="00347BB2">
        <w:rPr>
          <w:lang w:val="en-US"/>
        </w:rPr>
        <w:t>The standardized extract of Ginkgo biloba (EGb 761) was found not only to improve memory and aging associated cognitive deficits but also to exert beneficial effects on mood. An antistress action of the extract has been suggested but not directly proven. The present study was aimed to evaluate the effects of EGb 761 on salivary cortisol and blood pressure responses during stress in healthy young volunteers (n = 70) in a double blind placebo controlled design. A stress model involving a combination of static exercise (handgrip) and mental stimuli was used. Single treatment with EGb 761 (120 mg) reduced stress-induced rise in blood pressure without affecting the heart rate. Salivary cortisol responses showed differences with respect to the gender and the time of day of the stress exposure, with the activation only in male subjects in the afternoon. This activation was absent if they were treated with EGb 761. The performance in a short memory test with higher scores achieved by women remained unaffected by EGb 761 treatment. Thus, this study provides evidence that EGb 761 has an inhibitory action on blood pressure and it may influence cortisol release in response to some stress stimuli.</w:t>
      </w:r>
    </w:p>
    <w:p w:rsidR="00975689" w:rsidRDefault="00975689" w:rsidP="00975689">
      <w:pPr>
        <w:pStyle w:val="Corpo"/>
        <w:rPr>
          <w:lang w:val="en-US"/>
        </w:rPr>
      </w:pPr>
      <w:r w:rsidRPr="00347BB2">
        <w:rPr>
          <w:lang w:val="en-US"/>
        </w:rPr>
        <w:t>PMID: 12369732 [PubMed - indexed for MEDLINE]</w:t>
      </w:r>
    </w:p>
    <w:p w:rsidR="00975689" w:rsidRDefault="00975689" w:rsidP="00975689">
      <w:pPr>
        <w:pStyle w:val="Corpo"/>
        <w:rPr>
          <w:lang w:val="en-US"/>
        </w:rPr>
      </w:pPr>
    </w:p>
    <w:p w:rsidR="00975689" w:rsidRPr="00347BB2" w:rsidRDefault="00975689" w:rsidP="00975689">
      <w:pPr>
        <w:spacing w:after="0" w:line="240" w:lineRule="auto"/>
        <w:jc w:val="both"/>
        <w:rPr>
          <w:rFonts w:ascii="Futura Lt BT" w:eastAsia="Calibri" w:hAnsi="Futura Lt BT" w:cs="Times New Roman"/>
          <w:color w:val="808080"/>
          <w:lang w:val="en-US"/>
        </w:rPr>
      </w:pPr>
      <w:r w:rsidRPr="00347BB2">
        <w:rPr>
          <w:rFonts w:ascii="Futura Lt BT" w:eastAsia="Calibri" w:hAnsi="Futura Lt BT" w:cs="Times New Roman"/>
          <w:color w:val="808080"/>
          <w:lang w:val="en-US"/>
        </w:rPr>
        <w:t>Planta Med. 2013 May;79(7):538-53. doi: 10.1055/s-0032-1328187. Epub 2013 Feb 13.</w:t>
      </w:r>
    </w:p>
    <w:p w:rsidR="00975689" w:rsidRPr="00347BB2" w:rsidRDefault="00975689" w:rsidP="00975689">
      <w:pPr>
        <w:spacing w:after="0" w:line="240" w:lineRule="auto"/>
        <w:jc w:val="both"/>
        <w:rPr>
          <w:rFonts w:ascii="Futura Lt BT" w:eastAsia="Calibri" w:hAnsi="Futura Lt BT" w:cs="Times New Roman"/>
          <w:b/>
          <w:color w:val="808080"/>
          <w:lang w:val="en-US"/>
        </w:rPr>
      </w:pPr>
      <w:r w:rsidRPr="00347BB2">
        <w:rPr>
          <w:rFonts w:ascii="Futura Lt BT" w:eastAsia="Calibri" w:hAnsi="Futura Lt BT" w:cs="Times New Roman"/>
          <w:b/>
          <w:color w:val="808080"/>
          <w:lang w:val="en-US"/>
        </w:rPr>
        <w:t>Botanical modulation of menopausal symptoms: mechanisms of action?</w:t>
      </w:r>
    </w:p>
    <w:p w:rsidR="00975689" w:rsidRPr="00347BB2" w:rsidRDefault="00975689" w:rsidP="00975689">
      <w:pPr>
        <w:spacing w:after="0" w:line="240" w:lineRule="auto"/>
        <w:jc w:val="both"/>
        <w:rPr>
          <w:rFonts w:ascii="Futura Lt BT" w:eastAsia="Calibri" w:hAnsi="Futura Lt BT" w:cs="Times New Roman"/>
          <w:color w:val="808080"/>
        </w:rPr>
      </w:pPr>
      <w:r w:rsidRPr="00347BB2">
        <w:rPr>
          <w:rFonts w:ascii="Futura Lt BT" w:eastAsia="Calibri" w:hAnsi="Futura Lt BT" w:cs="Times New Roman"/>
          <w:color w:val="808080"/>
        </w:rPr>
        <w:t>Hajirahimkhan A1, Dietz BM, Bolton JL.</w:t>
      </w:r>
    </w:p>
    <w:p w:rsidR="00975689" w:rsidRPr="00347BB2" w:rsidRDefault="00975689" w:rsidP="00975689">
      <w:pPr>
        <w:spacing w:after="0" w:line="240" w:lineRule="auto"/>
        <w:jc w:val="both"/>
        <w:rPr>
          <w:rFonts w:ascii="Futura Lt BT" w:eastAsia="Calibri" w:hAnsi="Futura Lt BT" w:cs="Times New Roman"/>
          <w:color w:val="808080"/>
          <w:lang w:val="en-US"/>
        </w:rPr>
      </w:pPr>
      <w:r w:rsidRPr="00347BB2">
        <w:rPr>
          <w:rFonts w:ascii="Futura Lt BT" w:eastAsia="Calibri" w:hAnsi="Futura Lt BT" w:cs="Times New Roman"/>
          <w:color w:val="808080"/>
          <w:lang w:val="en-US"/>
        </w:rPr>
        <w:t>Author information</w:t>
      </w:r>
    </w:p>
    <w:p w:rsidR="00975689" w:rsidRPr="00347BB2" w:rsidRDefault="00975689" w:rsidP="00975689">
      <w:pPr>
        <w:spacing w:after="0" w:line="240" w:lineRule="auto"/>
        <w:jc w:val="both"/>
        <w:rPr>
          <w:rFonts w:ascii="Futura Lt BT" w:eastAsia="Calibri" w:hAnsi="Futura Lt BT" w:cs="Times New Roman"/>
          <w:color w:val="808080"/>
          <w:lang w:val="en-US"/>
        </w:rPr>
      </w:pPr>
      <w:r w:rsidRPr="00347BB2">
        <w:rPr>
          <w:rFonts w:ascii="Futura Lt BT" w:eastAsia="Calibri" w:hAnsi="Futura Lt BT" w:cs="Times New Roman"/>
          <w:color w:val="808080"/>
          <w:lang w:val="en-US"/>
        </w:rPr>
        <w:t>Abstract</w:t>
      </w:r>
    </w:p>
    <w:p w:rsidR="00975689" w:rsidRPr="00347BB2" w:rsidRDefault="00975689" w:rsidP="00975689">
      <w:pPr>
        <w:spacing w:after="0" w:line="240" w:lineRule="auto"/>
        <w:jc w:val="both"/>
        <w:rPr>
          <w:rFonts w:ascii="Futura Lt BT" w:eastAsia="Calibri" w:hAnsi="Futura Lt BT" w:cs="Times New Roman"/>
          <w:color w:val="808080"/>
          <w:lang w:val="en-US"/>
        </w:rPr>
      </w:pPr>
      <w:r w:rsidRPr="00347BB2">
        <w:rPr>
          <w:rFonts w:ascii="Futura Lt BT" w:eastAsia="Calibri" w:hAnsi="Futura Lt BT" w:cs="Times New Roman"/>
          <w:color w:val="808080"/>
          <w:lang w:val="en-US"/>
        </w:rPr>
        <w:t>Menopausal women suffer from a variety of symptoms, including hot flashes and night sweats, which can affect quality of life. Although it has been the treatment of choice for relieving these symptoms, hormone therapy has been associated with increased breast cancer risk leading many women to search for natural, efficacious, and safe alternatives such as botanical supplements. Data from clinical trials suggesting that botanicals have efficacy for menopausal symptom relief have been controversial, and several mechanisms of action have been proposed including estrogenic, progestogenic, and serotonergic pathways. Plant extracts with potential estrogenic activities include soy, red clover, kudzu, hops, licorice, rhubarb, yam, and chasteberry. Botanicals with reported progestogenic activities are red clover, hops, yam, and chasteberry. Serotonergic mechanisms have also been proposed since women taking antidepressants often report a reduction in hot flashes and night sweats. Black cohosh, kudzu, kava, licorice, and dong quai all either have reported 5-hydroxytryptamine receptor 7 ligands or inhibit serotonin reuptake, therefore have potential serotonergic activities. Understanding the mechanisms of action of these natural remedies used for women's health could lead to more efficacious formulations and to the isolation of active components which have the potential of becoming effective medications in the future.</w:t>
      </w:r>
    </w:p>
    <w:p w:rsidR="00975689" w:rsidRPr="00347BB2" w:rsidRDefault="00975689" w:rsidP="00975689">
      <w:pPr>
        <w:spacing w:after="0" w:line="240" w:lineRule="auto"/>
        <w:jc w:val="both"/>
        <w:rPr>
          <w:rFonts w:ascii="Futura Lt BT" w:eastAsia="Calibri" w:hAnsi="Futura Lt BT" w:cs="Times New Roman"/>
          <w:color w:val="808080"/>
          <w:lang w:val="en-US"/>
        </w:rPr>
      </w:pPr>
      <w:r w:rsidRPr="00347BB2">
        <w:rPr>
          <w:rFonts w:ascii="Futura Lt BT" w:eastAsia="Calibri" w:hAnsi="Futura Lt BT" w:cs="Times New Roman"/>
          <w:color w:val="808080"/>
          <w:lang w:val="en-US"/>
        </w:rPr>
        <w:t>Georg Thieme Verlag KG Stuttgart · New York.</w:t>
      </w:r>
    </w:p>
    <w:p w:rsidR="00975689" w:rsidRPr="00347BB2" w:rsidRDefault="00975689" w:rsidP="00975689">
      <w:pPr>
        <w:spacing w:after="0" w:line="240" w:lineRule="auto"/>
        <w:jc w:val="both"/>
        <w:rPr>
          <w:rFonts w:ascii="Futura Lt BT" w:eastAsia="Calibri" w:hAnsi="Futura Lt BT" w:cs="Times New Roman"/>
          <w:color w:val="808080"/>
          <w:lang w:val="en-US"/>
        </w:rPr>
      </w:pPr>
      <w:r w:rsidRPr="00347BB2">
        <w:rPr>
          <w:rFonts w:ascii="Futura Lt BT" w:eastAsia="Calibri" w:hAnsi="Futura Lt BT" w:cs="Times New Roman"/>
          <w:color w:val="808080"/>
          <w:lang w:val="en-US"/>
        </w:rPr>
        <w:t>PMID: 23408273 [PubMed - indexed for MEDLINE] PMCID: PMC3800090</w:t>
      </w:r>
    </w:p>
    <w:p w:rsidR="00975689" w:rsidRDefault="00975689" w:rsidP="00975689">
      <w:pPr>
        <w:pStyle w:val="Corpo"/>
        <w:rPr>
          <w:lang w:val="en-US"/>
        </w:rPr>
      </w:pPr>
    </w:p>
    <w:p w:rsidR="00975689" w:rsidRPr="00347BB2" w:rsidRDefault="00975689" w:rsidP="00975689">
      <w:pPr>
        <w:spacing w:after="0" w:line="240" w:lineRule="auto"/>
        <w:jc w:val="both"/>
        <w:rPr>
          <w:rFonts w:ascii="Futura Lt BT" w:eastAsia="Calibri" w:hAnsi="Futura Lt BT" w:cs="Times New Roman"/>
          <w:color w:val="808080"/>
          <w:lang w:val="en-US"/>
        </w:rPr>
      </w:pPr>
      <w:r w:rsidRPr="00347BB2">
        <w:rPr>
          <w:rFonts w:ascii="Futura Lt BT" w:eastAsia="Calibri" w:hAnsi="Futura Lt BT" w:cs="Times New Roman"/>
          <w:color w:val="808080"/>
          <w:lang w:val="en-US"/>
        </w:rPr>
        <w:t>Fortschr Med. 1991 Feb 10;109(4):119-22.</w:t>
      </w:r>
    </w:p>
    <w:p w:rsidR="00975689" w:rsidRPr="00347BB2" w:rsidRDefault="00975689" w:rsidP="00975689">
      <w:pPr>
        <w:spacing w:after="0" w:line="240" w:lineRule="auto"/>
        <w:jc w:val="both"/>
        <w:rPr>
          <w:rFonts w:ascii="Futura Lt BT" w:eastAsia="Calibri" w:hAnsi="Futura Lt BT" w:cs="Times New Roman"/>
          <w:b/>
          <w:color w:val="808080"/>
          <w:lang w:val="en-US"/>
        </w:rPr>
      </w:pPr>
      <w:r w:rsidRPr="00347BB2">
        <w:rPr>
          <w:rFonts w:ascii="Futura Lt BT" w:eastAsia="Calibri" w:hAnsi="Futura Lt BT" w:cs="Times New Roman"/>
          <w:b/>
          <w:color w:val="808080"/>
          <w:lang w:val="en-US"/>
        </w:rPr>
        <w:lastRenderedPageBreak/>
        <w:t>[Psychosomatic dysfunctions in the female climacteric. Clinical effectiveness and tolerance of Kava Extract WS 1490].</w:t>
      </w:r>
    </w:p>
    <w:p w:rsidR="00975689" w:rsidRPr="00347BB2" w:rsidRDefault="00975689" w:rsidP="00975689">
      <w:pPr>
        <w:spacing w:after="0" w:line="240" w:lineRule="auto"/>
        <w:jc w:val="both"/>
        <w:rPr>
          <w:rFonts w:ascii="Futura Lt BT" w:eastAsia="Calibri" w:hAnsi="Futura Lt BT" w:cs="Times New Roman"/>
          <w:color w:val="808080"/>
          <w:lang w:val="en-US"/>
        </w:rPr>
      </w:pPr>
      <w:r w:rsidRPr="00347BB2">
        <w:rPr>
          <w:rFonts w:ascii="Futura Lt BT" w:eastAsia="Calibri" w:hAnsi="Futura Lt BT" w:cs="Times New Roman"/>
          <w:color w:val="808080"/>
          <w:lang w:val="en-US"/>
        </w:rPr>
        <w:t>[Article in German]</w:t>
      </w:r>
    </w:p>
    <w:p w:rsidR="00975689" w:rsidRPr="00347BB2" w:rsidRDefault="00975689" w:rsidP="00975689">
      <w:pPr>
        <w:spacing w:after="0" w:line="240" w:lineRule="auto"/>
        <w:jc w:val="both"/>
        <w:rPr>
          <w:rFonts w:ascii="Futura Lt BT" w:eastAsia="Calibri" w:hAnsi="Futura Lt BT" w:cs="Times New Roman"/>
          <w:color w:val="808080"/>
          <w:lang w:val="en-US"/>
        </w:rPr>
      </w:pPr>
      <w:r w:rsidRPr="00347BB2">
        <w:rPr>
          <w:rFonts w:ascii="Futura Lt BT" w:eastAsia="Calibri" w:hAnsi="Futura Lt BT" w:cs="Times New Roman"/>
          <w:color w:val="808080"/>
          <w:lang w:val="en-US"/>
        </w:rPr>
        <w:t>Warnecke G.</w:t>
      </w:r>
    </w:p>
    <w:p w:rsidR="00975689" w:rsidRPr="00347BB2" w:rsidRDefault="00975689" w:rsidP="00975689">
      <w:pPr>
        <w:spacing w:after="0" w:line="240" w:lineRule="auto"/>
        <w:jc w:val="both"/>
        <w:rPr>
          <w:rFonts w:ascii="Futura Lt BT" w:eastAsia="Calibri" w:hAnsi="Futura Lt BT" w:cs="Times New Roman"/>
          <w:color w:val="808080"/>
          <w:lang w:val="en-US"/>
        </w:rPr>
      </w:pPr>
      <w:r w:rsidRPr="00347BB2">
        <w:rPr>
          <w:rFonts w:ascii="Futura Lt BT" w:eastAsia="Calibri" w:hAnsi="Futura Lt BT" w:cs="Times New Roman"/>
          <w:color w:val="808080"/>
          <w:lang w:val="en-US"/>
        </w:rPr>
        <w:t>Author information</w:t>
      </w:r>
    </w:p>
    <w:p w:rsidR="00975689" w:rsidRPr="00347BB2" w:rsidRDefault="00975689" w:rsidP="00975689">
      <w:pPr>
        <w:spacing w:after="0" w:line="240" w:lineRule="auto"/>
        <w:jc w:val="both"/>
        <w:rPr>
          <w:rFonts w:ascii="Futura Lt BT" w:eastAsia="Calibri" w:hAnsi="Futura Lt BT" w:cs="Times New Roman"/>
          <w:color w:val="808080"/>
          <w:lang w:val="en-US"/>
        </w:rPr>
      </w:pPr>
      <w:r w:rsidRPr="00347BB2">
        <w:rPr>
          <w:rFonts w:ascii="Futura Lt BT" w:eastAsia="Calibri" w:hAnsi="Futura Lt BT" w:cs="Times New Roman"/>
          <w:color w:val="808080"/>
          <w:lang w:val="en-US"/>
        </w:rPr>
        <w:t>Abstract</w:t>
      </w:r>
    </w:p>
    <w:p w:rsidR="00975689" w:rsidRPr="00347BB2" w:rsidRDefault="00975689" w:rsidP="00975689">
      <w:pPr>
        <w:spacing w:after="0" w:line="240" w:lineRule="auto"/>
        <w:jc w:val="both"/>
        <w:rPr>
          <w:rFonts w:ascii="Futura Lt BT" w:eastAsia="Calibri" w:hAnsi="Futura Lt BT" w:cs="Times New Roman"/>
          <w:color w:val="808080"/>
          <w:lang w:val="en-US"/>
        </w:rPr>
      </w:pPr>
      <w:r w:rsidRPr="00347BB2">
        <w:rPr>
          <w:rFonts w:ascii="Futura Lt BT" w:eastAsia="Calibri" w:hAnsi="Futura Lt BT" w:cs="Times New Roman"/>
          <w:color w:val="808080"/>
          <w:lang w:val="en-US"/>
        </w:rPr>
        <w:t>Within the framework of a randomized, placebo-controlled double-blind study, two groups each containing 20 patients with climacteric-related symptomatology were treated for a period of 8 weeks with kava WS 1490 extract 3 X 100 mg/day or a placebo preparation. The target variable - the HAMA overall score of anxiety symptomatology - revealed a significant difference in the drug-receiving group vis-à-vis the placebo group already after only 1 week of treatment. The course of such further parameters as depressive mood (DSI), subjective well-being (patient diary), severity of the disease (CGI), and the climacteric symptomatology (Kuppermann Index and Schneider scale) over the overall period of treatment demonstrate a high level of efficacy of kava extract WS 1490 in neurovegetative and psychosomatic dysfunctions in the climacteric, associated with very good tolerance of the preparation.</w:t>
      </w:r>
    </w:p>
    <w:p w:rsidR="00975689" w:rsidRPr="00347BB2" w:rsidRDefault="00975689" w:rsidP="00975689">
      <w:pPr>
        <w:spacing w:after="0" w:line="240" w:lineRule="auto"/>
        <w:jc w:val="both"/>
        <w:rPr>
          <w:rFonts w:ascii="Futura Lt BT" w:eastAsia="Calibri" w:hAnsi="Futura Lt BT" w:cs="Times New Roman"/>
          <w:color w:val="808080"/>
          <w:lang w:val="en-US"/>
        </w:rPr>
      </w:pPr>
      <w:r w:rsidRPr="00347BB2">
        <w:rPr>
          <w:rFonts w:ascii="Futura Lt BT" w:eastAsia="Calibri" w:hAnsi="Futura Lt BT" w:cs="Times New Roman"/>
          <w:color w:val="808080"/>
          <w:lang w:val="en-US"/>
        </w:rPr>
        <w:t>PMID: 2029982 [PubMed - indexed for MEDLINE]</w:t>
      </w:r>
    </w:p>
    <w:p w:rsidR="00975689" w:rsidRDefault="00975689" w:rsidP="00975689">
      <w:pPr>
        <w:pStyle w:val="Corpo"/>
        <w:rPr>
          <w:lang w:val="en-US"/>
        </w:rPr>
      </w:pPr>
    </w:p>
    <w:p w:rsidR="00975689" w:rsidRPr="00347BB2" w:rsidRDefault="00975689" w:rsidP="00975689">
      <w:pPr>
        <w:pStyle w:val="Corpo"/>
        <w:rPr>
          <w:lang w:val="en-US"/>
        </w:rPr>
      </w:pPr>
      <w:r w:rsidRPr="00347BB2">
        <w:rPr>
          <w:lang w:val="en-US"/>
        </w:rPr>
        <w:t>J Clin Psychopharmacol. 2013 Oct;33(5):643-8. doi: 10.1097/JCP.0b013e318291be67.</w:t>
      </w:r>
    </w:p>
    <w:p w:rsidR="00975689" w:rsidRPr="00347BB2" w:rsidRDefault="00975689" w:rsidP="00975689">
      <w:pPr>
        <w:pStyle w:val="Corpo"/>
        <w:rPr>
          <w:b/>
          <w:lang w:val="en-US"/>
        </w:rPr>
      </w:pPr>
      <w:r w:rsidRPr="00347BB2">
        <w:rPr>
          <w:b/>
          <w:lang w:val="en-US"/>
        </w:rPr>
        <w:t>Kava in the treatment of generalized anxiety disorder: a double-blind, randomized, placebo-controlled study.</w:t>
      </w:r>
    </w:p>
    <w:p w:rsidR="00975689" w:rsidRPr="00347BB2" w:rsidRDefault="00975689" w:rsidP="00975689">
      <w:pPr>
        <w:pStyle w:val="Corpo"/>
        <w:rPr>
          <w:lang w:val="en-US"/>
        </w:rPr>
      </w:pPr>
      <w:r w:rsidRPr="00347BB2">
        <w:rPr>
          <w:lang w:val="en-US"/>
        </w:rPr>
        <w:t>Sarris J1, Stough C, Bousman CA, Wahid ZT, Murray G, Teschke R, Savage KM, Dowell A, Ng C, Schweitzer I.</w:t>
      </w:r>
    </w:p>
    <w:p w:rsidR="00975689" w:rsidRPr="00347BB2" w:rsidRDefault="00975689" w:rsidP="00975689">
      <w:pPr>
        <w:pStyle w:val="Corpo"/>
        <w:rPr>
          <w:lang w:val="en-US"/>
        </w:rPr>
      </w:pPr>
      <w:r w:rsidRPr="00347BB2">
        <w:rPr>
          <w:lang w:val="en-US"/>
        </w:rPr>
        <w:t>Author information</w:t>
      </w:r>
    </w:p>
    <w:p w:rsidR="00975689" w:rsidRPr="00347BB2" w:rsidRDefault="00975689" w:rsidP="00975689">
      <w:pPr>
        <w:pStyle w:val="Corpo"/>
        <w:rPr>
          <w:lang w:val="en-US"/>
        </w:rPr>
      </w:pPr>
      <w:r w:rsidRPr="00347BB2">
        <w:rPr>
          <w:lang w:val="en-US"/>
        </w:rPr>
        <w:t>Abstract</w:t>
      </w:r>
    </w:p>
    <w:p w:rsidR="00975689" w:rsidRPr="00347BB2" w:rsidRDefault="00975689" w:rsidP="00975689">
      <w:pPr>
        <w:pStyle w:val="Corpo"/>
        <w:rPr>
          <w:lang w:val="en-US"/>
        </w:rPr>
      </w:pPr>
      <w:r w:rsidRPr="00347BB2">
        <w:rPr>
          <w:lang w:val="en-US"/>
        </w:rPr>
        <w:t xml:space="preserve">Kava (Piper methysticum) is a plant-based medicine, which has been previously shown to reduce anxiety. To date, however, no placebo-controlled trial assessing kava in the treatment of generalized anxiety disorder (GAD) has been completed. A total of 75 participants with GAD and no comorbid mood disorder were enrolled in a 6-week double-blind trial of an aqueous extract of kava (120/240 mg of kavalactones per day depending on response) versus placebo. </w:t>
      </w:r>
      <w:r w:rsidRPr="00347BB2">
        <w:rPr>
          <w:rFonts w:ascii="Arial" w:hAnsi="Arial" w:cs="Arial"/>
          <w:lang w:val="en-US"/>
        </w:rPr>
        <w:t>γ</w:t>
      </w:r>
      <w:r w:rsidRPr="00347BB2">
        <w:rPr>
          <w:rFonts w:cs="Futura Lt BT"/>
          <w:lang w:val="en-US"/>
        </w:rPr>
        <w:t>-Aminobutyric acid (GABA) and noradre</w:t>
      </w:r>
      <w:r w:rsidRPr="00347BB2">
        <w:rPr>
          <w:lang w:val="en-US"/>
        </w:rPr>
        <w:t xml:space="preserve">naline transporter polymorphisms were also analyzed as potential pharmacogenetic markers of response. Reduction in anxiety was measured using the Hamilton Anxiety Rating Scale (HAMA) as the primary outcome. Intention-to-treat analysis was performed on 58 participants who met inclusion criteria after an initial 1 week placebo run-in phase. Results revealed a significant reduction in anxiety for the kava group compared with the placebo group with a moderate effect size (P = 0.046, Cohen d = 0.62). Among participants with moderate to severe Diagnostic and Statistical Manual of Mental Disorders-diagnosed GAD, this effect was larger (P = 0.02; d = 0.82). At conclusion of the controlled phase, 26% of the kava group were classified as remitted (HAMA ≤ 7) compared with 6% of the placebo group (P = 0.04). Within the kava group, GABA transporter polymorphisms rs2601126 (P = 0.021) and rs2697153 (P = 0.046) were associated with HAMA reduction. Kava was well tolerated, and aside from more headaches reported in the kava group (P = 0.05), no other significant differences </w:t>
      </w:r>
      <w:r w:rsidRPr="00347BB2">
        <w:rPr>
          <w:lang w:val="en-US"/>
        </w:rPr>
        <w:lastRenderedPageBreak/>
        <w:t>between groups occurred for any other adverse effects, nor for liver function tests. Standardized kava may be a moderately effective short-term option for the treatment of GAD. Furthermore, specific GABA transporter polymorphisms appear to potentially modify anxiolytic response to kava.</w:t>
      </w:r>
    </w:p>
    <w:p w:rsidR="00975689" w:rsidRDefault="00975689" w:rsidP="00975689">
      <w:pPr>
        <w:pStyle w:val="Corpo"/>
        <w:rPr>
          <w:lang w:val="en-US"/>
        </w:rPr>
      </w:pPr>
      <w:r w:rsidRPr="00347BB2">
        <w:rPr>
          <w:lang w:val="en-US"/>
        </w:rPr>
        <w:t>PMID: 23635869 [PubMed - indexed for MEDLINE]</w:t>
      </w:r>
    </w:p>
    <w:p w:rsidR="00975689" w:rsidRDefault="00975689" w:rsidP="00975689">
      <w:pPr>
        <w:pStyle w:val="Corpo"/>
        <w:rPr>
          <w:lang w:val="en-US"/>
        </w:rPr>
      </w:pPr>
    </w:p>
    <w:p w:rsidR="00975689" w:rsidRPr="00000821" w:rsidRDefault="00975689" w:rsidP="00975689">
      <w:pPr>
        <w:pStyle w:val="Corpo"/>
        <w:rPr>
          <w:lang w:val="en-US"/>
        </w:rPr>
      </w:pPr>
      <w:r w:rsidRPr="00000821">
        <w:rPr>
          <w:lang w:val="en-US"/>
        </w:rPr>
        <w:t>J Ethnopharmacol. 2013 Sep 16;149(2):597-9. doi: 10.1016/j.jep.2013.07.005. Epub 2013 Jul 16.</w:t>
      </w:r>
    </w:p>
    <w:p w:rsidR="00975689" w:rsidRPr="00000821" w:rsidRDefault="00975689" w:rsidP="00975689">
      <w:pPr>
        <w:pStyle w:val="Corpo"/>
        <w:rPr>
          <w:b/>
          <w:lang w:val="en-US"/>
        </w:rPr>
      </w:pPr>
      <w:r w:rsidRPr="00000821">
        <w:rPr>
          <w:b/>
          <w:lang w:val="en-US"/>
        </w:rPr>
        <w:t>Effects of red ginseng extract on sleeping behaviors in human volunteers.</w:t>
      </w:r>
    </w:p>
    <w:p w:rsidR="00975689" w:rsidRPr="00000821" w:rsidRDefault="00975689" w:rsidP="00975689">
      <w:pPr>
        <w:pStyle w:val="Corpo"/>
        <w:rPr>
          <w:lang w:val="en-US"/>
        </w:rPr>
      </w:pPr>
      <w:r w:rsidRPr="00000821">
        <w:rPr>
          <w:lang w:val="en-US"/>
        </w:rPr>
        <w:t>Han HJ1, Kim HY, Choi JJ, Ahn SY, Lee SH, Oh KW, Kim SY.</w:t>
      </w:r>
    </w:p>
    <w:p w:rsidR="00975689" w:rsidRPr="00000821" w:rsidRDefault="00975689" w:rsidP="00975689">
      <w:pPr>
        <w:pStyle w:val="Corpo"/>
        <w:rPr>
          <w:lang w:val="en-US"/>
        </w:rPr>
      </w:pPr>
      <w:r w:rsidRPr="00000821">
        <w:rPr>
          <w:lang w:val="en-US"/>
        </w:rPr>
        <w:t>Author information</w:t>
      </w:r>
    </w:p>
    <w:p w:rsidR="00975689" w:rsidRPr="00000821" w:rsidRDefault="00975689" w:rsidP="00975689">
      <w:pPr>
        <w:pStyle w:val="Corpo"/>
        <w:rPr>
          <w:lang w:val="en-US"/>
        </w:rPr>
      </w:pPr>
      <w:r w:rsidRPr="00000821">
        <w:rPr>
          <w:lang w:val="en-US"/>
        </w:rPr>
        <w:t>Abstract</w:t>
      </w:r>
    </w:p>
    <w:p w:rsidR="00975689" w:rsidRPr="00000821" w:rsidRDefault="00975689" w:rsidP="00975689">
      <w:pPr>
        <w:pStyle w:val="Corpo"/>
        <w:rPr>
          <w:lang w:val="en-US"/>
        </w:rPr>
      </w:pPr>
      <w:r w:rsidRPr="00000821">
        <w:rPr>
          <w:lang w:val="en-US"/>
        </w:rPr>
        <w:t>ETHNOPHARMACOLOGICAL RELEVENCE:</w:t>
      </w:r>
    </w:p>
    <w:p w:rsidR="00975689" w:rsidRPr="00000821" w:rsidRDefault="00975689" w:rsidP="00975689">
      <w:pPr>
        <w:pStyle w:val="Corpo"/>
        <w:rPr>
          <w:lang w:val="en-US"/>
        </w:rPr>
      </w:pPr>
      <w:r w:rsidRPr="00000821">
        <w:rPr>
          <w:lang w:val="en-US"/>
        </w:rPr>
        <w:t>The ginseng root has been traditionally used as a sedative in oriental countries. However, the condition "ginseng abuse syndrome" (GAS), defined as hypertension, nervousness, sleeplessness, skin eruption, and morning diarrhea, was coined as a result of a study of people who had been using a variety of ginseng preparations. However, we reported that administration of RGE increased rapid eye movement (REM) and non rapid eye movement (NREM) sleep via GABAergic systems in animals. Therefore, this study was performed to investigate how red ginseng extract (RGE) affects sleeping behaviors in human volunteers.</w:t>
      </w:r>
    </w:p>
    <w:p w:rsidR="00975689" w:rsidRPr="00000821" w:rsidRDefault="00975689" w:rsidP="00975689">
      <w:pPr>
        <w:pStyle w:val="Corpo"/>
        <w:rPr>
          <w:lang w:val="en-US"/>
        </w:rPr>
      </w:pPr>
      <w:r w:rsidRPr="00000821">
        <w:rPr>
          <w:lang w:val="en-US"/>
        </w:rPr>
        <w:t>MATERIALS AND METHODS:</w:t>
      </w:r>
    </w:p>
    <w:p w:rsidR="00975689" w:rsidRPr="00000821" w:rsidRDefault="00975689" w:rsidP="00975689">
      <w:pPr>
        <w:pStyle w:val="Corpo"/>
        <w:rPr>
          <w:lang w:val="en-US"/>
        </w:rPr>
      </w:pPr>
      <w:r w:rsidRPr="00000821">
        <w:rPr>
          <w:lang w:val="en-US"/>
        </w:rPr>
        <w:t>RGE (1500 mg) was orally administered to young male healthy volunteers (from 15 to 37 years old ages, n=15) three times a day for 7 days. Overnight polysomnographic (PSG) studies were performed two times, 1 day before and 7 days after RGE administration. We investigated differences in sleep architecture parameters such as total sleep time (TST), sleep efficacy (SE: total sleep time/time in bed), proportion of each sleep stage, and wakefulness after sleep onset (WASO) between baseline PSG and PSG after RGE administration.</w:t>
      </w:r>
    </w:p>
    <w:p w:rsidR="00975689" w:rsidRPr="00000821" w:rsidRDefault="00975689" w:rsidP="00975689">
      <w:pPr>
        <w:pStyle w:val="Corpo"/>
        <w:rPr>
          <w:lang w:val="en-US"/>
        </w:rPr>
      </w:pPr>
      <w:r w:rsidRPr="00000821">
        <w:rPr>
          <w:lang w:val="en-US"/>
        </w:rPr>
        <w:t>RESULTS:</w:t>
      </w:r>
    </w:p>
    <w:p w:rsidR="00975689" w:rsidRPr="00000821" w:rsidRDefault="00975689" w:rsidP="00975689">
      <w:pPr>
        <w:pStyle w:val="Corpo"/>
        <w:rPr>
          <w:lang w:val="en-US"/>
        </w:rPr>
      </w:pPr>
      <w:r w:rsidRPr="00000821">
        <w:rPr>
          <w:lang w:val="en-US"/>
        </w:rPr>
        <w:t>Total wake time (TWT) was significantly reduced (P&lt;0.05) and SE was increased (P&lt;0.05), although slow wave sleep stage 1 (N1) was reduced (P&lt;0.01) and non-rapid eye movement (REM) sleep was increased (P&lt;0.03) after administration.</w:t>
      </w:r>
    </w:p>
    <w:p w:rsidR="00975689" w:rsidRPr="00000821" w:rsidRDefault="00975689" w:rsidP="00975689">
      <w:pPr>
        <w:pStyle w:val="Corpo"/>
        <w:rPr>
          <w:lang w:val="en-US"/>
        </w:rPr>
      </w:pPr>
      <w:r w:rsidRPr="00000821">
        <w:rPr>
          <w:lang w:val="en-US"/>
        </w:rPr>
        <w:t>CONCLUSION:</w:t>
      </w:r>
    </w:p>
    <w:p w:rsidR="00975689" w:rsidRPr="00000821" w:rsidRDefault="00975689" w:rsidP="00975689">
      <w:pPr>
        <w:pStyle w:val="Corpo"/>
        <w:rPr>
          <w:lang w:val="en-US"/>
        </w:rPr>
      </w:pPr>
      <w:r w:rsidRPr="00000821">
        <w:rPr>
          <w:lang w:val="en-US"/>
        </w:rPr>
        <w:t>From these results, it is presumed that RGE intake would improve the quality of sleep, thus having beneficial effects on sleep disturbed subjects.</w:t>
      </w:r>
    </w:p>
    <w:p w:rsidR="00975689" w:rsidRPr="00000821" w:rsidRDefault="00975689" w:rsidP="00975689">
      <w:pPr>
        <w:pStyle w:val="Corpo"/>
        <w:rPr>
          <w:lang w:val="en-US"/>
        </w:rPr>
      </w:pPr>
      <w:r w:rsidRPr="00000821">
        <w:rPr>
          <w:lang w:val="en-US"/>
        </w:rPr>
        <w:t>© 2013 Elsevier Ireland Ltd. All rights reserved.</w:t>
      </w:r>
    </w:p>
    <w:p w:rsidR="00975689" w:rsidRPr="00000821" w:rsidRDefault="00975689" w:rsidP="00975689">
      <w:pPr>
        <w:pStyle w:val="Corpo"/>
        <w:rPr>
          <w:lang w:val="en-US"/>
        </w:rPr>
      </w:pPr>
      <w:r w:rsidRPr="00000821">
        <w:rPr>
          <w:lang w:val="en-US"/>
        </w:rPr>
        <w:t>KEYWORDS:</w:t>
      </w:r>
    </w:p>
    <w:p w:rsidR="00975689" w:rsidRPr="00000821" w:rsidRDefault="00975689" w:rsidP="00975689">
      <w:pPr>
        <w:pStyle w:val="Corpo"/>
        <w:rPr>
          <w:lang w:val="en-US"/>
        </w:rPr>
      </w:pPr>
      <w:r w:rsidRPr="00000821">
        <w:rPr>
          <w:lang w:val="en-US"/>
        </w:rPr>
        <w:t>Human volunteers; Polysomnographic (PSG); Red ginseng extract (RGE); Sleep architecture; Sleeping behaviors</w:t>
      </w:r>
    </w:p>
    <w:p w:rsidR="00975689" w:rsidRDefault="00975689" w:rsidP="00975689">
      <w:pPr>
        <w:pStyle w:val="Corpo"/>
        <w:rPr>
          <w:lang w:val="en-US"/>
        </w:rPr>
      </w:pPr>
      <w:r w:rsidRPr="00000821">
        <w:rPr>
          <w:lang w:val="en-US"/>
        </w:rPr>
        <w:t>PMID: 23872254 [PubMed - indexed for MEDLINE]</w:t>
      </w:r>
    </w:p>
    <w:p w:rsidR="00975689" w:rsidRDefault="00975689" w:rsidP="00975689">
      <w:pPr>
        <w:pStyle w:val="Corpo"/>
        <w:rPr>
          <w:lang w:val="en-US"/>
        </w:rPr>
      </w:pPr>
    </w:p>
    <w:p w:rsidR="00975689" w:rsidRPr="00000821" w:rsidRDefault="00975689" w:rsidP="00975689">
      <w:pPr>
        <w:pStyle w:val="Corpo"/>
        <w:rPr>
          <w:lang w:val="en-US"/>
        </w:rPr>
      </w:pPr>
      <w:r w:rsidRPr="00000821">
        <w:rPr>
          <w:lang w:val="en-US"/>
        </w:rPr>
        <w:t>Indian J Pharmacol. 2013 Jan-Feb;45(1):34-9. doi: 10.4103/0253-7613.106432.</w:t>
      </w:r>
    </w:p>
    <w:p w:rsidR="00975689" w:rsidRPr="00000821" w:rsidRDefault="00975689" w:rsidP="00975689">
      <w:pPr>
        <w:pStyle w:val="Corpo"/>
        <w:rPr>
          <w:b/>
          <w:lang w:val="en-US"/>
        </w:rPr>
      </w:pPr>
      <w:r w:rsidRPr="00000821">
        <w:rPr>
          <w:b/>
          <w:lang w:val="en-US"/>
        </w:rPr>
        <w:lastRenderedPageBreak/>
        <w:t>Efficacy and safety of a polyherbal sedative-hypnotic formulation NSF-3 in primary insomnia in comparison to zolpidem: a randomized controlled trial.</w:t>
      </w:r>
    </w:p>
    <w:p w:rsidR="00975689" w:rsidRPr="00000821" w:rsidRDefault="00975689" w:rsidP="00975689">
      <w:pPr>
        <w:pStyle w:val="Corpo"/>
      </w:pPr>
      <w:r w:rsidRPr="00000821">
        <w:t>Maroo N1, Hazra A, Das T.</w:t>
      </w:r>
    </w:p>
    <w:p w:rsidR="00975689" w:rsidRPr="00000821" w:rsidRDefault="00975689" w:rsidP="00975689">
      <w:pPr>
        <w:pStyle w:val="Corpo"/>
        <w:rPr>
          <w:lang w:val="en-US"/>
        </w:rPr>
      </w:pPr>
      <w:r w:rsidRPr="00000821">
        <w:rPr>
          <w:lang w:val="en-US"/>
        </w:rPr>
        <w:t>Author information</w:t>
      </w:r>
    </w:p>
    <w:p w:rsidR="00975689" w:rsidRPr="00000821" w:rsidRDefault="00975689" w:rsidP="00975689">
      <w:pPr>
        <w:pStyle w:val="Corpo"/>
        <w:rPr>
          <w:lang w:val="en-US"/>
        </w:rPr>
      </w:pPr>
      <w:r w:rsidRPr="00000821">
        <w:rPr>
          <w:lang w:val="en-US"/>
        </w:rPr>
        <w:t>Abstract</w:t>
      </w:r>
    </w:p>
    <w:p w:rsidR="00975689" w:rsidRPr="00000821" w:rsidRDefault="00975689" w:rsidP="00975689">
      <w:pPr>
        <w:pStyle w:val="Corpo"/>
        <w:rPr>
          <w:lang w:val="en-US"/>
        </w:rPr>
      </w:pPr>
      <w:r w:rsidRPr="00000821">
        <w:rPr>
          <w:lang w:val="en-US"/>
        </w:rPr>
        <w:t>OBJECTIVES:</w:t>
      </w:r>
    </w:p>
    <w:p w:rsidR="00975689" w:rsidRPr="00000821" w:rsidRDefault="00975689" w:rsidP="00975689">
      <w:pPr>
        <w:pStyle w:val="Corpo"/>
        <w:rPr>
          <w:lang w:val="en-US"/>
        </w:rPr>
      </w:pPr>
      <w:r w:rsidRPr="00000821">
        <w:rPr>
          <w:lang w:val="en-US"/>
        </w:rPr>
        <w:t>To assess the efficacy and safety of NSF-3, a polyherbal sedative-hypnotic (containing standardized extracts of Valeriana officinalis, Passiflora incarnate and Humulus lupulus), in comparison to zolpidem in primary insomnia.</w:t>
      </w:r>
    </w:p>
    <w:p w:rsidR="00975689" w:rsidRPr="00000821" w:rsidRDefault="00975689" w:rsidP="00975689">
      <w:pPr>
        <w:pStyle w:val="Corpo"/>
        <w:rPr>
          <w:lang w:val="en-US"/>
        </w:rPr>
      </w:pPr>
      <w:r w:rsidRPr="00000821">
        <w:rPr>
          <w:lang w:val="en-US"/>
        </w:rPr>
        <w:t>MATERIALS AND METHODS:</w:t>
      </w:r>
    </w:p>
    <w:p w:rsidR="00975689" w:rsidRPr="00000821" w:rsidRDefault="00975689" w:rsidP="00975689">
      <w:pPr>
        <w:pStyle w:val="Corpo"/>
        <w:rPr>
          <w:lang w:val="en-US"/>
        </w:rPr>
      </w:pPr>
      <w:r w:rsidRPr="00000821">
        <w:rPr>
          <w:lang w:val="en-US"/>
        </w:rPr>
        <w:t>The present study was designed as a parallel group, double- blind, randomized, controlled trial and registered with Clinical Trials Registry-India (CTRI/2011/12/002197). Patients diagnosed with primary insomnia with a perceived total sleep time of &lt;6 hours per night and insomnia severity index &gt;7 were included. They were treated with either NSF-3 (one tablet) or zolpidem (one 10 mg tablet) at bedtime for two weeks. Total sleep time, sleep latency and number of awakenings per night were assessed using a sleep diary. Quality of life and daytime sleepiness were evaluated by insomnia severity index and Epworth sleepiness score respectively. Vital signs, routine blood counts, liver and renal function tests, and treatment emergent adverse events were recorded for safety assessment.</w:t>
      </w:r>
    </w:p>
    <w:p w:rsidR="00975689" w:rsidRPr="00000821" w:rsidRDefault="00975689" w:rsidP="00975689">
      <w:pPr>
        <w:pStyle w:val="Corpo"/>
        <w:rPr>
          <w:lang w:val="en-US"/>
        </w:rPr>
      </w:pPr>
      <w:r w:rsidRPr="00000821">
        <w:rPr>
          <w:lang w:val="en-US"/>
        </w:rPr>
        <w:t>RESULTS:</w:t>
      </w:r>
    </w:p>
    <w:p w:rsidR="00975689" w:rsidRPr="00000821" w:rsidRDefault="00975689" w:rsidP="00975689">
      <w:pPr>
        <w:pStyle w:val="Corpo"/>
        <w:rPr>
          <w:lang w:val="en-US"/>
        </w:rPr>
      </w:pPr>
      <w:r w:rsidRPr="00000821">
        <w:rPr>
          <w:lang w:val="en-US"/>
        </w:rPr>
        <w:t>A total of 91 subjects were recruited, of which 39 in each group completed the study. There was significant improvement in total sleep time, sleep latency, number of nightly awakenings and insomnia severity index scores in both groups. However, no statistically significant difference was observed between the groups. Epworth sleepiness scores did not change significantly over the study period. Although 12 treatment emergent adverse events were reported with NSF-3 and 16 with zolpidem (commonest was drowsiness in both), most were mild and no serious adverse events were encountered.</w:t>
      </w:r>
    </w:p>
    <w:p w:rsidR="00975689" w:rsidRPr="00000821" w:rsidRDefault="00975689" w:rsidP="00975689">
      <w:pPr>
        <w:pStyle w:val="Corpo"/>
        <w:rPr>
          <w:lang w:val="en-US"/>
        </w:rPr>
      </w:pPr>
      <w:r w:rsidRPr="00000821">
        <w:rPr>
          <w:lang w:val="en-US"/>
        </w:rPr>
        <w:t>CONCLUSIONS:</w:t>
      </w:r>
    </w:p>
    <w:p w:rsidR="00975689" w:rsidRPr="00000821" w:rsidRDefault="00975689" w:rsidP="00975689">
      <w:pPr>
        <w:pStyle w:val="Corpo"/>
        <w:rPr>
          <w:lang w:val="en-US"/>
        </w:rPr>
      </w:pPr>
      <w:r w:rsidRPr="00000821">
        <w:rPr>
          <w:lang w:val="en-US"/>
        </w:rPr>
        <w:t>NSF-3 is a safe and effective short-term alternative to zolpidem for primary insomnia. It remains to be explored whether the benefits are sustained and whether there is dependence liability with this formulation upon long term use.</w:t>
      </w:r>
    </w:p>
    <w:p w:rsidR="00975689" w:rsidRPr="00000821" w:rsidRDefault="00975689" w:rsidP="00975689">
      <w:pPr>
        <w:pStyle w:val="Corpo"/>
      </w:pPr>
      <w:r w:rsidRPr="00000821">
        <w:t>KEYWORDS:</w:t>
      </w:r>
    </w:p>
    <w:p w:rsidR="00975689" w:rsidRPr="00000821" w:rsidRDefault="00975689" w:rsidP="00975689">
      <w:pPr>
        <w:pStyle w:val="Corpo"/>
      </w:pPr>
      <w:r w:rsidRPr="00000821">
        <w:t>Humulus lupulus; Passiflora incarnata; Valeriana officinalis; insomnia; zolpidem</w:t>
      </w:r>
    </w:p>
    <w:p w:rsidR="00975689" w:rsidRDefault="00975689" w:rsidP="00975689">
      <w:pPr>
        <w:pStyle w:val="Corpo"/>
        <w:rPr>
          <w:lang w:val="en-US"/>
        </w:rPr>
      </w:pPr>
      <w:r w:rsidRPr="00000821">
        <w:rPr>
          <w:lang w:val="en-US"/>
        </w:rPr>
        <w:t>PMID: 23543804 [PubMed - indexed for MEDLINE] PMCID: PMC3608291</w:t>
      </w:r>
    </w:p>
    <w:p w:rsidR="00975689" w:rsidRDefault="00975689" w:rsidP="00975689">
      <w:pPr>
        <w:pStyle w:val="Corpo"/>
        <w:rPr>
          <w:lang w:val="en-US"/>
        </w:rPr>
      </w:pPr>
    </w:p>
    <w:p w:rsidR="00975689" w:rsidRPr="0013324D" w:rsidRDefault="00935914" w:rsidP="00975689">
      <w:pPr>
        <w:pStyle w:val="Corpo"/>
        <w:rPr>
          <w:lang w:val="en-US"/>
        </w:rPr>
      </w:pPr>
      <w:hyperlink r:id="rId114" w:tooltip="Frontiers in pharmacology." w:history="1">
        <w:r w:rsidR="00975689" w:rsidRPr="0013324D">
          <w:rPr>
            <w:rStyle w:val="Hyperlink"/>
            <w:color w:val="808080" w:themeColor="background1" w:themeShade="80"/>
            <w:szCs w:val="20"/>
            <w:u w:val="none"/>
            <w:lang w:val="en-US"/>
          </w:rPr>
          <w:t>Front Pharmacol.</w:t>
        </w:r>
      </w:hyperlink>
      <w:r w:rsidR="00975689" w:rsidRPr="0013324D">
        <w:rPr>
          <w:rStyle w:val="apple-converted-space"/>
          <w:szCs w:val="20"/>
          <w:lang w:val="en-US"/>
        </w:rPr>
        <w:t> </w:t>
      </w:r>
      <w:r w:rsidR="00975689" w:rsidRPr="0013324D">
        <w:rPr>
          <w:lang w:val="en-US"/>
        </w:rPr>
        <w:t>2014 Jul 9;5:162. doi: 10.3389/fphar.2014.00162. eCollection 2014.</w:t>
      </w:r>
    </w:p>
    <w:p w:rsidR="00975689" w:rsidRPr="0013324D" w:rsidRDefault="00975689" w:rsidP="00975689">
      <w:pPr>
        <w:pStyle w:val="Corpo"/>
        <w:rPr>
          <w:b/>
          <w:lang w:val="en-US"/>
        </w:rPr>
      </w:pPr>
      <w:r w:rsidRPr="0013324D">
        <w:rPr>
          <w:b/>
          <w:szCs w:val="30"/>
          <w:lang w:val="en-US"/>
        </w:rPr>
        <w:t>Herbal medicines in Brazil: pharmacokinetic profile and potential herb-drug interactions.</w:t>
      </w:r>
    </w:p>
    <w:p w:rsidR="00975689" w:rsidRPr="0013324D" w:rsidRDefault="00935914" w:rsidP="00975689">
      <w:pPr>
        <w:pStyle w:val="Corpo"/>
        <w:rPr>
          <w:szCs w:val="30"/>
          <w:lang w:val="en-US"/>
        </w:rPr>
      </w:pPr>
      <w:hyperlink r:id="rId115" w:history="1">
        <w:r w:rsidR="00975689" w:rsidRPr="0013324D">
          <w:rPr>
            <w:rStyle w:val="Hyperlink"/>
            <w:color w:val="808080" w:themeColor="background1" w:themeShade="80"/>
            <w:szCs w:val="22"/>
            <w:u w:val="none"/>
            <w:lang w:val="en-US"/>
          </w:rPr>
          <w:t>Mazzari AL</w:t>
        </w:r>
      </w:hyperlink>
      <w:r w:rsidR="00975689" w:rsidRPr="0013324D">
        <w:rPr>
          <w:szCs w:val="22"/>
          <w:lang w:val="en-US"/>
        </w:rPr>
        <w:t>,</w:t>
      </w:r>
      <w:r w:rsidR="00975689" w:rsidRPr="0013324D">
        <w:rPr>
          <w:rStyle w:val="apple-converted-space"/>
          <w:szCs w:val="22"/>
          <w:lang w:val="en-US"/>
        </w:rPr>
        <w:t> </w:t>
      </w:r>
      <w:hyperlink r:id="rId116" w:history="1">
        <w:r w:rsidR="00975689" w:rsidRPr="0013324D">
          <w:rPr>
            <w:rStyle w:val="Hyperlink"/>
            <w:color w:val="808080" w:themeColor="background1" w:themeShade="80"/>
            <w:szCs w:val="22"/>
            <w:u w:val="none"/>
            <w:lang w:val="en-US"/>
          </w:rPr>
          <w:t>Prieto JM</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13324D" w:rsidRDefault="00975689" w:rsidP="00975689">
      <w:pPr>
        <w:pStyle w:val="Corpo"/>
        <w:rPr>
          <w:szCs w:val="22"/>
          <w:lang w:val="en-US"/>
        </w:rPr>
      </w:pPr>
      <w:r w:rsidRPr="0013324D">
        <w:rPr>
          <w:lang w:val="en-US"/>
        </w:rPr>
        <w:t xml:space="preserve">A plethora of active compounds found in herbal medicines can serve as substrate for enzymes involved in the metabolism of xenobiotics. When a medicinal plant is co-administered with a conventional drug and little or no information is known about the </w:t>
      </w:r>
      <w:r w:rsidRPr="0013324D">
        <w:rPr>
          <w:lang w:val="en-US"/>
        </w:rPr>
        <w:lastRenderedPageBreak/>
        <w:t>pharmacokinetics of the plant metabolites, there is an increased risk of potential herb-drug interactions. Moreover, genetic polymorphisms in a population may act to predispose individuals to adverse reactions. The use of herbal medicines is rapidly increasing in many countries, particularly Brazil where the vast biodiversity is a potential source of new and more affordable treatments for numerous conditions. Accordingly, the Brazilian Unified Public Health System (SUS) produced a list of 71 plant species of interest, which could be made available to the population in the near future. Physicians at SUS prescribe a number of essential drugs and should herbal medicines be added to this system the chance of herb-drug interactions further increases. A review of the effects of these medicinal plants on Phase 1 and Phase 2 metabolic mechanisms and the transporter P-glycoprotein was conducted. The results have shown that approximately half of these medicinal plants lack any pharmacokinetic data. Moreover, most of the studies carried out are in vitro. Only a few reports on herb-drug interactions with essential drugs prescribed by SUS were found, suggesting that very little attention is being given to the safety of herbal medicines. Here we have taken this information to discuss the potential interactions between herbal medicines and essential drugs prescribed to Brazilian patients whilst taking into account the most common polymorphisms present in the Brazilian population. A number of theoretical interactions are pinpointed but more pharmacokinetic studies and pharmacovigilance data are needed to ascertain their clinical significance.</w:t>
      </w:r>
    </w:p>
    <w:p w:rsidR="00975689" w:rsidRPr="00B12D79" w:rsidRDefault="00975689" w:rsidP="00975689">
      <w:pPr>
        <w:pStyle w:val="Corpo"/>
        <w:rPr>
          <w:szCs w:val="22"/>
          <w:lang w:val="en-US"/>
        </w:rPr>
      </w:pPr>
      <w:r w:rsidRPr="00B12D79">
        <w:rPr>
          <w:szCs w:val="22"/>
          <w:lang w:val="en-US"/>
        </w:rPr>
        <w:t>KEYWORDS: Brazil; P-glycoprotein; cytochrome P450; glucuronidation; glutathione; herb-drug interactions; pharmacovigilance; polymorphism</w:t>
      </w:r>
    </w:p>
    <w:p w:rsidR="00975689" w:rsidRDefault="00975689" w:rsidP="00975689">
      <w:pPr>
        <w:pStyle w:val="Corpo"/>
        <w:rPr>
          <w:szCs w:val="22"/>
          <w:lang w:val="en-US"/>
        </w:rPr>
      </w:pPr>
    </w:p>
    <w:p w:rsidR="00975689" w:rsidRPr="00B12D79" w:rsidRDefault="00975689" w:rsidP="00975689">
      <w:pPr>
        <w:pStyle w:val="Corpo"/>
        <w:rPr>
          <w:szCs w:val="22"/>
          <w:lang w:val="en-US"/>
        </w:rPr>
      </w:pPr>
    </w:p>
    <w:p w:rsidR="00975689" w:rsidRPr="00FC001C" w:rsidRDefault="00935914" w:rsidP="00975689">
      <w:pPr>
        <w:pStyle w:val="Corpo"/>
        <w:rPr>
          <w:lang w:val="en-US"/>
        </w:rPr>
      </w:pPr>
      <w:hyperlink r:id="rId117" w:tooltip="Current drug metabolism." w:history="1">
        <w:r w:rsidR="00975689" w:rsidRPr="00FC001C">
          <w:rPr>
            <w:rStyle w:val="Hyperlink"/>
            <w:color w:val="808080" w:themeColor="background1" w:themeShade="80"/>
            <w:szCs w:val="20"/>
            <w:u w:val="none"/>
            <w:lang w:val="en-US"/>
          </w:rPr>
          <w:t>Curr Drug Metab.</w:t>
        </w:r>
      </w:hyperlink>
      <w:r w:rsidR="00975689" w:rsidRPr="00FC001C">
        <w:rPr>
          <w:rStyle w:val="apple-converted-space"/>
          <w:szCs w:val="20"/>
          <w:lang w:val="en-US"/>
        </w:rPr>
        <w:t> </w:t>
      </w:r>
      <w:r w:rsidR="00975689" w:rsidRPr="00FC001C">
        <w:rPr>
          <w:szCs w:val="20"/>
          <w:lang w:val="en-US"/>
        </w:rPr>
        <w:t>2012 Jun 1;13(5):640-51.</w:t>
      </w:r>
    </w:p>
    <w:p w:rsidR="00975689" w:rsidRPr="0013324D" w:rsidRDefault="00975689" w:rsidP="00975689">
      <w:pPr>
        <w:pStyle w:val="Corpo"/>
        <w:rPr>
          <w:b/>
          <w:szCs w:val="20"/>
          <w:lang w:val="en-US"/>
        </w:rPr>
      </w:pPr>
      <w:r w:rsidRPr="0013324D">
        <w:rPr>
          <w:b/>
          <w:szCs w:val="30"/>
          <w:lang w:val="en-US"/>
        </w:rPr>
        <w:t>Herb-drug interactions and mechanistic and clinical considerations.</w:t>
      </w:r>
    </w:p>
    <w:p w:rsidR="00975689" w:rsidRPr="0013324D" w:rsidRDefault="00935914" w:rsidP="00975689">
      <w:pPr>
        <w:pStyle w:val="Corpo"/>
        <w:rPr>
          <w:szCs w:val="30"/>
          <w:lang w:val="en-US"/>
        </w:rPr>
      </w:pPr>
      <w:hyperlink r:id="rId118" w:history="1">
        <w:r w:rsidR="00975689" w:rsidRPr="0013324D">
          <w:rPr>
            <w:rStyle w:val="Hyperlink"/>
            <w:color w:val="808080" w:themeColor="background1" w:themeShade="80"/>
            <w:szCs w:val="22"/>
            <w:u w:val="none"/>
            <w:lang w:val="en-US"/>
          </w:rPr>
          <w:t>Chen XW</w:t>
        </w:r>
      </w:hyperlink>
      <w:r w:rsidR="00975689" w:rsidRPr="0013324D">
        <w:rPr>
          <w:szCs w:val="19"/>
          <w:lang w:val="en-US"/>
        </w:rPr>
        <w:t>1</w:t>
      </w:r>
      <w:r w:rsidR="00975689" w:rsidRPr="0013324D">
        <w:rPr>
          <w:szCs w:val="22"/>
          <w:lang w:val="en-US"/>
        </w:rPr>
        <w:t>,</w:t>
      </w:r>
      <w:r w:rsidR="00975689" w:rsidRPr="0013324D">
        <w:rPr>
          <w:rStyle w:val="apple-converted-space"/>
          <w:szCs w:val="22"/>
          <w:lang w:val="en-US"/>
        </w:rPr>
        <w:t> </w:t>
      </w:r>
      <w:hyperlink r:id="rId119" w:history="1">
        <w:r w:rsidR="00975689" w:rsidRPr="0013324D">
          <w:rPr>
            <w:rStyle w:val="Hyperlink"/>
            <w:color w:val="808080" w:themeColor="background1" w:themeShade="80"/>
            <w:szCs w:val="22"/>
            <w:u w:val="none"/>
            <w:lang w:val="en-US"/>
          </w:rPr>
          <w:t>Sneed KB</w:t>
        </w:r>
      </w:hyperlink>
      <w:r w:rsidR="00975689" w:rsidRPr="0013324D">
        <w:rPr>
          <w:szCs w:val="22"/>
          <w:lang w:val="en-US"/>
        </w:rPr>
        <w:t>,</w:t>
      </w:r>
      <w:r w:rsidR="00975689" w:rsidRPr="0013324D">
        <w:rPr>
          <w:rStyle w:val="apple-converted-space"/>
          <w:szCs w:val="22"/>
          <w:lang w:val="en-US"/>
        </w:rPr>
        <w:t> </w:t>
      </w:r>
      <w:hyperlink r:id="rId120" w:history="1">
        <w:r w:rsidR="00975689" w:rsidRPr="0013324D">
          <w:rPr>
            <w:rStyle w:val="Hyperlink"/>
            <w:color w:val="808080" w:themeColor="background1" w:themeShade="80"/>
            <w:szCs w:val="22"/>
            <w:u w:val="none"/>
            <w:lang w:val="en-US"/>
          </w:rPr>
          <w:t>Pan SY</w:t>
        </w:r>
      </w:hyperlink>
      <w:r w:rsidR="00975689" w:rsidRPr="0013324D">
        <w:rPr>
          <w:szCs w:val="22"/>
          <w:lang w:val="en-US"/>
        </w:rPr>
        <w:t>,</w:t>
      </w:r>
      <w:r w:rsidR="00975689" w:rsidRPr="0013324D">
        <w:rPr>
          <w:rStyle w:val="apple-converted-space"/>
          <w:szCs w:val="22"/>
          <w:lang w:val="en-US"/>
        </w:rPr>
        <w:t> </w:t>
      </w:r>
      <w:hyperlink r:id="rId121" w:history="1">
        <w:r w:rsidR="00975689" w:rsidRPr="0013324D">
          <w:rPr>
            <w:rStyle w:val="Hyperlink"/>
            <w:color w:val="808080" w:themeColor="background1" w:themeShade="80"/>
            <w:szCs w:val="22"/>
            <w:u w:val="none"/>
            <w:lang w:val="en-US"/>
          </w:rPr>
          <w:t>Cao C</w:t>
        </w:r>
      </w:hyperlink>
      <w:r w:rsidR="00975689" w:rsidRPr="0013324D">
        <w:rPr>
          <w:szCs w:val="22"/>
          <w:lang w:val="en-US"/>
        </w:rPr>
        <w:t>,</w:t>
      </w:r>
      <w:r w:rsidR="00975689" w:rsidRPr="0013324D">
        <w:rPr>
          <w:rStyle w:val="apple-converted-space"/>
          <w:szCs w:val="22"/>
          <w:lang w:val="en-US"/>
        </w:rPr>
        <w:t> </w:t>
      </w:r>
      <w:hyperlink r:id="rId122" w:history="1">
        <w:r w:rsidR="00975689" w:rsidRPr="0013324D">
          <w:rPr>
            <w:rStyle w:val="Hyperlink"/>
            <w:color w:val="808080" w:themeColor="background1" w:themeShade="80"/>
            <w:szCs w:val="22"/>
            <w:u w:val="none"/>
            <w:lang w:val="en-US"/>
          </w:rPr>
          <w:t>Kanwar JR</w:t>
        </w:r>
      </w:hyperlink>
      <w:r w:rsidR="00975689" w:rsidRPr="0013324D">
        <w:rPr>
          <w:szCs w:val="22"/>
          <w:lang w:val="en-US"/>
        </w:rPr>
        <w:t>,</w:t>
      </w:r>
      <w:r w:rsidR="00975689" w:rsidRPr="0013324D">
        <w:rPr>
          <w:rStyle w:val="apple-converted-space"/>
          <w:szCs w:val="22"/>
          <w:lang w:val="en-US"/>
        </w:rPr>
        <w:t> </w:t>
      </w:r>
      <w:hyperlink r:id="rId123" w:history="1">
        <w:r w:rsidR="00975689" w:rsidRPr="0013324D">
          <w:rPr>
            <w:rStyle w:val="Hyperlink"/>
            <w:color w:val="808080" w:themeColor="background1" w:themeShade="80"/>
            <w:szCs w:val="22"/>
            <w:u w:val="none"/>
            <w:lang w:val="en-US"/>
          </w:rPr>
          <w:t>Chew H</w:t>
        </w:r>
      </w:hyperlink>
      <w:r w:rsidR="00975689" w:rsidRPr="0013324D">
        <w:rPr>
          <w:szCs w:val="22"/>
          <w:lang w:val="en-US"/>
        </w:rPr>
        <w:t>,</w:t>
      </w:r>
      <w:r w:rsidR="00975689" w:rsidRPr="0013324D">
        <w:rPr>
          <w:rStyle w:val="apple-converted-space"/>
          <w:szCs w:val="22"/>
          <w:lang w:val="en-US"/>
        </w:rPr>
        <w:t> </w:t>
      </w:r>
      <w:hyperlink r:id="rId124" w:history="1">
        <w:r w:rsidR="00975689" w:rsidRPr="0013324D">
          <w:rPr>
            <w:rStyle w:val="Hyperlink"/>
            <w:color w:val="808080" w:themeColor="background1" w:themeShade="80"/>
            <w:szCs w:val="22"/>
            <w:u w:val="none"/>
            <w:lang w:val="en-US"/>
          </w:rPr>
          <w:t>Zhou SF</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13324D" w:rsidRDefault="00975689" w:rsidP="00975689">
      <w:pPr>
        <w:pStyle w:val="Corpo"/>
        <w:rPr>
          <w:szCs w:val="22"/>
          <w:lang w:val="en-US"/>
        </w:rPr>
      </w:pPr>
      <w:r w:rsidRPr="0013324D">
        <w:rPr>
          <w:szCs w:val="20"/>
          <w:lang w:val="en-US"/>
        </w:rPr>
        <w:t xml:space="preserve">Herbal medicines are often used in combination with conventional drugs, and this may give rise to the potential of harmful herb-drug interactions. This paper updates our knowledge on clinical herb-drug interactions with an emphasis of the mechanistic and clinical consideration. In silico, in vitro, animal and human studies are often used to predict and/or identify drug interactions with herbal remedies. To date, a number of clinically important herb-drug interactions have been reported, but many of them are from case reports and limited clinical observations. Common herbal medicines that interact with drugs include St John's wort (Hypericum perforatum), ginkgo (Ginkgo biloba), ginger (Zingiber officinale), ginseng (Panax ginseng), and garlic (Allium sativum). For example, St John's wort significantly reduced the area under the plasma concentration-time curve (AUC) and blood concentrations of cyclosporine, midazolam, tacrolimus, amitriptyline, digoxin, indinavir, warfarin, phenprocoumon and theophylline. The common drugs that interact with herbal medicines include warfarin, midazolam, digoxin, amitriptyline, indinavir, cyclosporine, tacrolimus and irinotecan. Herbal medicines may interact with drugs at the intestine, liver, kidneys, and targets of action. Importantly, many of these drugs have very narrow therapeutic indices. Most of them </w:t>
      </w:r>
      <w:r w:rsidRPr="0013324D">
        <w:rPr>
          <w:szCs w:val="20"/>
          <w:lang w:val="en-US"/>
        </w:rPr>
        <w:lastRenderedPageBreak/>
        <w:t>are substrates for cytochrome P450s (CYPs) and/or P-glycoprotein (P-gp). The underlying mechanisms for most reported herb-drug interactions are not fully understood, and pharmacokinetic and/or pharmacodynamic mechanisms are implicated in many of these interactions. In particular, enzyme induction and inhibition may play an important role in the occurrence of some herbdrug interactions. Because herb-drug interactions can significantly affect circulating levels of drug and, hence, alter the clinical outcome, the identification of herb-drug interactions has important implications.</w:t>
      </w:r>
    </w:p>
    <w:p w:rsidR="00975689" w:rsidRPr="00B12D79" w:rsidRDefault="00975689" w:rsidP="00975689">
      <w:pPr>
        <w:pStyle w:val="Corpo"/>
        <w:rPr>
          <w:szCs w:val="17"/>
          <w:lang w:val="en-US"/>
        </w:rPr>
      </w:pPr>
      <w:r w:rsidRPr="00B12D79">
        <w:rPr>
          <w:szCs w:val="17"/>
          <w:lang w:val="en-US"/>
        </w:rPr>
        <w:t>PMID:</w:t>
      </w:r>
      <w:r w:rsidRPr="00B12D79">
        <w:rPr>
          <w:rStyle w:val="apple-converted-space"/>
          <w:szCs w:val="17"/>
          <w:lang w:val="en-US"/>
        </w:rPr>
        <w:t> </w:t>
      </w:r>
      <w:r w:rsidRPr="00B12D79">
        <w:rPr>
          <w:szCs w:val="17"/>
          <w:lang w:val="en-US"/>
        </w:rPr>
        <w:t>22292789</w:t>
      </w:r>
      <w:r w:rsidRPr="00B12D79">
        <w:rPr>
          <w:rStyle w:val="apple-converted-space"/>
          <w:szCs w:val="17"/>
          <w:lang w:val="en-US"/>
        </w:rPr>
        <w:t> </w:t>
      </w:r>
      <w:r w:rsidRPr="00B12D79">
        <w:rPr>
          <w:szCs w:val="17"/>
          <w:lang w:val="en-US"/>
        </w:rPr>
        <w:t>[PubMed - indexed for MEDLINE]</w:t>
      </w:r>
    </w:p>
    <w:p w:rsidR="00975689" w:rsidRDefault="00975689" w:rsidP="00975689">
      <w:pPr>
        <w:pStyle w:val="Corpo"/>
        <w:rPr>
          <w:szCs w:val="17"/>
          <w:lang w:val="en-US"/>
        </w:rPr>
      </w:pPr>
    </w:p>
    <w:p w:rsidR="00975689" w:rsidRPr="00B12D79" w:rsidRDefault="00975689" w:rsidP="00975689">
      <w:pPr>
        <w:pStyle w:val="Corpo"/>
        <w:rPr>
          <w:szCs w:val="17"/>
          <w:lang w:val="en-US"/>
        </w:rPr>
      </w:pPr>
    </w:p>
    <w:p w:rsidR="00975689" w:rsidRPr="0013324D" w:rsidRDefault="00935914" w:rsidP="00975689">
      <w:pPr>
        <w:pStyle w:val="Corpo"/>
        <w:rPr>
          <w:lang w:val="en-US"/>
        </w:rPr>
      </w:pPr>
      <w:hyperlink r:id="rId125" w:tooltip="Planta medica." w:history="1">
        <w:r w:rsidR="00975689" w:rsidRPr="0013324D">
          <w:rPr>
            <w:rStyle w:val="Hyperlink"/>
            <w:color w:val="808080" w:themeColor="background1" w:themeShade="80"/>
            <w:szCs w:val="20"/>
            <w:u w:val="none"/>
            <w:lang w:val="en-US"/>
          </w:rPr>
          <w:t>Planta Med.</w:t>
        </w:r>
      </w:hyperlink>
      <w:r w:rsidR="00975689" w:rsidRPr="0013324D">
        <w:rPr>
          <w:rStyle w:val="apple-converted-space"/>
          <w:szCs w:val="20"/>
          <w:lang w:val="en-US"/>
        </w:rPr>
        <w:t> </w:t>
      </w:r>
      <w:r w:rsidR="00975689" w:rsidRPr="0013324D">
        <w:rPr>
          <w:szCs w:val="20"/>
          <w:lang w:val="en-US"/>
        </w:rPr>
        <w:t>2012 Sep;78(13):1458-77. doi: 10.1055/s-0032-1315117. Epub 2012 Aug 1.</w:t>
      </w:r>
    </w:p>
    <w:p w:rsidR="00975689" w:rsidRPr="0013324D" w:rsidRDefault="00975689" w:rsidP="00975689">
      <w:pPr>
        <w:pStyle w:val="Corpo"/>
        <w:rPr>
          <w:b/>
          <w:szCs w:val="20"/>
          <w:lang w:val="en-US"/>
        </w:rPr>
      </w:pPr>
      <w:r w:rsidRPr="0013324D">
        <w:rPr>
          <w:b/>
          <w:szCs w:val="30"/>
          <w:lang w:val="en-US"/>
        </w:rPr>
        <w:t>Clinical evidence of herbal drugs as perpetrators of pharmacokinetic drug interactions.</w:t>
      </w:r>
    </w:p>
    <w:p w:rsidR="00975689" w:rsidRPr="0013324D" w:rsidRDefault="00935914" w:rsidP="00975689">
      <w:pPr>
        <w:pStyle w:val="Corpo"/>
        <w:rPr>
          <w:szCs w:val="30"/>
          <w:lang w:val="en-US"/>
        </w:rPr>
      </w:pPr>
      <w:hyperlink r:id="rId126" w:history="1">
        <w:r w:rsidR="00975689" w:rsidRPr="0013324D">
          <w:rPr>
            <w:rStyle w:val="Hyperlink"/>
            <w:color w:val="808080" w:themeColor="background1" w:themeShade="80"/>
            <w:szCs w:val="22"/>
            <w:u w:val="none"/>
            <w:lang w:val="en-US"/>
          </w:rPr>
          <w:t>Hermann R</w:t>
        </w:r>
      </w:hyperlink>
      <w:r w:rsidR="00975689" w:rsidRPr="0013324D">
        <w:rPr>
          <w:szCs w:val="19"/>
          <w:lang w:val="en-US"/>
        </w:rPr>
        <w:t>1</w:t>
      </w:r>
      <w:r w:rsidR="00975689" w:rsidRPr="0013324D">
        <w:rPr>
          <w:szCs w:val="22"/>
          <w:lang w:val="en-US"/>
        </w:rPr>
        <w:t>,</w:t>
      </w:r>
      <w:r w:rsidR="00975689" w:rsidRPr="0013324D">
        <w:rPr>
          <w:rStyle w:val="apple-converted-space"/>
          <w:szCs w:val="22"/>
          <w:lang w:val="en-US"/>
        </w:rPr>
        <w:t> </w:t>
      </w:r>
      <w:hyperlink r:id="rId127" w:history="1">
        <w:r w:rsidR="00975689" w:rsidRPr="0013324D">
          <w:rPr>
            <w:rStyle w:val="Hyperlink"/>
            <w:color w:val="808080" w:themeColor="background1" w:themeShade="80"/>
            <w:szCs w:val="22"/>
            <w:u w:val="none"/>
            <w:lang w:val="en-US"/>
          </w:rPr>
          <w:t>von Richter O</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13324D" w:rsidRDefault="00975689" w:rsidP="00975689">
      <w:pPr>
        <w:pStyle w:val="Corpo"/>
        <w:rPr>
          <w:szCs w:val="22"/>
          <w:lang w:val="en-US"/>
        </w:rPr>
      </w:pPr>
      <w:r w:rsidRPr="0013324D">
        <w:rPr>
          <w:szCs w:val="20"/>
          <w:lang w:val="en-US"/>
        </w:rPr>
        <w:t xml:space="preserve">The use of herbal/botanical products, also referred to as complementary and alternative medicines (CAM), worldwide enjoys increasing popularity. It appears in particular highly prevalent in patient populations already exposed to complex treatment algorithms and polypharmacotherapy, frequently involving narrow therapeutic index drugs. Accordingly, the potential clinical dimension and relevance of herb-drug interactions has received considerable attention over the last years. However, review of pertinent literature indicates that the available clinical evidence in this regard is still limited and sometimes inconclusive. Also, communication of herb-drug interaction data in the biopharmaceutical/medical literature is often complex and confusing, not always unbiased, and in many cases appears not to strive for clear-cut and useful guidance in terms of the clinical relevance of such findings.This systematic review summarizes and interprets the published evidence on clinical herb-drug interaction studies which examined the potential of six popular herbal drugs (Echinacea, garlic, gingko, ginseng, goldenseal, and milk thistle) as perpetrators of pharmacokinetic (PK) drug interactions. Reported effect sizes were systematically categorized according to FDA drug interaction guideline criteria. A total of 66 clinical PK interaction studies, meeting the scope of the present review, were identified. The clinical evidence was found to be most robust and informative for Gingko biloba (GB; 21 studies) and milk thistle/silymarin (MT; 13), and appears still limited for ginseng (9), goldenseal/berberine (GS; 8), garlic (8), and Echinacea (7). Collectively, the available evidence indicates that, at commonly recommended doses, none of these herbs act as potent or moderate inhibitors or inducers of cytochrome P450 (CYP) enzymes or P-glycoprotein (ABCB1). Weak effects in terms of either induction or inhibition were found for GB (presystemic/hepatic CYP3A4 induction/inhibition, CYP2C19 induction at high doses), milk thistle/silymarin (CYP2C9 inhibition), GS/berberine (CYP3A4 and CYP2D6 inhibition), Echinacea (presystemic/hepatic CYP3A4 inhibition/induction, CYP1A2 and CYP2C9 inhibition at high doses). Information was found not always complete for the major drug metabolizing CYP enzymes in the less well-studied herbs and is largely </w:t>
      </w:r>
      <w:r w:rsidRPr="0013324D">
        <w:rPr>
          <w:szCs w:val="20"/>
          <w:lang w:val="en-US"/>
        </w:rPr>
        <w:lastRenderedPageBreak/>
        <w:t>limited to P-glycoprotein (ABCB1) when effects on drug transporters have been investigated.</w:t>
      </w:r>
    </w:p>
    <w:p w:rsidR="00975689" w:rsidRPr="0013324D" w:rsidRDefault="00975689" w:rsidP="00975689">
      <w:pPr>
        <w:pStyle w:val="Corpo"/>
        <w:rPr>
          <w:szCs w:val="20"/>
          <w:lang w:val="en-US"/>
        </w:rPr>
      </w:pPr>
      <w:r w:rsidRPr="0013324D">
        <w:rPr>
          <w:szCs w:val="20"/>
          <w:lang w:val="en-US"/>
        </w:rPr>
        <w:t>Georg Thieme Verlag KG Stuttgart · New York.</w:t>
      </w:r>
    </w:p>
    <w:p w:rsidR="00975689" w:rsidRPr="00B12D79" w:rsidRDefault="00975689" w:rsidP="00975689">
      <w:pPr>
        <w:pStyle w:val="Corpo"/>
        <w:rPr>
          <w:rStyle w:val="apple-converted-space"/>
          <w:szCs w:val="17"/>
          <w:lang w:val="en-US"/>
        </w:rPr>
      </w:pPr>
      <w:r w:rsidRPr="00B12D79">
        <w:rPr>
          <w:szCs w:val="17"/>
          <w:lang w:val="en-US"/>
        </w:rPr>
        <w:t>PMID:22855269</w:t>
      </w:r>
      <w:r w:rsidRPr="00B12D79">
        <w:rPr>
          <w:rStyle w:val="apple-converted-space"/>
          <w:szCs w:val="17"/>
          <w:lang w:val="en-US"/>
        </w:rPr>
        <w:t> </w:t>
      </w:r>
      <w:r w:rsidRPr="00B12D79">
        <w:rPr>
          <w:szCs w:val="17"/>
          <w:lang w:val="en-US"/>
        </w:rPr>
        <w:t>[PubMed - indexed for MEDLINE]</w:t>
      </w:r>
      <w:r w:rsidRPr="00B12D79">
        <w:rPr>
          <w:rStyle w:val="apple-converted-space"/>
          <w:szCs w:val="17"/>
          <w:lang w:val="en-US"/>
        </w:rPr>
        <w:t> </w:t>
      </w:r>
    </w:p>
    <w:p w:rsidR="00975689" w:rsidRPr="00B12D79" w:rsidRDefault="00975689" w:rsidP="00975689">
      <w:pPr>
        <w:pStyle w:val="Corpo"/>
        <w:rPr>
          <w:rStyle w:val="apple-converted-space"/>
          <w:szCs w:val="17"/>
          <w:lang w:val="en-US"/>
        </w:rPr>
      </w:pPr>
    </w:p>
    <w:p w:rsidR="00975689" w:rsidRPr="00B12D79" w:rsidRDefault="00975689" w:rsidP="00975689">
      <w:pPr>
        <w:pStyle w:val="Corpo"/>
        <w:rPr>
          <w:szCs w:val="17"/>
          <w:lang w:val="en-US"/>
        </w:rPr>
      </w:pPr>
    </w:p>
    <w:p w:rsidR="00975689" w:rsidRPr="0013324D" w:rsidRDefault="00935914" w:rsidP="00975689">
      <w:pPr>
        <w:pStyle w:val="Corpo"/>
        <w:rPr>
          <w:lang w:val="en-US"/>
        </w:rPr>
      </w:pPr>
      <w:hyperlink r:id="rId128" w:tooltip="Advances in pharmacological sciences." w:history="1">
        <w:r w:rsidR="00975689" w:rsidRPr="0013324D">
          <w:rPr>
            <w:rStyle w:val="Hyperlink"/>
            <w:color w:val="808080" w:themeColor="background1" w:themeShade="80"/>
            <w:u w:val="none"/>
            <w:lang w:val="en-US"/>
          </w:rPr>
          <w:t>Adv Pharmacol Sci.</w:t>
        </w:r>
      </w:hyperlink>
      <w:r w:rsidR="00975689" w:rsidRPr="0013324D">
        <w:rPr>
          <w:lang w:val="en-US"/>
        </w:rPr>
        <w:t> 2014;2014:354264. doi: 10.1155/2014/354264. Epub 2014 Apr 17.</w:t>
      </w:r>
    </w:p>
    <w:p w:rsidR="00975689" w:rsidRPr="0013324D" w:rsidRDefault="00975689" w:rsidP="00975689">
      <w:pPr>
        <w:pStyle w:val="Corpo"/>
        <w:rPr>
          <w:b/>
          <w:lang w:val="en-US"/>
        </w:rPr>
      </w:pPr>
      <w:r w:rsidRPr="0013324D">
        <w:rPr>
          <w:b/>
          <w:lang w:val="en-US"/>
        </w:rPr>
        <w:t>The therapeutic potential of medicinal foods.</w:t>
      </w:r>
    </w:p>
    <w:p w:rsidR="00975689" w:rsidRPr="0013324D" w:rsidRDefault="00935914" w:rsidP="00975689">
      <w:pPr>
        <w:pStyle w:val="Corpo"/>
        <w:rPr>
          <w:lang w:val="en-US"/>
        </w:rPr>
      </w:pPr>
      <w:hyperlink r:id="rId129" w:history="1">
        <w:r w:rsidR="00975689" w:rsidRPr="0013324D">
          <w:rPr>
            <w:rStyle w:val="Hyperlink"/>
            <w:color w:val="808080" w:themeColor="background1" w:themeShade="80"/>
            <w:u w:val="none"/>
            <w:lang w:val="en-US"/>
          </w:rPr>
          <w:t>Ramalingum N</w:t>
        </w:r>
      </w:hyperlink>
      <w:r w:rsidR="00975689" w:rsidRPr="0013324D">
        <w:rPr>
          <w:lang w:val="en-US"/>
        </w:rPr>
        <w:t>, </w:t>
      </w:r>
      <w:hyperlink r:id="rId130" w:history="1">
        <w:r w:rsidR="00975689" w:rsidRPr="0013324D">
          <w:rPr>
            <w:rStyle w:val="Hyperlink"/>
            <w:color w:val="808080" w:themeColor="background1" w:themeShade="80"/>
            <w:u w:val="none"/>
            <w:lang w:val="en-US"/>
          </w:rPr>
          <w:t>Mahomoodally MF</w:t>
        </w:r>
      </w:hyperlink>
      <w:r w:rsidR="00975689" w:rsidRPr="0013324D">
        <w:rPr>
          <w:lang w:val="en-US"/>
        </w:rPr>
        <w:t>.</w:t>
      </w:r>
    </w:p>
    <w:p w:rsidR="00975689" w:rsidRPr="0013324D" w:rsidRDefault="00975689" w:rsidP="00975689">
      <w:pPr>
        <w:pStyle w:val="Corpo"/>
        <w:rPr>
          <w:lang w:val="en-US"/>
        </w:rPr>
      </w:pPr>
      <w:r w:rsidRPr="0013324D">
        <w:rPr>
          <w:lang w:val="en-US"/>
        </w:rPr>
        <w:t>Abstract</w:t>
      </w:r>
    </w:p>
    <w:p w:rsidR="00975689" w:rsidRPr="0013324D" w:rsidRDefault="00975689" w:rsidP="00975689">
      <w:pPr>
        <w:pStyle w:val="Corpo"/>
        <w:rPr>
          <w:lang w:val="en-US"/>
        </w:rPr>
      </w:pPr>
      <w:r w:rsidRPr="0013324D">
        <w:rPr>
          <w:lang w:val="en-US"/>
        </w:rPr>
        <w:t>Pharmaceutical and nutritional sciences have recently witnessed a bloom in the scientific literature geared towards the use offood plants for their diversified health benefits and potential clinical applications. Health professionals now recognize that a synergism of drug therapy and nutrition might confer optimum outcomes in the fight against diseases. The prophylactic benefits of food plants are being investigated for potential use as novel medicinal remedies due to the presence of pharmacologically active compounds. Although the availability of scientific data is rapidly growing, there is still a paucity of updated compilation of data and concerns about the rationale of these health-foods still persist in the literature. This paper attempts to congregate the nutritional value, phytochemical composition, traditional uses, in vitro and in vivo studies of 10 common medicinal food plants used against chronic noncommunicable and infectious diseases. Food plants included were based on the criteria that they are consumed as a common food in a typical diet as either fruit or vegetable for their nutritive value but have also other parts which are in common use in folk medicine. The potential challenges of incorporating thesemedicinal foods in the diet which offers prospective opportunities for future drug development are also discussed.</w:t>
      </w:r>
    </w:p>
    <w:p w:rsidR="00975689" w:rsidRPr="0013324D" w:rsidRDefault="00975689" w:rsidP="00975689">
      <w:pPr>
        <w:pStyle w:val="Corpo"/>
        <w:rPr>
          <w:lang w:val="en-US"/>
        </w:rPr>
      </w:pPr>
      <w:r w:rsidRPr="0013324D">
        <w:rPr>
          <w:lang w:val="en-US"/>
        </w:rPr>
        <w:t>PMID: 24822061 [PubMed] PMCID: PMC4009199</w:t>
      </w:r>
    </w:p>
    <w:p w:rsidR="00975689" w:rsidRPr="00B12D79" w:rsidRDefault="00975689" w:rsidP="00975689">
      <w:pPr>
        <w:pStyle w:val="Corpo"/>
        <w:rPr>
          <w:lang w:val="en-US"/>
        </w:rPr>
      </w:pPr>
    </w:p>
    <w:p w:rsidR="00975689" w:rsidRPr="00B12D79" w:rsidRDefault="00975689" w:rsidP="00975689">
      <w:pPr>
        <w:pStyle w:val="Corpo"/>
        <w:rPr>
          <w:lang w:val="en-US"/>
        </w:rPr>
      </w:pPr>
    </w:p>
    <w:p w:rsidR="00975689" w:rsidRPr="0013324D" w:rsidRDefault="00935914" w:rsidP="00975689">
      <w:pPr>
        <w:pStyle w:val="Corpo"/>
        <w:rPr>
          <w:lang w:val="en-US"/>
        </w:rPr>
      </w:pPr>
      <w:hyperlink r:id="rId131" w:tooltip="Menopause international." w:history="1">
        <w:r w:rsidR="00975689" w:rsidRPr="0013324D">
          <w:rPr>
            <w:rStyle w:val="Hyperlink"/>
            <w:color w:val="808080" w:themeColor="background1" w:themeShade="80"/>
            <w:szCs w:val="20"/>
            <w:u w:val="none"/>
            <w:lang w:val="en-US"/>
          </w:rPr>
          <w:t>Menopause Int.</w:t>
        </w:r>
      </w:hyperlink>
      <w:r w:rsidR="00975689" w:rsidRPr="0013324D">
        <w:rPr>
          <w:rStyle w:val="apple-converted-space"/>
          <w:szCs w:val="20"/>
          <w:lang w:val="en-US"/>
        </w:rPr>
        <w:t> </w:t>
      </w:r>
      <w:r w:rsidR="00975689" w:rsidRPr="0013324D">
        <w:rPr>
          <w:szCs w:val="20"/>
          <w:lang w:val="en-US"/>
        </w:rPr>
        <w:t>2013 Sep;19(3):133-4. doi: 10.1177/1754045313502473.</w:t>
      </w:r>
    </w:p>
    <w:p w:rsidR="00975689" w:rsidRPr="0013324D" w:rsidRDefault="00975689" w:rsidP="00975689">
      <w:pPr>
        <w:pStyle w:val="Corpo"/>
        <w:rPr>
          <w:b/>
          <w:szCs w:val="20"/>
          <w:lang w:val="en-US"/>
        </w:rPr>
      </w:pPr>
      <w:r w:rsidRPr="0013324D">
        <w:rPr>
          <w:b/>
          <w:szCs w:val="30"/>
          <w:lang w:val="en-US"/>
        </w:rPr>
        <w:t>Red clover causing symptoms suggestive of methotrexate toxicity in a patient on high-dose methotrexate.</w:t>
      </w:r>
    </w:p>
    <w:p w:rsidR="00975689" w:rsidRPr="0013324D" w:rsidRDefault="00935914" w:rsidP="00975689">
      <w:pPr>
        <w:pStyle w:val="Corpo"/>
        <w:rPr>
          <w:szCs w:val="30"/>
          <w:lang w:val="en-US"/>
        </w:rPr>
      </w:pPr>
      <w:hyperlink r:id="rId132" w:history="1">
        <w:r w:rsidR="00975689" w:rsidRPr="0013324D">
          <w:rPr>
            <w:rStyle w:val="Hyperlink"/>
            <w:color w:val="808080" w:themeColor="background1" w:themeShade="80"/>
            <w:szCs w:val="22"/>
            <w:u w:val="none"/>
            <w:lang w:val="en-US"/>
          </w:rPr>
          <w:t>Orr A</w:t>
        </w:r>
      </w:hyperlink>
      <w:r w:rsidR="00975689" w:rsidRPr="0013324D">
        <w:rPr>
          <w:szCs w:val="19"/>
          <w:lang w:val="en-US"/>
        </w:rPr>
        <w:t>1</w:t>
      </w:r>
      <w:r w:rsidR="00975689" w:rsidRPr="0013324D">
        <w:rPr>
          <w:szCs w:val="22"/>
          <w:lang w:val="en-US"/>
        </w:rPr>
        <w:t>,</w:t>
      </w:r>
      <w:r w:rsidR="00975689" w:rsidRPr="0013324D">
        <w:rPr>
          <w:rStyle w:val="apple-converted-space"/>
          <w:szCs w:val="22"/>
          <w:lang w:val="en-US"/>
        </w:rPr>
        <w:t> </w:t>
      </w:r>
      <w:hyperlink r:id="rId133" w:history="1">
        <w:r w:rsidR="00975689" w:rsidRPr="0013324D">
          <w:rPr>
            <w:rStyle w:val="Hyperlink"/>
            <w:color w:val="808080" w:themeColor="background1" w:themeShade="80"/>
            <w:szCs w:val="22"/>
            <w:u w:val="none"/>
            <w:lang w:val="en-US"/>
          </w:rPr>
          <w:t>Parker R</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13324D" w:rsidRDefault="00975689" w:rsidP="00975689">
      <w:pPr>
        <w:pStyle w:val="Corpo"/>
        <w:rPr>
          <w:szCs w:val="22"/>
          <w:lang w:val="en-US"/>
        </w:rPr>
      </w:pPr>
      <w:r w:rsidRPr="0013324D">
        <w:rPr>
          <w:szCs w:val="20"/>
          <w:lang w:val="en-US"/>
        </w:rPr>
        <w:t>The case report discusses a very serious interaction between red clover and methotrexate not previously documented. It highlights the</w:t>
      </w:r>
      <w:r w:rsidRPr="0013324D">
        <w:rPr>
          <w:rStyle w:val="apple-converted-space"/>
          <w:szCs w:val="20"/>
          <w:lang w:val="en-US"/>
        </w:rPr>
        <w:t> </w:t>
      </w:r>
      <w:r w:rsidRPr="0013324D">
        <w:rPr>
          <w:rStyle w:val="highlight"/>
          <w:szCs w:val="20"/>
          <w:lang w:val="en-US"/>
        </w:rPr>
        <w:t>potential</w:t>
      </w:r>
      <w:r w:rsidRPr="0013324D">
        <w:rPr>
          <w:rStyle w:val="apple-converted-space"/>
          <w:szCs w:val="20"/>
          <w:lang w:val="en-US"/>
        </w:rPr>
        <w:t> </w:t>
      </w:r>
      <w:r w:rsidRPr="0013324D">
        <w:rPr>
          <w:szCs w:val="20"/>
          <w:lang w:val="en-US"/>
        </w:rPr>
        <w:t xml:space="preserve">pitfalls of concomitant use of herbal remedies and conventionally prescribed drugs and the importance of advising our patients about OTC drugs. A 52-year-old woman attended her general practitioner for advice on menopausal flushing. She was on methotrexate weekly injections for severe psoriasis and was not keen to consider anything that would possibly affect her skin. Alternative therapies were discussed and red clover was suggested. This was bought OTC. After the third day of taking red clover capsules (430 mg), the patient developed severe vomiting and epigastric pain. She contacted the dermatology clinic that administers the methotrexate injection and was thought to </w:t>
      </w:r>
      <w:r w:rsidRPr="0013324D">
        <w:rPr>
          <w:szCs w:val="20"/>
          <w:lang w:val="en-US"/>
        </w:rPr>
        <w:lastRenderedPageBreak/>
        <w:t>have symptoms suggestive of methotrexate toxicity even though her liver function tests remained within normal levels. She had been receiving methotrexate injections for nearly two years with no adverse effects. The only new drug that had been started was red clover and this was thought to be the probable cause of the toxicity. It was withdrawn. The patient made a full recovery and received her next injection of methotrexate with no adverse effects. The interaction was reported to the MHRA with a yellow card.</w:t>
      </w:r>
    </w:p>
    <w:p w:rsidR="00975689" w:rsidRPr="0013324D" w:rsidRDefault="00975689" w:rsidP="00975689">
      <w:pPr>
        <w:pStyle w:val="Corpo"/>
        <w:rPr>
          <w:szCs w:val="22"/>
          <w:lang w:val="en-US"/>
        </w:rPr>
      </w:pPr>
      <w:r w:rsidRPr="0013324D">
        <w:rPr>
          <w:szCs w:val="22"/>
          <w:lang w:val="en-US"/>
        </w:rPr>
        <w:t>KEYWORDS: Menopause; alternative therapies</w:t>
      </w:r>
    </w:p>
    <w:p w:rsidR="00975689" w:rsidRPr="00B12D79" w:rsidRDefault="00975689" w:rsidP="00975689">
      <w:pPr>
        <w:pStyle w:val="Corpo"/>
        <w:rPr>
          <w:szCs w:val="17"/>
          <w:lang w:val="en-US"/>
        </w:rPr>
      </w:pPr>
      <w:r w:rsidRPr="00B12D79">
        <w:rPr>
          <w:szCs w:val="17"/>
          <w:lang w:val="en-US"/>
        </w:rPr>
        <w:t>PMID:</w:t>
      </w:r>
      <w:r w:rsidRPr="00B12D79">
        <w:rPr>
          <w:rStyle w:val="apple-converted-space"/>
          <w:szCs w:val="17"/>
          <w:lang w:val="en-US"/>
        </w:rPr>
        <w:t> </w:t>
      </w:r>
      <w:r w:rsidRPr="00B12D79">
        <w:rPr>
          <w:szCs w:val="17"/>
          <w:lang w:val="en-US"/>
        </w:rPr>
        <w:t>24072635</w:t>
      </w:r>
      <w:r w:rsidRPr="00B12D79">
        <w:rPr>
          <w:rStyle w:val="apple-converted-space"/>
          <w:szCs w:val="17"/>
          <w:lang w:val="en-US"/>
        </w:rPr>
        <w:t> </w:t>
      </w:r>
      <w:r w:rsidRPr="00B12D79">
        <w:rPr>
          <w:szCs w:val="17"/>
          <w:lang w:val="en-US"/>
        </w:rPr>
        <w:t>[PubMed - indexed for MEDLINE]</w:t>
      </w:r>
    </w:p>
    <w:p w:rsidR="00975689" w:rsidRDefault="00975689" w:rsidP="00975689">
      <w:pPr>
        <w:pStyle w:val="Corpo"/>
        <w:rPr>
          <w:szCs w:val="17"/>
          <w:lang w:val="en-US"/>
        </w:rPr>
      </w:pPr>
    </w:p>
    <w:p w:rsidR="00975689" w:rsidRPr="00B12D79" w:rsidRDefault="00975689" w:rsidP="00975689">
      <w:pPr>
        <w:pStyle w:val="Corpo"/>
        <w:rPr>
          <w:szCs w:val="17"/>
          <w:lang w:val="en-US"/>
        </w:rPr>
      </w:pPr>
    </w:p>
    <w:p w:rsidR="00975689" w:rsidRPr="0013324D" w:rsidRDefault="00935914" w:rsidP="00975689">
      <w:pPr>
        <w:pStyle w:val="Corpo"/>
        <w:rPr>
          <w:lang w:val="en-US"/>
        </w:rPr>
      </w:pPr>
      <w:hyperlink r:id="rId134" w:tooltip="Planta medica." w:history="1">
        <w:r w:rsidR="00975689" w:rsidRPr="00B12D79">
          <w:rPr>
            <w:rStyle w:val="Hyperlink"/>
            <w:color w:val="808080" w:themeColor="background1" w:themeShade="80"/>
            <w:szCs w:val="20"/>
            <w:u w:val="none"/>
            <w:lang w:val="en-US"/>
          </w:rPr>
          <w:t>Plant Med.</w:t>
        </w:r>
      </w:hyperlink>
      <w:r w:rsidR="00975689" w:rsidRPr="00B12D79">
        <w:rPr>
          <w:rStyle w:val="apple-converted-space"/>
          <w:szCs w:val="20"/>
          <w:lang w:val="en-US"/>
        </w:rPr>
        <w:t> </w:t>
      </w:r>
      <w:r w:rsidR="00975689" w:rsidRPr="00B12D79">
        <w:rPr>
          <w:szCs w:val="20"/>
          <w:lang w:val="en-US"/>
        </w:rPr>
        <w:t xml:space="preserve">2012 Sep;78(13):1458-77. doi: 10.1055/s-0032-1315117. </w:t>
      </w:r>
      <w:r w:rsidR="00975689" w:rsidRPr="0013324D">
        <w:rPr>
          <w:szCs w:val="20"/>
          <w:lang w:val="en-US"/>
        </w:rPr>
        <w:t>Epub 2012 Aug 1.</w:t>
      </w:r>
    </w:p>
    <w:p w:rsidR="00975689" w:rsidRPr="0013324D" w:rsidRDefault="00975689" w:rsidP="00975689">
      <w:pPr>
        <w:pStyle w:val="Corpo"/>
        <w:rPr>
          <w:b/>
          <w:szCs w:val="20"/>
          <w:lang w:val="en-US"/>
        </w:rPr>
      </w:pPr>
      <w:r w:rsidRPr="0013324D">
        <w:rPr>
          <w:rStyle w:val="highlight"/>
          <w:b/>
          <w:szCs w:val="30"/>
          <w:lang w:val="en-US"/>
        </w:rPr>
        <w:t>Clinical</w:t>
      </w:r>
      <w:r w:rsidRPr="0013324D">
        <w:rPr>
          <w:rStyle w:val="apple-converted-space"/>
          <w:b/>
          <w:szCs w:val="30"/>
          <w:lang w:val="en-US"/>
        </w:rPr>
        <w:t> </w:t>
      </w:r>
      <w:r w:rsidRPr="0013324D">
        <w:rPr>
          <w:rStyle w:val="highlight"/>
          <w:b/>
          <w:szCs w:val="30"/>
          <w:lang w:val="en-US"/>
        </w:rPr>
        <w:t>evidence</w:t>
      </w:r>
      <w:r w:rsidRPr="0013324D">
        <w:rPr>
          <w:rStyle w:val="apple-converted-space"/>
          <w:b/>
          <w:szCs w:val="30"/>
          <w:lang w:val="en-US"/>
        </w:rPr>
        <w:t> </w:t>
      </w:r>
      <w:r w:rsidRPr="0013324D">
        <w:rPr>
          <w:b/>
          <w:szCs w:val="30"/>
          <w:lang w:val="en-US"/>
        </w:rPr>
        <w:t>of</w:t>
      </w:r>
      <w:r w:rsidRPr="0013324D">
        <w:rPr>
          <w:rStyle w:val="apple-converted-space"/>
          <w:b/>
          <w:szCs w:val="30"/>
          <w:lang w:val="en-US"/>
        </w:rPr>
        <w:t> </w:t>
      </w:r>
      <w:r w:rsidRPr="0013324D">
        <w:rPr>
          <w:rStyle w:val="highlight"/>
          <w:b/>
          <w:szCs w:val="30"/>
          <w:lang w:val="en-US"/>
        </w:rPr>
        <w:t>herbal</w:t>
      </w:r>
      <w:r w:rsidRPr="0013324D">
        <w:rPr>
          <w:rStyle w:val="apple-converted-space"/>
          <w:b/>
          <w:szCs w:val="30"/>
          <w:lang w:val="en-US"/>
        </w:rPr>
        <w:t> </w:t>
      </w:r>
      <w:r w:rsidRPr="0013324D">
        <w:rPr>
          <w:rStyle w:val="highlight"/>
          <w:b/>
          <w:szCs w:val="30"/>
          <w:lang w:val="en-US"/>
        </w:rPr>
        <w:t>drugs</w:t>
      </w:r>
      <w:r w:rsidRPr="0013324D">
        <w:rPr>
          <w:rStyle w:val="apple-converted-space"/>
          <w:b/>
          <w:szCs w:val="30"/>
          <w:lang w:val="en-US"/>
        </w:rPr>
        <w:t> </w:t>
      </w:r>
      <w:r w:rsidRPr="0013324D">
        <w:rPr>
          <w:b/>
          <w:szCs w:val="30"/>
          <w:lang w:val="en-US"/>
        </w:rPr>
        <w:t>as</w:t>
      </w:r>
      <w:r w:rsidRPr="0013324D">
        <w:rPr>
          <w:rStyle w:val="apple-converted-space"/>
          <w:b/>
          <w:szCs w:val="30"/>
          <w:lang w:val="en-US"/>
        </w:rPr>
        <w:t> </w:t>
      </w:r>
      <w:r w:rsidRPr="0013324D">
        <w:rPr>
          <w:rStyle w:val="highlight"/>
          <w:b/>
          <w:szCs w:val="30"/>
          <w:lang w:val="en-US"/>
        </w:rPr>
        <w:t>perpetrators</w:t>
      </w:r>
      <w:r w:rsidRPr="0013324D">
        <w:rPr>
          <w:rStyle w:val="apple-converted-space"/>
          <w:b/>
          <w:szCs w:val="30"/>
          <w:lang w:val="en-US"/>
        </w:rPr>
        <w:t> </w:t>
      </w:r>
      <w:r w:rsidRPr="0013324D">
        <w:rPr>
          <w:b/>
          <w:szCs w:val="30"/>
          <w:lang w:val="en-US"/>
        </w:rPr>
        <w:t>of</w:t>
      </w:r>
      <w:r w:rsidRPr="0013324D">
        <w:rPr>
          <w:rStyle w:val="apple-converted-space"/>
          <w:b/>
          <w:szCs w:val="30"/>
          <w:lang w:val="en-US"/>
        </w:rPr>
        <w:t> </w:t>
      </w:r>
      <w:r w:rsidRPr="0013324D">
        <w:rPr>
          <w:rStyle w:val="highlight"/>
          <w:b/>
          <w:szCs w:val="30"/>
          <w:lang w:val="en-US"/>
        </w:rPr>
        <w:t>pharmacokinetic</w:t>
      </w:r>
      <w:r w:rsidRPr="0013324D">
        <w:rPr>
          <w:rStyle w:val="apple-converted-space"/>
          <w:b/>
          <w:szCs w:val="30"/>
          <w:lang w:val="en-US"/>
        </w:rPr>
        <w:t> </w:t>
      </w:r>
      <w:r w:rsidRPr="0013324D">
        <w:rPr>
          <w:rStyle w:val="highlight"/>
          <w:b/>
          <w:szCs w:val="30"/>
          <w:lang w:val="en-US"/>
        </w:rPr>
        <w:t>drug</w:t>
      </w:r>
      <w:r w:rsidRPr="0013324D">
        <w:rPr>
          <w:rStyle w:val="apple-converted-space"/>
          <w:b/>
          <w:szCs w:val="30"/>
          <w:lang w:val="en-US"/>
        </w:rPr>
        <w:t> </w:t>
      </w:r>
      <w:r w:rsidRPr="0013324D">
        <w:rPr>
          <w:rStyle w:val="highlight"/>
          <w:b/>
          <w:szCs w:val="30"/>
          <w:lang w:val="en-US"/>
        </w:rPr>
        <w:t>interactions</w:t>
      </w:r>
      <w:r w:rsidRPr="0013324D">
        <w:rPr>
          <w:b/>
          <w:szCs w:val="30"/>
          <w:lang w:val="en-US"/>
        </w:rPr>
        <w:t>.</w:t>
      </w:r>
    </w:p>
    <w:p w:rsidR="00975689" w:rsidRPr="0013324D" w:rsidRDefault="00935914" w:rsidP="00975689">
      <w:pPr>
        <w:pStyle w:val="Corpo"/>
        <w:rPr>
          <w:szCs w:val="30"/>
          <w:lang w:val="en-US"/>
        </w:rPr>
      </w:pPr>
      <w:hyperlink r:id="rId135" w:history="1">
        <w:r w:rsidR="00975689" w:rsidRPr="0013324D">
          <w:rPr>
            <w:rStyle w:val="Hyperlink"/>
            <w:color w:val="808080" w:themeColor="background1" w:themeShade="80"/>
            <w:szCs w:val="22"/>
            <w:u w:val="none"/>
            <w:lang w:val="en-US"/>
          </w:rPr>
          <w:t>Hermann R</w:t>
        </w:r>
      </w:hyperlink>
      <w:r w:rsidR="00975689" w:rsidRPr="0013324D">
        <w:rPr>
          <w:szCs w:val="19"/>
          <w:lang w:val="en-US"/>
        </w:rPr>
        <w:t>1</w:t>
      </w:r>
      <w:r w:rsidR="00975689" w:rsidRPr="0013324D">
        <w:rPr>
          <w:szCs w:val="22"/>
          <w:lang w:val="en-US"/>
        </w:rPr>
        <w:t>,</w:t>
      </w:r>
      <w:r w:rsidR="00975689" w:rsidRPr="0013324D">
        <w:rPr>
          <w:rStyle w:val="apple-converted-space"/>
          <w:szCs w:val="22"/>
          <w:lang w:val="en-US"/>
        </w:rPr>
        <w:t> </w:t>
      </w:r>
      <w:hyperlink r:id="rId136" w:history="1">
        <w:r w:rsidR="00975689" w:rsidRPr="0013324D">
          <w:rPr>
            <w:rStyle w:val="Hyperlink"/>
            <w:color w:val="808080" w:themeColor="background1" w:themeShade="80"/>
            <w:szCs w:val="22"/>
            <w:u w:val="none"/>
            <w:lang w:val="en-US"/>
          </w:rPr>
          <w:t>von Richter O</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13324D" w:rsidRDefault="00975689" w:rsidP="00975689">
      <w:pPr>
        <w:pStyle w:val="Corpo"/>
        <w:rPr>
          <w:szCs w:val="22"/>
          <w:lang w:val="en-US"/>
        </w:rPr>
      </w:pPr>
      <w:r w:rsidRPr="0013324D">
        <w:rPr>
          <w:szCs w:val="20"/>
          <w:lang w:val="en-US"/>
        </w:rPr>
        <w:t>The use of</w:t>
      </w:r>
      <w:r w:rsidRPr="0013324D">
        <w:rPr>
          <w:rStyle w:val="apple-converted-space"/>
          <w:szCs w:val="20"/>
          <w:lang w:val="en-US"/>
        </w:rPr>
        <w:t> </w:t>
      </w:r>
      <w:r w:rsidRPr="0013324D">
        <w:rPr>
          <w:rStyle w:val="highlight"/>
          <w:szCs w:val="20"/>
          <w:lang w:val="en-US"/>
        </w:rPr>
        <w:t>herbal</w:t>
      </w:r>
      <w:r w:rsidRPr="0013324D">
        <w:rPr>
          <w:szCs w:val="20"/>
          <w:lang w:val="en-US"/>
        </w:rPr>
        <w:t>/botanical products, also referred to as complementary and alternative medicines (CAM), worldwide enjoys increasing popularity. It appears in particular highly prevalent in patient populations already exposed to complex treatment algorithms and polypharmacotherapy, frequently involving narrow therapeutic index</w:t>
      </w:r>
      <w:r w:rsidRPr="0013324D">
        <w:rPr>
          <w:rStyle w:val="apple-converted-space"/>
          <w:szCs w:val="20"/>
          <w:lang w:val="en-US"/>
        </w:rPr>
        <w:t> </w:t>
      </w:r>
      <w:r w:rsidRPr="0013324D">
        <w:rPr>
          <w:rStyle w:val="highlight"/>
          <w:szCs w:val="20"/>
          <w:lang w:val="en-US"/>
        </w:rPr>
        <w:t>drugs</w:t>
      </w:r>
      <w:r w:rsidRPr="0013324D">
        <w:rPr>
          <w:szCs w:val="20"/>
          <w:lang w:val="en-US"/>
        </w:rPr>
        <w:t>. Accordingly, the potential</w:t>
      </w:r>
      <w:r w:rsidRPr="0013324D">
        <w:rPr>
          <w:rStyle w:val="apple-converted-space"/>
          <w:szCs w:val="20"/>
          <w:lang w:val="en-US"/>
        </w:rPr>
        <w:t> </w:t>
      </w:r>
      <w:r w:rsidRPr="0013324D">
        <w:rPr>
          <w:rStyle w:val="highlight"/>
          <w:szCs w:val="20"/>
          <w:lang w:val="en-US"/>
        </w:rPr>
        <w:t>clinical</w:t>
      </w:r>
      <w:r w:rsidRPr="0013324D">
        <w:rPr>
          <w:szCs w:val="20"/>
          <w:lang w:val="en-US"/>
        </w:rPr>
        <w:t>dimension and relevance of herb-</w:t>
      </w:r>
      <w:r w:rsidRPr="0013324D">
        <w:rPr>
          <w:rStyle w:val="highlight"/>
          <w:szCs w:val="20"/>
          <w:lang w:val="en-US"/>
        </w:rPr>
        <w:t>drug</w:t>
      </w:r>
      <w:r w:rsidRPr="0013324D">
        <w:rPr>
          <w:rStyle w:val="apple-converted-space"/>
          <w:szCs w:val="20"/>
          <w:lang w:val="en-US"/>
        </w:rPr>
        <w:t> </w:t>
      </w:r>
      <w:r w:rsidRPr="0013324D">
        <w:rPr>
          <w:rStyle w:val="highlight"/>
          <w:szCs w:val="20"/>
          <w:lang w:val="en-US"/>
        </w:rPr>
        <w:t>interactions</w:t>
      </w:r>
      <w:r w:rsidRPr="0013324D">
        <w:rPr>
          <w:rStyle w:val="apple-converted-space"/>
          <w:szCs w:val="20"/>
          <w:lang w:val="en-US"/>
        </w:rPr>
        <w:t> </w:t>
      </w:r>
      <w:r w:rsidRPr="0013324D">
        <w:rPr>
          <w:szCs w:val="20"/>
          <w:lang w:val="en-US"/>
        </w:rPr>
        <w:t>has received considerable attention over the last years. However, review of pertinent literature indicates that the available</w:t>
      </w:r>
      <w:r w:rsidRPr="0013324D">
        <w:rPr>
          <w:rStyle w:val="apple-converted-space"/>
          <w:szCs w:val="20"/>
          <w:lang w:val="en-US"/>
        </w:rPr>
        <w:t> </w:t>
      </w:r>
      <w:r w:rsidRPr="0013324D">
        <w:rPr>
          <w:rStyle w:val="highlight"/>
          <w:szCs w:val="20"/>
          <w:lang w:val="en-US"/>
        </w:rPr>
        <w:t>clinical</w:t>
      </w:r>
      <w:r w:rsidRPr="0013324D">
        <w:rPr>
          <w:rStyle w:val="apple-converted-space"/>
          <w:szCs w:val="20"/>
          <w:lang w:val="en-US"/>
        </w:rPr>
        <w:t> </w:t>
      </w:r>
      <w:r w:rsidRPr="0013324D">
        <w:rPr>
          <w:rStyle w:val="highlight"/>
          <w:szCs w:val="20"/>
          <w:lang w:val="en-US"/>
        </w:rPr>
        <w:t>evidence</w:t>
      </w:r>
      <w:r w:rsidRPr="0013324D">
        <w:rPr>
          <w:rStyle w:val="apple-converted-space"/>
          <w:szCs w:val="20"/>
          <w:lang w:val="en-US"/>
        </w:rPr>
        <w:t> </w:t>
      </w:r>
      <w:r w:rsidRPr="0013324D">
        <w:rPr>
          <w:szCs w:val="20"/>
          <w:lang w:val="en-US"/>
        </w:rPr>
        <w:t>in this regard is still limited and sometimes inconclusive. Also, communication of herb-</w:t>
      </w:r>
      <w:r w:rsidRPr="0013324D">
        <w:rPr>
          <w:rStyle w:val="highlight"/>
          <w:szCs w:val="20"/>
          <w:lang w:val="en-US"/>
        </w:rPr>
        <w:t>drug</w:t>
      </w:r>
      <w:r w:rsidRPr="0013324D">
        <w:rPr>
          <w:rStyle w:val="apple-converted-space"/>
          <w:szCs w:val="20"/>
          <w:lang w:val="en-US"/>
        </w:rPr>
        <w:t> </w:t>
      </w:r>
      <w:r w:rsidRPr="0013324D">
        <w:rPr>
          <w:szCs w:val="20"/>
          <w:lang w:val="en-US"/>
        </w:rPr>
        <w:t>interaction data in the biopharmaceutical/medical literature is often complex and confusing, not always unbiased, and in many cases appears not to strive for clear-cut and useful guidance in terms of the</w:t>
      </w:r>
      <w:r w:rsidRPr="0013324D">
        <w:rPr>
          <w:rStyle w:val="apple-converted-space"/>
          <w:szCs w:val="20"/>
          <w:lang w:val="en-US"/>
        </w:rPr>
        <w:t> </w:t>
      </w:r>
      <w:r w:rsidRPr="0013324D">
        <w:rPr>
          <w:rStyle w:val="highlight"/>
          <w:szCs w:val="20"/>
          <w:lang w:val="en-US"/>
        </w:rPr>
        <w:t>clinical</w:t>
      </w:r>
      <w:r w:rsidRPr="0013324D">
        <w:rPr>
          <w:rStyle w:val="apple-converted-space"/>
          <w:szCs w:val="20"/>
          <w:lang w:val="en-US"/>
        </w:rPr>
        <w:t> </w:t>
      </w:r>
      <w:r w:rsidRPr="0013324D">
        <w:rPr>
          <w:szCs w:val="20"/>
          <w:lang w:val="en-US"/>
        </w:rPr>
        <w:t>relevance of such findings.This systematic review summarizes and interprets the published</w:t>
      </w:r>
      <w:r w:rsidRPr="0013324D">
        <w:rPr>
          <w:rStyle w:val="apple-converted-space"/>
          <w:szCs w:val="20"/>
          <w:lang w:val="en-US"/>
        </w:rPr>
        <w:t> </w:t>
      </w:r>
      <w:r w:rsidRPr="0013324D">
        <w:rPr>
          <w:rStyle w:val="highlight"/>
          <w:szCs w:val="20"/>
          <w:lang w:val="en-US"/>
        </w:rPr>
        <w:t>evidence</w:t>
      </w:r>
      <w:r w:rsidRPr="0013324D">
        <w:rPr>
          <w:rStyle w:val="apple-converted-space"/>
          <w:szCs w:val="20"/>
          <w:lang w:val="en-US"/>
        </w:rPr>
        <w:t> </w:t>
      </w:r>
      <w:r w:rsidRPr="0013324D">
        <w:rPr>
          <w:szCs w:val="20"/>
          <w:lang w:val="en-US"/>
        </w:rPr>
        <w:t>on</w:t>
      </w:r>
      <w:r w:rsidRPr="0013324D">
        <w:rPr>
          <w:rStyle w:val="apple-converted-space"/>
          <w:szCs w:val="20"/>
          <w:lang w:val="en-US"/>
        </w:rPr>
        <w:t> </w:t>
      </w:r>
      <w:r w:rsidRPr="0013324D">
        <w:rPr>
          <w:rStyle w:val="highlight"/>
          <w:szCs w:val="20"/>
          <w:lang w:val="en-US"/>
        </w:rPr>
        <w:t>clinical</w:t>
      </w:r>
      <w:r w:rsidRPr="0013324D">
        <w:rPr>
          <w:rStyle w:val="apple-converted-space"/>
          <w:szCs w:val="20"/>
          <w:lang w:val="en-US"/>
        </w:rPr>
        <w:t> </w:t>
      </w:r>
      <w:r w:rsidRPr="0013324D">
        <w:rPr>
          <w:szCs w:val="20"/>
          <w:lang w:val="en-US"/>
        </w:rPr>
        <w:t>herb-</w:t>
      </w:r>
      <w:r w:rsidRPr="0013324D">
        <w:rPr>
          <w:rStyle w:val="highlight"/>
          <w:szCs w:val="20"/>
          <w:lang w:val="en-US"/>
        </w:rPr>
        <w:t>drug</w:t>
      </w:r>
      <w:r w:rsidRPr="0013324D">
        <w:rPr>
          <w:rStyle w:val="apple-converted-space"/>
          <w:szCs w:val="20"/>
          <w:lang w:val="en-US"/>
        </w:rPr>
        <w:t> </w:t>
      </w:r>
      <w:r w:rsidRPr="0013324D">
        <w:rPr>
          <w:szCs w:val="20"/>
          <w:lang w:val="en-US"/>
        </w:rPr>
        <w:t>interaction studies which examined the potential of six popular</w:t>
      </w:r>
      <w:r w:rsidRPr="0013324D">
        <w:rPr>
          <w:rStyle w:val="apple-converted-space"/>
          <w:szCs w:val="20"/>
          <w:lang w:val="en-US"/>
        </w:rPr>
        <w:t> </w:t>
      </w:r>
      <w:r w:rsidRPr="0013324D">
        <w:rPr>
          <w:rStyle w:val="highlight"/>
          <w:szCs w:val="20"/>
          <w:lang w:val="en-US"/>
        </w:rPr>
        <w:t>herbal</w:t>
      </w:r>
      <w:r w:rsidRPr="0013324D">
        <w:rPr>
          <w:rStyle w:val="apple-converted-space"/>
          <w:szCs w:val="20"/>
          <w:lang w:val="en-US"/>
        </w:rPr>
        <w:t> </w:t>
      </w:r>
      <w:r w:rsidRPr="0013324D">
        <w:rPr>
          <w:rStyle w:val="highlight"/>
          <w:szCs w:val="20"/>
          <w:lang w:val="en-US"/>
        </w:rPr>
        <w:t>drugs</w:t>
      </w:r>
      <w:r w:rsidRPr="0013324D">
        <w:rPr>
          <w:rStyle w:val="apple-converted-space"/>
          <w:szCs w:val="20"/>
          <w:lang w:val="en-US"/>
        </w:rPr>
        <w:t> </w:t>
      </w:r>
      <w:r w:rsidRPr="0013324D">
        <w:rPr>
          <w:szCs w:val="20"/>
          <w:lang w:val="en-US"/>
        </w:rPr>
        <w:t>(Echinacea, garlic, gingko, ginseng, goldenseal, and milk thistle) as</w:t>
      </w:r>
      <w:r w:rsidRPr="0013324D">
        <w:rPr>
          <w:rStyle w:val="apple-converted-space"/>
          <w:szCs w:val="20"/>
          <w:lang w:val="en-US"/>
        </w:rPr>
        <w:t> </w:t>
      </w:r>
      <w:r w:rsidRPr="0013324D">
        <w:rPr>
          <w:rStyle w:val="highlight"/>
          <w:szCs w:val="20"/>
          <w:lang w:val="en-US"/>
        </w:rPr>
        <w:t>perpetrators</w:t>
      </w:r>
      <w:r w:rsidRPr="0013324D">
        <w:rPr>
          <w:rStyle w:val="apple-converted-space"/>
          <w:szCs w:val="20"/>
          <w:lang w:val="en-US"/>
        </w:rPr>
        <w:t> </w:t>
      </w:r>
      <w:r w:rsidRPr="0013324D">
        <w:rPr>
          <w:szCs w:val="20"/>
          <w:lang w:val="en-US"/>
        </w:rPr>
        <w:t>of</w:t>
      </w:r>
      <w:r w:rsidRPr="0013324D">
        <w:rPr>
          <w:rStyle w:val="apple-converted-space"/>
          <w:szCs w:val="20"/>
          <w:lang w:val="en-US"/>
        </w:rPr>
        <w:t> </w:t>
      </w:r>
      <w:r w:rsidRPr="0013324D">
        <w:rPr>
          <w:rStyle w:val="highlight"/>
          <w:szCs w:val="20"/>
          <w:lang w:val="en-US"/>
        </w:rPr>
        <w:t>pharmacokinetic</w:t>
      </w:r>
      <w:r w:rsidRPr="0013324D">
        <w:rPr>
          <w:rStyle w:val="apple-converted-space"/>
          <w:szCs w:val="20"/>
          <w:lang w:val="en-US"/>
        </w:rPr>
        <w:t> </w:t>
      </w:r>
      <w:r w:rsidRPr="0013324D">
        <w:rPr>
          <w:szCs w:val="20"/>
          <w:lang w:val="en-US"/>
        </w:rPr>
        <w:t>(PK)</w:t>
      </w:r>
      <w:r w:rsidRPr="0013324D">
        <w:rPr>
          <w:rStyle w:val="apple-converted-space"/>
          <w:szCs w:val="20"/>
          <w:lang w:val="en-US"/>
        </w:rPr>
        <w:t> </w:t>
      </w:r>
      <w:r w:rsidRPr="0013324D">
        <w:rPr>
          <w:rStyle w:val="highlight"/>
          <w:szCs w:val="20"/>
          <w:lang w:val="en-US"/>
        </w:rPr>
        <w:t>drug</w:t>
      </w:r>
      <w:r w:rsidRPr="0013324D">
        <w:rPr>
          <w:rStyle w:val="apple-converted-space"/>
          <w:szCs w:val="20"/>
          <w:lang w:val="en-US"/>
        </w:rPr>
        <w:t> </w:t>
      </w:r>
      <w:r w:rsidRPr="0013324D">
        <w:rPr>
          <w:rStyle w:val="highlight"/>
          <w:szCs w:val="20"/>
          <w:lang w:val="en-US"/>
        </w:rPr>
        <w:t>interactions</w:t>
      </w:r>
      <w:r w:rsidRPr="0013324D">
        <w:rPr>
          <w:szCs w:val="20"/>
          <w:lang w:val="en-US"/>
        </w:rPr>
        <w:t>. Reported effect sizes were systematically categorized according to FDA</w:t>
      </w:r>
      <w:r w:rsidRPr="0013324D">
        <w:rPr>
          <w:rStyle w:val="apple-converted-space"/>
          <w:szCs w:val="20"/>
          <w:lang w:val="en-US"/>
        </w:rPr>
        <w:t> </w:t>
      </w:r>
      <w:r w:rsidRPr="0013324D">
        <w:rPr>
          <w:rStyle w:val="highlight"/>
          <w:szCs w:val="20"/>
          <w:lang w:val="en-US"/>
        </w:rPr>
        <w:t>drug</w:t>
      </w:r>
      <w:r w:rsidRPr="0013324D">
        <w:rPr>
          <w:rStyle w:val="apple-converted-space"/>
          <w:szCs w:val="20"/>
          <w:lang w:val="en-US"/>
        </w:rPr>
        <w:t> </w:t>
      </w:r>
      <w:r w:rsidRPr="0013324D">
        <w:rPr>
          <w:szCs w:val="20"/>
          <w:lang w:val="en-US"/>
        </w:rPr>
        <w:t>interaction guideline criteria. A total of 66</w:t>
      </w:r>
      <w:r w:rsidRPr="0013324D">
        <w:rPr>
          <w:rStyle w:val="apple-converted-space"/>
          <w:szCs w:val="20"/>
          <w:lang w:val="en-US"/>
        </w:rPr>
        <w:t> </w:t>
      </w:r>
      <w:r w:rsidRPr="0013324D">
        <w:rPr>
          <w:rStyle w:val="highlight"/>
          <w:szCs w:val="20"/>
          <w:lang w:val="en-US"/>
        </w:rPr>
        <w:t>clinical</w:t>
      </w:r>
      <w:r w:rsidRPr="0013324D">
        <w:rPr>
          <w:rStyle w:val="apple-converted-space"/>
          <w:szCs w:val="20"/>
          <w:lang w:val="en-US"/>
        </w:rPr>
        <w:t> </w:t>
      </w:r>
      <w:r w:rsidRPr="0013324D">
        <w:rPr>
          <w:szCs w:val="20"/>
          <w:lang w:val="en-US"/>
        </w:rPr>
        <w:t>PK interaction studies, meeting the scope of the present review, were identified. The</w:t>
      </w:r>
      <w:r w:rsidRPr="0013324D">
        <w:rPr>
          <w:rStyle w:val="apple-converted-space"/>
          <w:szCs w:val="20"/>
          <w:lang w:val="en-US"/>
        </w:rPr>
        <w:t> </w:t>
      </w:r>
      <w:r w:rsidRPr="0013324D">
        <w:rPr>
          <w:rStyle w:val="highlight"/>
          <w:szCs w:val="20"/>
          <w:lang w:val="en-US"/>
        </w:rPr>
        <w:t>clinical</w:t>
      </w:r>
      <w:r w:rsidRPr="0013324D">
        <w:rPr>
          <w:rStyle w:val="apple-converted-space"/>
          <w:szCs w:val="20"/>
          <w:lang w:val="en-US"/>
        </w:rPr>
        <w:t> </w:t>
      </w:r>
      <w:r w:rsidRPr="0013324D">
        <w:rPr>
          <w:rStyle w:val="highlight"/>
          <w:szCs w:val="20"/>
          <w:lang w:val="en-US"/>
        </w:rPr>
        <w:t>evidence</w:t>
      </w:r>
      <w:r w:rsidRPr="0013324D">
        <w:rPr>
          <w:rStyle w:val="apple-converted-space"/>
          <w:szCs w:val="20"/>
          <w:lang w:val="en-US"/>
        </w:rPr>
        <w:t> </w:t>
      </w:r>
      <w:r w:rsidRPr="0013324D">
        <w:rPr>
          <w:szCs w:val="20"/>
          <w:lang w:val="en-US"/>
        </w:rPr>
        <w:t>was found to be most robust and informative for Gingko biloba (GB; 21 studies) and milk thistle/silymarin (MT; 13), and appears still limited for ginseng (9), goldenseal/berberine (GS; 8), garlic (8), and Echinacea (7). Collectively, the available</w:t>
      </w:r>
      <w:r w:rsidRPr="0013324D">
        <w:rPr>
          <w:rStyle w:val="apple-converted-space"/>
          <w:szCs w:val="20"/>
          <w:lang w:val="en-US"/>
        </w:rPr>
        <w:t> </w:t>
      </w:r>
      <w:r w:rsidRPr="0013324D">
        <w:rPr>
          <w:rStyle w:val="highlight"/>
          <w:szCs w:val="20"/>
          <w:lang w:val="en-US"/>
        </w:rPr>
        <w:t>evidence</w:t>
      </w:r>
      <w:r w:rsidRPr="0013324D">
        <w:rPr>
          <w:rStyle w:val="apple-converted-space"/>
          <w:szCs w:val="20"/>
          <w:lang w:val="en-US"/>
        </w:rPr>
        <w:t> </w:t>
      </w:r>
      <w:r w:rsidRPr="0013324D">
        <w:rPr>
          <w:szCs w:val="20"/>
          <w:lang w:val="en-US"/>
        </w:rPr>
        <w:t xml:space="preserve">indicates that, at commonly recommended doses, none of these herbs act as potent or moderate inhibitors or inducers of cytochrome P450 (CYP) enzymes or P-glycoprotein (ABCB1). Weak effects in terms of either induction or inhibition were found for GB (presystemic/hepatic CYP3A4 induction/inhibition, CYP2C19 induction at high doses), milk thistle/silymarin (CYP2C9 inhibition), GS/berberine (CYP3A4 and CYP2D6 inhibition), Echinacea (presystemic/hepatic CYP3A4 inhibition/induction, CYP1A2 and CYP2C9 inhibition at high doses). Information was found not always complete for the </w:t>
      </w:r>
      <w:r w:rsidRPr="0013324D">
        <w:rPr>
          <w:szCs w:val="20"/>
          <w:lang w:val="en-US"/>
        </w:rPr>
        <w:lastRenderedPageBreak/>
        <w:t>major</w:t>
      </w:r>
      <w:r w:rsidRPr="0013324D">
        <w:rPr>
          <w:rStyle w:val="apple-converted-space"/>
          <w:szCs w:val="20"/>
          <w:lang w:val="en-US"/>
        </w:rPr>
        <w:t> </w:t>
      </w:r>
      <w:r w:rsidRPr="0013324D">
        <w:rPr>
          <w:rStyle w:val="highlight"/>
          <w:szCs w:val="20"/>
          <w:lang w:val="en-US"/>
        </w:rPr>
        <w:t>drug</w:t>
      </w:r>
      <w:r w:rsidRPr="0013324D">
        <w:rPr>
          <w:rStyle w:val="apple-converted-space"/>
          <w:szCs w:val="20"/>
          <w:lang w:val="en-US"/>
        </w:rPr>
        <w:t> </w:t>
      </w:r>
      <w:r w:rsidRPr="0013324D">
        <w:rPr>
          <w:szCs w:val="20"/>
          <w:lang w:val="en-US"/>
        </w:rPr>
        <w:t>metabolizing CYP enzymes in the less well-studied herbs and is largely limited to P-glycoprotein (ABCB1) when effects on</w:t>
      </w:r>
      <w:r w:rsidRPr="0013324D">
        <w:rPr>
          <w:rStyle w:val="apple-converted-space"/>
          <w:szCs w:val="20"/>
          <w:lang w:val="en-US"/>
        </w:rPr>
        <w:t> </w:t>
      </w:r>
      <w:r w:rsidRPr="0013324D">
        <w:rPr>
          <w:rStyle w:val="highlight"/>
          <w:szCs w:val="20"/>
          <w:lang w:val="en-US"/>
        </w:rPr>
        <w:t>drug</w:t>
      </w:r>
      <w:r w:rsidRPr="0013324D">
        <w:rPr>
          <w:rStyle w:val="apple-converted-space"/>
          <w:szCs w:val="20"/>
          <w:lang w:val="en-US"/>
        </w:rPr>
        <w:t> </w:t>
      </w:r>
      <w:r w:rsidRPr="0013324D">
        <w:rPr>
          <w:szCs w:val="20"/>
          <w:lang w:val="en-US"/>
        </w:rPr>
        <w:t>transporters have been investigated.</w:t>
      </w:r>
    </w:p>
    <w:p w:rsidR="00975689" w:rsidRPr="0013324D" w:rsidRDefault="00975689" w:rsidP="00975689">
      <w:pPr>
        <w:pStyle w:val="Corpo"/>
        <w:rPr>
          <w:szCs w:val="20"/>
          <w:lang w:val="en-US"/>
        </w:rPr>
      </w:pPr>
      <w:r w:rsidRPr="0013324D">
        <w:rPr>
          <w:szCs w:val="20"/>
          <w:lang w:val="en-US"/>
        </w:rPr>
        <w:t>Georg Thieme Verlag KG Stuttgart · New York.</w:t>
      </w:r>
    </w:p>
    <w:p w:rsidR="00975689" w:rsidRPr="00B12D79" w:rsidRDefault="00975689" w:rsidP="00975689">
      <w:pPr>
        <w:pStyle w:val="Corpo"/>
        <w:rPr>
          <w:rStyle w:val="apple-converted-space"/>
          <w:szCs w:val="17"/>
          <w:lang w:val="en-US"/>
        </w:rPr>
      </w:pPr>
      <w:r w:rsidRPr="00B12D79">
        <w:rPr>
          <w:szCs w:val="17"/>
          <w:lang w:val="en-US"/>
        </w:rPr>
        <w:t>PMID:</w:t>
      </w:r>
      <w:r w:rsidRPr="00B12D79">
        <w:rPr>
          <w:rStyle w:val="apple-converted-space"/>
          <w:szCs w:val="17"/>
          <w:lang w:val="en-US"/>
        </w:rPr>
        <w:t> </w:t>
      </w:r>
      <w:r w:rsidRPr="00B12D79">
        <w:rPr>
          <w:szCs w:val="17"/>
          <w:lang w:val="en-US"/>
        </w:rPr>
        <w:t>22855269</w:t>
      </w:r>
      <w:r w:rsidRPr="00B12D79">
        <w:rPr>
          <w:rStyle w:val="apple-converted-space"/>
          <w:szCs w:val="17"/>
          <w:lang w:val="en-US"/>
        </w:rPr>
        <w:t> </w:t>
      </w:r>
      <w:r w:rsidRPr="00B12D79">
        <w:rPr>
          <w:szCs w:val="17"/>
          <w:lang w:val="en-US"/>
        </w:rPr>
        <w:t>[PubMed - indexed for MEDLINE]</w:t>
      </w:r>
      <w:r w:rsidRPr="00B12D79">
        <w:rPr>
          <w:rStyle w:val="apple-converted-space"/>
          <w:szCs w:val="17"/>
          <w:lang w:val="en-US"/>
        </w:rPr>
        <w:t> </w:t>
      </w:r>
    </w:p>
    <w:p w:rsidR="00975689" w:rsidRDefault="00975689" w:rsidP="00975689">
      <w:pPr>
        <w:pStyle w:val="Corpo"/>
        <w:rPr>
          <w:rStyle w:val="apple-converted-space"/>
          <w:szCs w:val="17"/>
          <w:lang w:val="en-US"/>
        </w:rPr>
      </w:pPr>
    </w:p>
    <w:p w:rsidR="00975689" w:rsidRPr="00B12D79" w:rsidRDefault="00975689" w:rsidP="00975689">
      <w:pPr>
        <w:pStyle w:val="Corpo"/>
        <w:rPr>
          <w:szCs w:val="17"/>
          <w:lang w:val="en-US"/>
        </w:rPr>
      </w:pPr>
    </w:p>
    <w:p w:rsidR="00975689" w:rsidRPr="0013324D" w:rsidRDefault="00935914" w:rsidP="00975689">
      <w:pPr>
        <w:pStyle w:val="Corpo"/>
        <w:rPr>
          <w:lang w:val="en-US"/>
        </w:rPr>
      </w:pPr>
      <w:hyperlink r:id="rId137" w:tooltip="Pakistan journal of pharmaceutical sciences." w:history="1">
        <w:r w:rsidR="00975689" w:rsidRPr="0013324D">
          <w:rPr>
            <w:rStyle w:val="Hyperlink"/>
            <w:color w:val="808080" w:themeColor="background1" w:themeShade="80"/>
            <w:szCs w:val="20"/>
            <w:u w:val="none"/>
            <w:lang w:val="en-US"/>
          </w:rPr>
          <w:t>Pak J Pharm Sci.</w:t>
        </w:r>
      </w:hyperlink>
      <w:r w:rsidR="00975689" w:rsidRPr="0013324D">
        <w:rPr>
          <w:rStyle w:val="apple-converted-space"/>
          <w:szCs w:val="20"/>
          <w:lang w:val="en-US"/>
        </w:rPr>
        <w:t> </w:t>
      </w:r>
      <w:r w:rsidR="00975689" w:rsidRPr="0013324D">
        <w:rPr>
          <w:szCs w:val="20"/>
          <w:lang w:val="en-US"/>
        </w:rPr>
        <w:t>2013 Sep;26(5):859-63.</w:t>
      </w:r>
    </w:p>
    <w:p w:rsidR="00975689" w:rsidRPr="0013324D" w:rsidRDefault="00975689" w:rsidP="00975689">
      <w:pPr>
        <w:pStyle w:val="Corpo"/>
        <w:rPr>
          <w:b/>
          <w:szCs w:val="20"/>
          <w:lang w:val="en-US"/>
        </w:rPr>
      </w:pPr>
      <w:r w:rsidRPr="0013324D">
        <w:rPr>
          <w:b/>
          <w:szCs w:val="30"/>
          <w:lang w:val="en-US"/>
        </w:rPr>
        <w:t>Effects of Allium sativum (garlic) on systolic and diastolic blood pressure in patients with essential hypertension.</w:t>
      </w:r>
    </w:p>
    <w:p w:rsidR="00975689" w:rsidRPr="0013324D" w:rsidRDefault="00935914" w:rsidP="00975689">
      <w:pPr>
        <w:pStyle w:val="Corpo"/>
        <w:rPr>
          <w:szCs w:val="30"/>
          <w:lang w:val="en-US"/>
        </w:rPr>
      </w:pPr>
      <w:hyperlink r:id="rId138" w:history="1">
        <w:r w:rsidR="00975689" w:rsidRPr="0013324D">
          <w:rPr>
            <w:rStyle w:val="Hyperlink"/>
            <w:color w:val="808080" w:themeColor="background1" w:themeShade="80"/>
            <w:szCs w:val="22"/>
            <w:u w:val="none"/>
            <w:lang w:val="en-US"/>
          </w:rPr>
          <w:t>Ashraf R</w:t>
        </w:r>
      </w:hyperlink>
      <w:r w:rsidR="00975689" w:rsidRPr="0013324D">
        <w:rPr>
          <w:szCs w:val="19"/>
          <w:lang w:val="en-US"/>
        </w:rPr>
        <w:t>1</w:t>
      </w:r>
      <w:r w:rsidR="00975689" w:rsidRPr="0013324D">
        <w:rPr>
          <w:szCs w:val="22"/>
          <w:lang w:val="en-US"/>
        </w:rPr>
        <w:t>,</w:t>
      </w:r>
      <w:r w:rsidR="00975689" w:rsidRPr="0013324D">
        <w:rPr>
          <w:rStyle w:val="apple-converted-space"/>
          <w:szCs w:val="22"/>
          <w:lang w:val="en-US"/>
        </w:rPr>
        <w:t> </w:t>
      </w:r>
      <w:hyperlink r:id="rId139" w:history="1">
        <w:r w:rsidR="00975689" w:rsidRPr="0013324D">
          <w:rPr>
            <w:rStyle w:val="Hyperlink"/>
            <w:color w:val="808080" w:themeColor="background1" w:themeShade="80"/>
            <w:szCs w:val="22"/>
            <w:u w:val="none"/>
            <w:lang w:val="en-US"/>
          </w:rPr>
          <w:t>Khan RA</w:t>
        </w:r>
      </w:hyperlink>
      <w:r w:rsidR="00975689" w:rsidRPr="0013324D">
        <w:rPr>
          <w:szCs w:val="22"/>
          <w:lang w:val="en-US"/>
        </w:rPr>
        <w:t>,</w:t>
      </w:r>
      <w:r w:rsidR="00975689" w:rsidRPr="0013324D">
        <w:rPr>
          <w:rStyle w:val="apple-converted-space"/>
          <w:szCs w:val="22"/>
          <w:lang w:val="en-US"/>
        </w:rPr>
        <w:t> </w:t>
      </w:r>
      <w:hyperlink r:id="rId140" w:history="1">
        <w:r w:rsidR="00975689" w:rsidRPr="0013324D">
          <w:rPr>
            <w:rStyle w:val="Hyperlink"/>
            <w:color w:val="808080" w:themeColor="background1" w:themeShade="80"/>
            <w:szCs w:val="22"/>
            <w:u w:val="none"/>
            <w:lang w:val="en-US"/>
          </w:rPr>
          <w:t>Ashraf I</w:t>
        </w:r>
      </w:hyperlink>
      <w:r w:rsidR="00975689" w:rsidRPr="0013324D">
        <w:rPr>
          <w:szCs w:val="22"/>
          <w:lang w:val="en-US"/>
        </w:rPr>
        <w:t>,</w:t>
      </w:r>
      <w:r w:rsidR="00975689" w:rsidRPr="0013324D">
        <w:rPr>
          <w:rStyle w:val="apple-converted-space"/>
          <w:szCs w:val="22"/>
          <w:lang w:val="en-US"/>
        </w:rPr>
        <w:t> </w:t>
      </w:r>
      <w:hyperlink r:id="rId141" w:history="1">
        <w:r w:rsidR="00975689" w:rsidRPr="0013324D">
          <w:rPr>
            <w:rStyle w:val="Hyperlink"/>
            <w:color w:val="808080" w:themeColor="background1" w:themeShade="80"/>
            <w:szCs w:val="22"/>
            <w:u w:val="none"/>
            <w:lang w:val="en-US"/>
          </w:rPr>
          <w:t>Qureshi AA</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13324D" w:rsidRDefault="00975689" w:rsidP="00975689">
      <w:pPr>
        <w:pStyle w:val="Corpo"/>
        <w:rPr>
          <w:szCs w:val="22"/>
          <w:lang w:val="en-US"/>
        </w:rPr>
      </w:pPr>
      <w:r w:rsidRPr="0013324D">
        <w:rPr>
          <w:szCs w:val="20"/>
          <w:lang w:val="en-US"/>
        </w:rPr>
        <w:t>The present study evaluated the effects of garlic on blood pressure in patients with essential hypertension. Patients (n=210) with stage 1 essential hypertension were divided into 7 groups named as A, B, C, D, E, F and G. Each group comprised of 30 patients. Each patient in group A, B, C, D and E has received garlic tablets at the dose of 300/mg. 600/mg, 900/mg, 1200/mg and 1500/mg in divided doses per day respectively for 24 weeks while Group F &amp; group G were given tablet atenolol and placebo respectively. Blood pressure readings were recorded at weeks 0, 12 and 24. Present study showed significant decrease in both Systolic and Diastolic blood pressure in both dose and duration dependent manner. In each garlic treated group, significant reduction in SBP and DBP (p&amp;lt;0.005) were observed when compared with atenolol (P&amp;lt;0.005) and placebo.</w:t>
      </w:r>
    </w:p>
    <w:p w:rsidR="00975689" w:rsidRPr="00B12D79" w:rsidRDefault="00975689" w:rsidP="00975689">
      <w:pPr>
        <w:pStyle w:val="Corpo"/>
        <w:rPr>
          <w:szCs w:val="17"/>
          <w:lang w:val="en-US"/>
        </w:rPr>
      </w:pPr>
      <w:r w:rsidRPr="00B12D79">
        <w:rPr>
          <w:szCs w:val="17"/>
          <w:lang w:val="en-US"/>
        </w:rPr>
        <w:t>PMID:</w:t>
      </w:r>
      <w:r w:rsidRPr="00B12D79">
        <w:rPr>
          <w:rStyle w:val="apple-converted-space"/>
          <w:szCs w:val="17"/>
          <w:lang w:val="en-US"/>
        </w:rPr>
        <w:t> </w:t>
      </w:r>
      <w:r w:rsidRPr="00B12D79">
        <w:rPr>
          <w:szCs w:val="17"/>
          <w:lang w:val="en-US"/>
        </w:rPr>
        <w:t>24035939</w:t>
      </w:r>
      <w:r w:rsidRPr="00B12D79">
        <w:rPr>
          <w:rStyle w:val="apple-converted-space"/>
          <w:szCs w:val="17"/>
          <w:lang w:val="en-US"/>
        </w:rPr>
        <w:t> </w:t>
      </w:r>
      <w:r w:rsidRPr="00B12D79">
        <w:rPr>
          <w:szCs w:val="17"/>
          <w:lang w:val="en-US"/>
        </w:rPr>
        <w:t>[PubMed - indexed for MEDLINE]</w:t>
      </w:r>
    </w:p>
    <w:p w:rsidR="00975689" w:rsidRPr="00B12D79" w:rsidRDefault="00975689" w:rsidP="00975689">
      <w:pPr>
        <w:pStyle w:val="Corpo"/>
        <w:rPr>
          <w:szCs w:val="17"/>
          <w:lang w:val="en-US"/>
        </w:rPr>
      </w:pPr>
    </w:p>
    <w:p w:rsidR="00975689" w:rsidRPr="00B12D79" w:rsidRDefault="00975689" w:rsidP="00975689">
      <w:pPr>
        <w:pStyle w:val="Corpo"/>
        <w:rPr>
          <w:szCs w:val="17"/>
          <w:lang w:val="en-US"/>
        </w:rPr>
      </w:pPr>
    </w:p>
    <w:p w:rsidR="00975689" w:rsidRPr="00DA6181" w:rsidRDefault="00935914" w:rsidP="00975689">
      <w:pPr>
        <w:pStyle w:val="Corpo"/>
        <w:rPr>
          <w:lang w:val="en-US"/>
        </w:rPr>
      </w:pPr>
      <w:hyperlink r:id="rId142" w:tooltip="Biomedical papers of the Medical Faculty of the University Palacký, Olomouc, Czechoslovakia." w:history="1">
        <w:r w:rsidR="00975689" w:rsidRPr="0013324D">
          <w:rPr>
            <w:rStyle w:val="Hyperlink"/>
            <w:color w:val="808080" w:themeColor="background1" w:themeShade="80"/>
            <w:szCs w:val="20"/>
            <w:u w:val="none"/>
            <w:lang w:val="en-US"/>
          </w:rPr>
          <w:t>Biomed Pap Med Fac Univ Palacky Olomouc Czech Repub.</w:t>
        </w:r>
      </w:hyperlink>
      <w:r w:rsidR="00975689" w:rsidRPr="0013324D">
        <w:rPr>
          <w:rStyle w:val="apple-converted-space"/>
          <w:szCs w:val="20"/>
          <w:lang w:val="en-US"/>
        </w:rPr>
        <w:t> </w:t>
      </w:r>
      <w:r w:rsidR="00975689" w:rsidRPr="00DA6181">
        <w:rPr>
          <w:szCs w:val="20"/>
          <w:lang w:val="en-US"/>
        </w:rPr>
        <w:t>2010 Sep;154(3):239-44.</w:t>
      </w:r>
    </w:p>
    <w:p w:rsidR="00975689" w:rsidRPr="0013324D" w:rsidRDefault="00975689" w:rsidP="00975689">
      <w:pPr>
        <w:pStyle w:val="Corpo"/>
        <w:rPr>
          <w:b/>
          <w:szCs w:val="20"/>
          <w:lang w:val="en-US"/>
        </w:rPr>
      </w:pPr>
      <w:r w:rsidRPr="0013324D">
        <w:rPr>
          <w:b/>
          <w:szCs w:val="30"/>
          <w:lang w:val="en-US"/>
        </w:rPr>
        <w:t>The safety and efficacy of a silymarin and selenium combination in men after radical prostatectomy - a six month placebo-controlled double-blind</w:t>
      </w:r>
      <w:r w:rsidRPr="0013324D">
        <w:rPr>
          <w:rStyle w:val="apple-converted-space"/>
          <w:b/>
          <w:szCs w:val="30"/>
          <w:lang w:val="en-US"/>
        </w:rPr>
        <w:t> </w:t>
      </w:r>
      <w:r w:rsidRPr="0013324D">
        <w:rPr>
          <w:rStyle w:val="highlight"/>
          <w:b/>
          <w:szCs w:val="30"/>
          <w:lang w:val="en-US"/>
        </w:rPr>
        <w:t>clinical</w:t>
      </w:r>
      <w:r w:rsidRPr="0013324D">
        <w:rPr>
          <w:rStyle w:val="apple-converted-space"/>
          <w:b/>
          <w:szCs w:val="30"/>
          <w:lang w:val="en-US"/>
        </w:rPr>
        <w:t> </w:t>
      </w:r>
      <w:r w:rsidRPr="0013324D">
        <w:rPr>
          <w:b/>
          <w:szCs w:val="30"/>
          <w:lang w:val="en-US"/>
        </w:rPr>
        <w:t>trial.</w:t>
      </w:r>
    </w:p>
    <w:p w:rsidR="00975689" w:rsidRPr="0013324D" w:rsidRDefault="00935914" w:rsidP="00975689">
      <w:pPr>
        <w:pStyle w:val="Corpo"/>
        <w:rPr>
          <w:szCs w:val="30"/>
          <w:lang w:val="en-US"/>
        </w:rPr>
      </w:pPr>
      <w:hyperlink r:id="rId143" w:history="1">
        <w:r w:rsidR="00975689" w:rsidRPr="0013324D">
          <w:rPr>
            <w:rStyle w:val="Hyperlink"/>
            <w:color w:val="808080" w:themeColor="background1" w:themeShade="80"/>
            <w:szCs w:val="22"/>
            <w:u w:val="none"/>
            <w:lang w:val="en-US"/>
          </w:rPr>
          <w:t>Vidlar A</w:t>
        </w:r>
      </w:hyperlink>
      <w:r w:rsidR="00975689" w:rsidRPr="0013324D">
        <w:rPr>
          <w:szCs w:val="19"/>
          <w:lang w:val="en-US"/>
        </w:rPr>
        <w:t>1</w:t>
      </w:r>
      <w:r w:rsidR="00975689" w:rsidRPr="0013324D">
        <w:rPr>
          <w:szCs w:val="22"/>
          <w:lang w:val="en-US"/>
        </w:rPr>
        <w:t>,</w:t>
      </w:r>
      <w:r w:rsidR="00975689" w:rsidRPr="0013324D">
        <w:rPr>
          <w:rStyle w:val="apple-converted-space"/>
          <w:szCs w:val="22"/>
          <w:lang w:val="en-US"/>
        </w:rPr>
        <w:t> </w:t>
      </w:r>
      <w:hyperlink r:id="rId144" w:history="1">
        <w:r w:rsidR="00975689" w:rsidRPr="0013324D">
          <w:rPr>
            <w:rStyle w:val="Hyperlink"/>
            <w:color w:val="808080" w:themeColor="background1" w:themeShade="80"/>
            <w:szCs w:val="22"/>
            <w:u w:val="none"/>
            <w:lang w:val="en-US"/>
          </w:rPr>
          <w:t>Vostalova J</w:t>
        </w:r>
      </w:hyperlink>
      <w:r w:rsidR="00975689" w:rsidRPr="0013324D">
        <w:rPr>
          <w:szCs w:val="22"/>
          <w:lang w:val="en-US"/>
        </w:rPr>
        <w:t>,</w:t>
      </w:r>
      <w:r w:rsidR="00975689" w:rsidRPr="0013324D">
        <w:rPr>
          <w:rStyle w:val="apple-converted-space"/>
          <w:szCs w:val="22"/>
          <w:lang w:val="en-US"/>
        </w:rPr>
        <w:t> </w:t>
      </w:r>
      <w:hyperlink r:id="rId145" w:history="1">
        <w:r w:rsidR="00975689" w:rsidRPr="0013324D">
          <w:rPr>
            <w:rStyle w:val="Hyperlink"/>
            <w:color w:val="808080" w:themeColor="background1" w:themeShade="80"/>
            <w:szCs w:val="22"/>
            <w:u w:val="none"/>
            <w:lang w:val="en-US"/>
          </w:rPr>
          <w:t>Ulrichova J</w:t>
        </w:r>
      </w:hyperlink>
      <w:r w:rsidR="00975689" w:rsidRPr="0013324D">
        <w:rPr>
          <w:szCs w:val="22"/>
          <w:lang w:val="en-US"/>
        </w:rPr>
        <w:t>,</w:t>
      </w:r>
      <w:r w:rsidR="00975689" w:rsidRPr="0013324D">
        <w:rPr>
          <w:rStyle w:val="apple-converted-space"/>
          <w:szCs w:val="22"/>
          <w:lang w:val="en-US"/>
        </w:rPr>
        <w:t> </w:t>
      </w:r>
      <w:hyperlink r:id="rId146" w:history="1">
        <w:r w:rsidR="00975689" w:rsidRPr="0013324D">
          <w:rPr>
            <w:rStyle w:val="Hyperlink"/>
            <w:color w:val="808080" w:themeColor="background1" w:themeShade="80"/>
            <w:szCs w:val="22"/>
            <w:u w:val="none"/>
            <w:lang w:val="en-US"/>
          </w:rPr>
          <w:t>Student V</w:t>
        </w:r>
      </w:hyperlink>
      <w:r w:rsidR="00975689" w:rsidRPr="0013324D">
        <w:rPr>
          <w:szCs w:val="22"/>
          <w:lang w:val="en-US"/>
        </w:rPr>
        <w:t>,</w:t>
      </w:r>
      <w:r w:rsidR="00975689" w:rsidRPr="0013324D">
        <w:rPr>
          <w:rStyle w:val="apple-converted-space"/>
          <w:szCs w:val="22"/>
          <w:lang w:val="en-US"/>
        </w:rPr>
        <w:t> </w:t>
      </w:r>
      <w:hyperlink r:id="rId147" w:history="1">
        <w:r w:rsidR="00975689" w:rsidRPr="0013324D">
          <w:rPr>
            <w:rStyle w:val="Hyperlink"/>
            <w:color w:val="808080" w:themeColor="background1" w:themeShade="80"/>
            <w:szCs w:val="22"/>
            <w:u w:val="none"/>
            <w:lang w:val="en-US"/>
          </w:rPr>
          <w:t>Krajicek M</w:t>
        </w:r>
      </w:hyperlink>
      <w:r w:rsidR="00975689" w:rsidRPr="0013324D">
        <w:rPr>
          <w:szCs w:val="22"/>
          <w:lang w:val="en-US"/>
        </w:rPr>
        <w:t>,</w:t>
      </w:r>
      <w:r w:rsidR="00975689" w:rsidRPr="0013324D">
        <w:rPr>
          <w:rStyle w:val="apple-converted-space"/>
          <w:szCs w:val="22"/>
          <w:lang w:val="en-US"/>
        </w:rPr>
        <w:t> </w:t>
      </w:r>
      <w:hyperlink r:id="rId148" w:history="1">
        <w:r w:rsidR="00975689" w:rsidRPr="0013324D">
          <w:rPr>
            <w:rStyle w:val="Hyperlink"/>
            <w:color w:val="808080" w:themeColor="background1" w:themeShade="80"/>
            <w:szCs w:val="22"/>
            <w:u w:val="none"/>
            <w:lang w:val="en-US"/>
          </w:rPr>
          <w:t>Vrbkova J</w:t>
        </w:r>
      </w:hyperlink>
      <w:r w:rsidR="00975689" w:rsidRPr="0013324D">
        <w:rPr>
          <w:szCs w:val="22"/>
          <w:lang w:val="en-US"/>
        </w:rPr>
        <w:t>,</w:t>
      </w:r>
      <w:r w:rsidR="00975689" w:rsidRPr="0013324D">
        <w:rPr>
          <w:rStyle w:val="apple-converted-space"/>
          <w:szCs w:val="22"/>
          <w:lang w:val="en-US"/>
        </w:rPr>
        <w:t> </w:t>
      </w:r>
      <w:hyperlink r:id="rId149" w:history="1">
        <w:r w:rsidR="00975689" w:rsidRPr="0013324D">
          <w:rPr>
            <w:rStyle w:val="Hyperlink"/>
            <w:color w:val="808080" w:themeColor="background1" w:themeShade="80"/>
            <w:szCs w:val="22"/>
            <w:u w:val="none"/>
            <w:lang w:val="en-US"/>
          </w:rPr>
          <w:t>Simanek V</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13324D" w:rsidRDefault="00975689" w:rsidP="00975689">
      <w:pPr>
        <w:pStyle w:val="Corpo"/>
        <w:rPr>
          <w:szCs w:val="20"/>
          <w:lang w:val="en-US"/>
        </w:rPr>
      </w:pPr>
      <w:r w:rsidRPr="00B12D79">
        <w:rPr>
          <w:szCs w:val="20"/>
          <w:lang w:val="en-US"/>
        </w:rPr>
        <w:t xml:space="preserve">BACKGROUND: Silymarin, a milk thistle flavonolignan mixture, has anti-proliferative and anti-angiogenic activities in xenografts of human prostate cancer (PCa). </w:t>
      </w:r>
      <w:r w:rsidRPr="0013324D">
        <w:rPr>
          <w:szCs w:val="20"/>
          <w:lang w:val="en-US"/>
        </w:rPr>
        <w:t>Low dietary selenium on the other hand has been associated with increased incidence of PCa. The purpose of the current trial was to determine whether a daily administration of a silymarin and selenium (SM-Se) combination for 6 months would alter basic</w:t>
      </w:r>
      <w:r w:rsidRPr="0013324D">
        <w:rPr>
          <w:rStyle w:val="apple-converted-space"/>
          <w:szCs w:val="20"/>
          <w:lang w:val="en-US"/>
        </w:rPr>
        <w:t> </w:t>
      </w:r>
      <w:r w:rsidRPr="0013324D">
        <w:rPr>
          <w:rStyle w:val="highlight"/>
          <w:szCs w:val="20"/>
          <w:lang w:val="en-US"/>
        </w:rPr>
        <w:t>clinical</w:t>
      </w:r>
      <w:r w:rsidRPr="0013324D">
        <w:rPr>
          <w:rStyle w:val="apple-converted-space"/>
          <w:szCs w:val="20"/>
          <w:lang w:val="en-US"/>
        </w:rPr>
        <w:t> </w:t>
      </w:r>
      <w:r w:rsidRPr="0013324D">
        <w:rPr>
          <w:szCs w:val="20"/>
          <w:lang w:val="en-US"/>
        </w:rPr>
        <w:t>chemistry and oxidative stress markers, and improve the quality of life score (QoL) in men after radical prostatectomy (RP).</w:t>
      </w:r>
    </w:p>
    <w:p w:rsidR="00975689" w:rsidRPr="0013324D" w:rsidRDefault="00975689" w:rsidP="00975689">
      <w:pPr>
        <w:pStyle w:val="Corpo"/>
        <w:rPr>
          <w:szCs w:val="20"/>
          <w:lang w:val="en-US"/>
        </w:rPr>
      </w:pPr>
      <w:r w:rsidRPr="00B12D79">
        <w:rPr>
          <w:szCs w:val="20"/>
          <w:lang w:val="en-US"/>
        </w:rPr>
        <w:t xml:space="preserve">METHODS: Thirty seven participants, 2-3 months after RP, were randomly assigned to receive 570 mg of silymarin and 240 µg of selenium as selenomethionine (n = 19, SM-Se group) or placebo (n = 18, Placebo group) daily for six months. </w:t>
      </w:r>
      <w:r w:rsidRPr="0013324D">
        <w:rPr>
          <w:szCs w:val="20"/>
          <w:lang w:val="en-US"/>
        </w:rPr>
        <w:t>Both groups had similar</w:t>
      </w:r>
      <w:r w:rsidRPr="0013324D">
        <w:rPr>
          <w:rStyle w:val="apple-converted-space"/>
          <w:szCs w:val="20"/>
          <w:lang w:val="en-US"/>
        </w:rPr>
        <w:t> </w:t>
      </w:r>
      <w:r w:rsidRPr="0013324D">
        <w:rPr>
          <w:rStyle w:val="highlight"/>
          <w:szCs w:val="20"/>
          <w:lang w:val="en-US"/>
        </w:rPr>
        <w:t>clinical</w:t>
      </w:r>
      <w:r w:rsidRPr="0013324D">
        <w:rPr>
          <w:rStyle w:val="apple-converted-space"/>
          <w:szCs w:val="20"/>
          <w:lang w:val="en-US"/>
        </w:rPr>
        <w:t> </w:t>
      </w:r>
      <w:r w:rsidRPr="0013324D">
        <w:rPr>
          <w:szCs w:val="20"/>
          <w:lang w:val="en-US"/>
        </w:rPr>
        <w:t>and demographic characteristics. Physical examination, QoL score, haematology, basic</w:t>
      </w:r>
      <w:r w:rsidRPr="0013324D">
        <w:rPr>
          <w:rStyle w:val="apple-converted-space"/>
          <w:szCs w:val="20"/>
          <w:lang w:val="en-US"/>
        </w:rPr>
        <w:t> </w:t>
      </w:r>
      <w:r w:rsidRPr="0013324D">
        <w:rPr>
          <w:rStyle w:val="highlight"/>
          <w:szCs w:val="20"/>
          <w:lang w:val="en-US"/>
        </w:rPr>
        <w:t>clinical</w:t>
      </w:r>
      <w:r w:rsidRPr="0013324D">
        <w:rPr>
          <w:rStyle w:val="apple-converted-space"/>
          <w:szCs w:val="20"/>
          <w:lang w:val="en-US"/>
        </w:rPr>
        <w:t> </w:t>
      </w:r>
      <w:r w:rsidRPr="0013324D">
        <w:rPr>
          <w:szCs w:val="20"/>
          <w:lang w:val="en-US"/>
        </w:rPr>
        <w:t>chemistry and oxidative stress markers, selenium and testosterone levels, antioxidant status were evaluated at baseline, at 3 and 6 months.</w:t>
      </w:r>
    </w:p>
    <w:p w:rsidR="00975689" w:rsidRPr="0013324D" w:rsidRDefault="00975689" w:rsidP="00975689">
      <w:pPr>
        <w:pStyle w:val="Corpo"/>
        <w:rPr>
          <w:szCs w:val="20"/>
          <w:lang w:val="en-US"/>
        </w:rPr>
      </w:pPr>
      <w:r w:rsidRPr="00B12D79">
        <w:rPr>
          <w:szCs w:val="20"/>
          <w:lang w:val="en-US"/>
        </w:rPr>
        <w:lastRenderedPageBreak/>
        <w:t xml:space="preserve">RESULTS: The six months administration of silymarin and selenium improved the QoL score, decreased low density lipoproteins (LDL) and total cholesterol and, increased serum selenium levels. </w:t>
      </w:r>
      <w:r w:rsidRPr="0013324D">
        <w:rPr>
          <w:szCs w:val="20"/>
          <w:lang w:val="en-US"/>
        </w:rPr>
        <w:t>The combination had no effect on blood antioxidant status and no influence on testosterone level. No adverse events were recorded. No improvement was found in the placebo group.</w:t>
      </w:r>
    </w:p>
    <w:p w:rsidR="00975689" w:rsidRPr="0013324D" w:rsidRDefault="00975689" w:rsidP="00975689">
      <w:pPr>
        <w:pStyle w:val="Corpo"/>
        <w:rPr>
          <w:szCs w:val="20"/>
          <w:lang w:val="en-US"/>
        </w:rPr>
      </w:pPr>
      <w:r w:rsidRPr="00B12D79">
        <w:rPr>
          <w:szCs w:val="20"/>
          <w:lang w:val="en-US"/>
        </w:rPr>
        <w:t xml:space="preserve">CONCLUSIONS: The selected combination of silymarin and selenium significantly reduced two markers of lipid metabolism known to be associated with PCa progression, LDL and total cholesterol in the blood of men after RP. </w:t>
      </w:r>
      <w:r w:rsidRPr="0013324D">
        <w:rPr>
          <w:szCs w:val="20"/>
          <w:lang w:val="en-US"/>
        </w:rPr>
        <w:t>This suggests that this combination may be effective in reducing PCa progression.</w:t>
      </w:r>
    </w:p>
    <w:p w:rsidR="00975689" w:rsidRPr="00B12D79" w:rsidRDefault="00975689" w:rsidP="00975689">
      <w:pPr>
        <w:pStyle w:val="Corpo"/>
        <w:rPr>
          <w:rStyle w:val="apple-converted-space"/>
          <w:szCs w:val="17"/>
          <w:lang w:val="en-US"/>
        </w:rPr>
      </w:pPr>
      <w:r w:rsidRPr="00B12D79">
        <w:rPr>
          <w:szCs w:val="17"/>
          <w:lang w:val="en-US"/>
        </w:rPr>
        <w:t>PMID:</w:t>
      </w:r>
      <w:r w:rsidRPr="00B12D79">
        <w:rPr>
          <w:rStyle w:val="apple-converted-space"/>
          <w:szCs w:val="17"/>
          <w:lang w:val="en-US"/>
        </w:rPr>
        <w:t> </w:t>
      </w:r>
      <w:r w:rsidRPr="00B12D79">
        <w:rPr>
          <w:szCs w:val="17"/>
          <w:lang w:val="en-US"/>
        </w:rPr>
        <w:t>21048810</w:t>
      </w:r>
      <w:r w:rsidRPr="00B12D79">
        <w:rPr>
          <w:rStyle w:val="apple-converted-space"/>
          <w:szCs w:val="17"/>
          <w:lang w:val="en-US"/>
        </w:rPr>
        <w:t> </w:t>
      </w:r>
      <w:r w:rsidRPr="00B12D79">
        <w:rPr>
          <w:szCs w:val="17"/>
          <w:lang w:val="en-US"/>
        </w:rPr>
        <w:t>[PubMed - indexed for MEDLINE]</w:t>
      </w:r>
      <w:r w:rsidRPr="00B12D79">
        <w:rPr>
          <w:rStyle w:val="apple-converted-space"/>
          <w:szCs w:val="17"/>
          <w:lang w:val="en-US"/>
        </w:rPr>
        <w:t> </w:t>
      </w:r>
    </w:p>
    <w:p w:rsidR="00975689" w:rsidRDefault="00975689" w:rsidP="00975689">
      <w:pPr>
        <w:pStyle w:val="Corpo"/>
        <w:rPr>
          <w:rStyle w:val="apple-converted-space"/>
          <w:szCs w:val="17"/>
          <w:lang w:val="en-US"/>
        </w:rPr>
      </w:pPr>
    </w:p>
    <w:p w:rsidR="00975689" w:rsidRPr="00B12D79" w:rsidRDefault="00975689" w:rsidP="00975689">
      <w:pPr>
        <w:pStyle w:val="Corpo"/>
        <w:rPr>
          <w:szCs w:val="17"/>
          <w:lang w:val="en-US"/>
        </w:rPr>
      </w:pPr>
    </w:p>
    <w:p w:rsidR="00975689" w:rsidRPr="0013324D" w:rsidRDefault="00935914" w:rsidP="00975689">
      <w:pPr>
        <w:pStyle w:val="Corpo"/>
        <w:rPr>
          <w:lang w:val="en-US"/>
        </w:rPr>
      </w:pPr>
      <w:hyperlink r:id="rId150" w:tooltip="The British journal of nutrition." w:history="1">
        <w:r w:rsidR="00975689" w:rsidRPr="0013324D">
          <w:rPr>
            <w:rStyle w:val="Hyperlink"/>
            <w:color w:val="808080" w:themeColor="background1" w:themeShade="80"/>
            <w:szCs w:val="20"/>
            <w:u w:val="none"/>
            <w:lang w:val="en-US"/>
          </w:rPr>
          <w:t>Br J Nutr.</w:t>
        </w:r>
      </w:hyperlink>
      <w:r w:rsidR="00975689" w:rsidRPr="0013324D">
        <w:rPr>
          <w:rStyle w:val="apple-converted-space"/>
          <w:szCs w:val="20"/>
          <w:lang w:val="en-US"/>
        </w:rPr>
        <w:t> </w:t>
      </w:r>
      <w:r w:rsidR="00975689" w:rsidRPr="0013324D">
        <w:rPr>
          <w:lang w:val="en-US"/>
        </w:rPr>
        <w:t>2011 Jan;105(1):90-100. doi: 10.1017/S0007114510003132. Epub 2010 Aug 23.</w:t>
      </w:r>
    </w:p>
    <w:p w:rsidR="00975689" w:rsidRPr="0013324D" w:rsidRDefault="00975689" w:rsidP="00975689">
      <w:pPr>
        <w:pStyle w:val="Corpo"/>
        <w:rPr>
          <w:b/>
          <w:lang w:val="en-US"/>
        </w:rPr>
      </w:pPr>
      <w:r w:rsidRPr="0013324D">
        <w:rPr>
          <w:b/>
          <w:szCs w:val="30"/>
          <w:lang w:val="en-US"/>
        </w:rPr>
        <w:t>The effect of a fibre supplement compared to a healthy diet on body composition, lipids, glucose, insulin and other metabolic syndrome risk factors in overweight and obese individuals.</w:t>
      </w:r>
    </w:p>
    <w:p w:rsidR="00975689" w:rsidRPr="0013324D" w:rsidRDefault="00935914" w:rsidP="00975689">
      <w:pPr>
        <w:pStyle w:val="Corpo"/>
        <w:rPr>
          <w:szCs w:val="30"/>
          <w:lang w:val="en-US"/>
        </w:rPr>
      </w:pPr>
      <w:hyperlink r:id="rId151" w:history="1">
        <w:r w:rsidR="00975689" w:rsidRPr="0013324D">
          <w:rPr>
            <w:rStyle w:val="Hyperlink"/>
            <w:color w:val="808080" w:themeColor="background1" w:themeShade="80"/>
            <w:szCs w:val="22"/>
            <w:u w:val="none"/>
            <w:lang w:val="en-US"/>
          </w:rPr>
          <w:t>Pal S</w:t>
        </w:r>
      </w:hyperlink>
      <w:r w:rsidR="00975689" w:rsidRPr="0013324D">
        <w:rPr>
          <w:szCs w:val="19"/>
          <w:lang w:val="en-US"/>
        </w:rPr>
        <w:t>1</w:t>
      </w:r>
      <w:r w:rsidR="00975689" w:rsidRPr="0013324D">
        <w:rPr>
          <w:szCs w:val="22"/>
          <w:lang w:val="en-US"/>
        </w:rPr>
        <w:t>,</w:t>
      </w:r>
      <w:r w:rsidR="00975689" w:rsidRPr="0013324D">
        <w:rPr>
          <w:rStyle w:val="apple-converted-space"/>
          <w:szCs w:val="22"/>
          <w:lang w:val="en-US"/>
        </w:rPr>
        <w:t> </w:t>
      </w:r>
      <w:hyperlink r:id="rId152" w:history="1">
        <w:r w:rsidR="00975689" w:rsidRPr="0013324D">
          <w:rPr>
            <w:rStyle w:val="Hyperlink"/>
            <w:color w:val="808080" w:themeColor="background1" w:themeShade="80"/>
            <w:szCs w:val="22"/>
            <w:u w:val="none"/>
            <w:lang w:val="en-US"/>
          </w:rPr>
          <w:t>Khossousi A</w:t>
        </w:r>
      </w:hyperlink>
      <w:r w:rsidR="00975689" w:rsidRPr="0013324D">
        <w:rPr>
          <w:szCs w:val="22"/>
          <w:lang w:val="en-US"/>
        </w:rPr>
        <w:t>,</w:t>
      </w:r>
      <w:r w:rsidR="00975689" w:rsidRPr="0013324D">
        <w:rPr>
          <w:rStyle w:val="apple-converted-space"/>
          <w:szCs w:val="22"/>
          <w:lang w:val="en-US"/>
        </w:rPr>
        <w:t> </w:t>
      </w:r>
      <w:hyperlink r:id="rId153" w:history="1">
        <w:r w:rsidR="00975689" w:rsidRPr="0013324D">
          <w:rPr>
            <w:rStyle w:val="Hyperlink"/>
            <w:color w:val="808080" w:themeColor="background1" w:themeShade="80"/>
            <w:szCs w:val="22"/>
            <w:u w:val="none"/>
            <w:lang w:val="en-US"/>
          </w:rPr>
          <w:t>Binns C</w:t>
        </w:r>
      </w:hyperlink>
      <w:r w:rsidR="00975689" w:rsidRPr="0013324D">
        <w:rPr>
          <w:szCs w:val="22"/>
          <w:lang w:val="en-US"/>
        </w:rPr>
        <w:t>,</w:t>
      </w:r>
      <w:r w:rsidR="00975689" w:rsidRPr="0013324D">
        <w:rPr>
          <w:rStyle w:val="apple-converted-space"/>
          <w:szCs w:val="22"/>
          <w:lang w:val="en-US"/>
        </w:rPr>
        <w:t> </w:t>
      </w:r>
      <w:hyperlink r:id="rId154" w:history="1">
        <w:r w:rsidR="00975689" w:rsidRPr="0013324D">
          <w:rPr>
            <w:rStyle w:val="Hyperlink"/>
            <w:color w:val="808080" w:themeColor="background1" w:themeShade="80"/>
            <w:szCs w:val="22"/>
            <w:u w:val="none"/>
            <w:lang w:val="en-US"/>
          </w:rPr>
          <w:t>Dhaliwal S</w:t>
        </w:r>
      </w:hyperlink>
      <w:r w:rsidR="00975689" w:rsidRPr="0013324D">
        <w:rPr>
          <w:szCs w:val="22"/>
          <w:lang w:val="en-US"/>
        </w:rPr>
        <w:t>,</w:t>
      </w:r>
      <w:r w:rsidR="00975689" w:rsidRPr="0013324D">
        <w:rPr>
          <w:rStyle w:val="apple-converted-space"/>
          <w:szCs w:val="22"/>
          <w:lang w:val="en-US"/>
        </w:rPr>
        <w:t> </w:t>
      </w:r>
      <w:hyperlink r:id="rId155" w:history="1">
        <w:r w:rsidR="00975689" w:rsidRPr="0013324D">
          <w:rPr>
            <w:rStyle w:val="Hyperlink"/>
            <w:color w:val="808080" w:themeColor="background1" w:themeShade="80"/>
            <w:szCs w:val="22"/>
            <w:u w:val="none"/>
            <w:lang w:val="en-US"/>
          </w:rPr>
          <w:t>Ellis V</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B12D79" w:rsidRDefault="00975689" w:rsidP="00975689">
      <w:pPr>
        <w:pStyle w:val="Corpo"/>
        <w:rPr>
          <w:szCs w:val="22"/>
          <w:lang w:val="en-US"/>
        </w:rPr>
      </w:pPr>
      <w:r w:rsidRPr="0013324D">
        <w:rPr>
          <w:lang w:val="en-US"/>
        </w:rPr>
        <w:t>Optimum levels and types of dietary fibre that provide the greatest beneficial effects on metabolic syndrome risk factors in overweight and obese individuals have yet to be determined in</w:t>
      </w:r>
      <w:r w:rsidRPr="0013324D">
        <w:rPr>
          <w:rStyle w:val="apple-converted-space"/>
          <w:szCs w:val="20"/>
          <w:lang w:val="en-US"/>
        </w:rPr>
        <w:t> </w:t>
      </w:r>
      <w:r w:rsidRPr="0013324D">
        <w:rPr>
          <w:rStyle w:val="highlight"/>
          <w:szCs w:val="20"/>
          <w:lang w:val="en-US"/>
        </w:rPr>
        <w:t>clinical</w:t>
      </w:r>
      <w:r w:rsidRPr="0013324D">
        <w:rPr>
          <w:rStyle w:val="apple-converted-space"/>
          <w:szCs w:val="20"/>
          <w:lang w:val="en-US"/>
        </w:rPr>
        <w:t> </w:t>
      </w:r>
      <w:r w:rsidRPr="0013324D">
        <w:rPr>
          <w:lang w:val="en-US"/>
        </w:rPr>
        <w:t xml:space="preserve">trials. The present parallel design study compared the effects of fibre intake from a healthy diet v. a fibre supplement (psyllium) or a healthy diet plus fibre supplement on fasting lipids, glucose, insulin and body composition. Overweight/obese adults were randomised to either control (with placebo), fibre supplement (FIB), healthy eating plus placebo (HLT) or healthy eating plus fibre supplement (HLT-FIB). There was a significant increase in fibre intake in HLT-FIB, HLT and FIB groups up to 59, 31 and 55 g, respectively, at 12 weeks when compared to control (20 g). Weight, BMI and % total body fat were significantly reduced in FIB and HLT-FIB groups, with weight and BMI significantly reduced in the HLT group compared with control at 12 weeks. HLT-FIB and HLT groups had significant reductions in TAG and insulin compared with control at 6 and 12 weeks, and in insulin compared with the FIB group at 12 weeks. The HLT-FIB, HLT and FIB groups all had significant reductions in total cholesterol and LDL-cholesterol compared with control after 6 and 12 weeks. The present study demonstrated that simply adding psyllium fibre supplementation to a normal diet was sufficient to obtain beneficial effects in risk factors. </w:t>
      </w:r>
      <w:r w:rsidRPr="00B12D79">
        <w:rPr>
          <w:lang w:val="en-US"/>
        </w:rPr>
        <w:t>However, a high-fibre diet consisting of a psyllium supplement plus fibre from a healthy diet provided the greatest improvements in metabolic syndrome risk factors.</w:t>
      </w:r>
    </w:p>
    <w:p w:rsidR="00975689" w:rsidRPr="00B12D79" w:rsidRDefault="00975689" w:rsidP="00975689">
      <w:pPr>
        <w:pStyle w:val="Corpo"/>
        <w:rPr>
          <w:szCs w:val="17"/>
          <w:lang w:val="en-US"/>
        </w:rPr>
      </w:pPr>
      <w:r w:rsidRPr="00B12D79">
        <w:rPr>
          <w:szCs w:val="17"/>
          <w:lang w:val="en-US"/>
        </w:rPr>
        <w:t>PMID:</w:t>
      </w:r>
      <w:r w:rsidRPr="00B12D79">
        <w:rPr>
          <w:rStyle w:val="apple-converted-space"/>
          <w:szCs w:val="17"/>
          <w:lang w:val="en-US"/>
        </w:rPr>
        <w:t> </w:t>
      </w:r>
      <w:r w:rsidRPr="00B12D79">
        <w:rPr>
          <w:szCs w:val="17"/>
          <w:lang w:val="en-US"/>
        </w:rPr>
        <w:t>20727237</w:t>
      </w:r>
      <w:r w:rsidRPr="00B12D79">
        <w:rPr>
          <w:rStyle w:val="apple-converted-space"/>
          <w:szCs w:val="17"/>
          <w:lang w:val="en-US"/>
        </w:rPr>
        <w:t> </w:t>
      </w:r>
      <w:r w:rsidRPr="00B12D79">
        <w:rPr>
          <w:szCs w:val="17"/>
          <w:lang w:val="en-US"/>
        </w:rPr>
        <w:t>[PubMed - indexed for MEDLINE]</w:t>
      </w:r>
    </w:p>
    <w:p w:rsidR="00975689" w:rsidRDefault="00975689" w:rsidP="00975689">
      <w:pPr>
        <w:pStyle w:val="Corpo"/>
        <w:rPr>
          <w:szCs w:val="17"/>
          <w:lang w:val="en-US"/>
        </w:rPr>
      </w:pPr>
    </w:p>
    <w:p w:rsidR="00975689" w:rsidRPr="00B12D79" w:rsidRDefault="00975689" w:rsidP="00975689">
      <w:pPr>
        <w:pStyle w:val="Corpo"/>
        <w:rPr>
          <w:szCs w:val="17"/>
          <w:lang w:val="en-US"/>
        </w:rPr>
      </w:pPr>
    </w:p>
    <w:p w:rsidR="00975689" w:rsidRPr="0013324D" w:rsidRDefault="00935914" w:rsidP="00975689">
      <w:pPr>
        <w:pStyle w:val="Corpo"/>
        <w:rPr>
          <w:lang w:val="en-US"/>
        </w:rPr>
      </w:pPr>
      <w:hyperlink r:id="rId156" w:tooltip="PloS one." w:history="1">
        <w:r w:rsidR="00975689" w:rsidRPr="0013324D">
          <w:rPr>
            <w:rStyle w:val="Hyperlink"/>
            <w:color w:val="808080" w:themeColor="background1" w:themeShade="80"/>
            <w:szCs w:val="20"/>
            <w:u w:val="none"/>
            <w:lang w:val="en-US"/>
          </w:rPr>
          <w:t>PLoS One.</w:t>
        </w:r>
      </w:hyperlink>
      <w:r w:rsidR="00975689" w:rsidRPr="0013324D">
        <w:rPr>
          <w:rStyle w:val="apple-converted-space"/>
          <w:szCs w:val="20"/>
          <w:lang w:val="en-US"/>
        </w:rPr>
        <w:t> </w:t>
      </w:r>
      <w:r w:rsidR="00975689" w:rsidRPr="0013324D">
        <w:rPr>
          <w:lang w:val="en-US"/>
        </w:rPr>
        <w:t>2012;7(7):e41735. doi: 10.1371/journal.pone.0041735. Epub 2012 Jul 27.</w:t>
      </w:r>
    </w:p>
    <w:p w:rsidR="00975689" w:rsidRPr="0013324D" w:rsidRDefault="00975689" w:rsidP="00975689">
      <w:pPr>
        <w:pStyle w:val="Corpo"/>
        <w:rPr>
          <w:b/>
          <w:szCs w:val="30"/>
          <w:lang w:val="en-US"/>
        </w:rPr>
      </w:pPr>
      <w:r w:rsidRPr="0013324D">
        <w:rPr>
          <w:b/>
          <w:szCs w:val="30"/>
          <w:lang w:val="en-US"/>
        </w:rPr>
        <w:t>Psyllium supplementation in adolescents improves fat distribution &amp; lipid profile: a randomized, participant-blinded, placebo-controlled, crossover trial.</w:t>
      </w:r>
    </w:p>
    <w:p w:rsidR="00975689" w:rsidRPr="0013324D" w:rsidRDefault="00935914" w:rsidP="00975689">
      <w:pPr>
        <w:pStyle w:val="Corpo"/>
        <w:rPr>
          <w:szCs w:val="22"/>
          <w:lang w:val="en-US"/>
        </w:rPr>
      </w:pPr>
      <w:hyperlink r:id="rId157" w:history="1">
        <w:r w:rsidR="00975689" w:rsidRPr="0013324D">
          <w:rPr>
            <w:rStyle w:val="Hyperlink"/>
            <w:color w:val="808080" w:themeColor="background1" w:themeShade="80"/>
            <w:szCs w:val="22"/>
            <w:u w:val="none"/>
            <w:lang w:val="en-US"/>
          </w:rPr>
          <w:t>de Bock M</w:t>
        </w:r>
      </w:hyperlink>
      <w:r w:rsidR="00975689" w:rsidRPr="0013324D">
        <w:rPr>
          <w:szCs w:val="19"/>
          <w:lang w:val="en-US"/>
        </w:rPr>
        <w:t>1</w:t>
      </w:r>
      <w:r w:rsidR="00975689" w:rsidRPr="0013324D">
        <w:rPr>
          <w:szCs w:val="22"/>
          <w:lang w:val="en-US"/>
        </w:rPr>
        <w:t>,</w:t>
      </w:r>
      <w:r w:rsidR="00975689" w:rsidRPr="0013324D">
        <w:rPr>
          <w:rStyle w:val="apple-converted-space"/>
          <w:szCs w:val="22"/>
          <w:lang w:val="en-US"/>
        </w:rPr>
        <w:t> </w:t>
      </w:r>
      <w:hyperlink r:id="rId158" w:history="1">
        <w:r w:rsidR="00975689" w:rsidRPr="0013324D">
          <w:rPr>
            <w:rStyle w:val="Hyperlink"/>
            <w:color w:val="808080" w:themeColor="background1" w:themeShade="80"/>
            <w:szCs w:val="22"/>
            <w:u w:val="none"/>
            <w:lang w:val="en-US"/>
          </w:rPr>
          <w:t>Derraik JG</w:t>
        </w:r>
      </w:hyperlink>
      <w:r w:rsidR="00975689" w:rsidRPr="0013324D">
        <w:rPr>
          <w:szCs w:val="22"/>
          <w:lang w:val="en-US"/>
        </w:rPr>
        <w:t>,</w:t>
      </w:r>
      <w:r w:rsidR="00975689" w:rsidRPr="0013324D">
        <w:rPr>
          <w:rStyle w:val="apple-converted-space"/>
          <w:szCs w:val="22"/>
          <w:lang w:val="en-US"/>
        </w:rPr>
        <w:t> </w:t>
      </w:r>
      <w:hyperlink r:id="rId159" w:history="1">
        <w:r w:rsidR="00975689" w:rsidRPr="0013324D">
          <w:rPr>
            <w:rStyle w:val="Hyperlink"/>
            <w:color w:val="808080" w:themeColor="background1" w:themeShade="80"/>
            <w:szCs w:val="22"/>
            <w:u w:val="none"/>
            <w:lang w:val="en-US"/>
          </w:rPr>
          <w:t>Brennan CM</w:t>
        </w:r>
      </w:hyperlink>
      <w:r w:rsidR="00975689" w:rsidRPr="0013324D">
        <w:rPr>
          <w:szCs w:val="22"/>
          <w:lang w:val="en-US"/>
        </w:rPr>
        <w:t>,</w:t>
      </w:r>
      <w:r w:rsidR="00975689" w:rsidRPr="0013324D">
        <w:rPr>
          <w:rStyle w:val="apple-converted-space"/>
          <w:szCs w:val="22"/>
          <w:lang w:val="en-US"/>
        </w:rPr>
        <w:t> </w:t>
      </w:r>
      <w:hyperlink r:id="rId160" w:history="1">
        <w:r w:rsidR="00975689" w:rsidRPr="0013324D">
          <w:rPr>
            <w:rStyle w:val="Hyperlink"/>
            <w:color w:val="808080" w:themeColor="background1" w:themeShade="80"/>
            <w:szCs w:val="22"/>
            <w:u w:val="none"/>
            <w:lang w:val="en-US"/>
          </w:rPr>
          <w:t>Biggs JB</w:t>
        </w:r>
      </w:hyperlink>
      <w:r w:rsidR="00975689" w:rsidRPr="0013324D">
        <w:rPr>
          <w:szCs w:val="22"/>
          <w:lang w:val="en-US"/>
        </w:rPr>
        <w:t>,</w:t>
      </w:r>
      <w:r w:rsidR="00975689" w:rsidRPr="0013324D">
        <w:rPr>
          <w:rStyle w:val="apple-converted-space"/>
          <w:szCs w:val="22"/>
          <w:lang w:val="en-US"/>
        </w:rPr>
        <w:t> </w:t>
      </w:r>
      <w:hyperlink r:id="rId161" w:history="1">
        <w:r w:rsidR="00975689" w:rsidRPr="0013324D">
          <w:rPr>
            <w:rStyle w:val="Hyperlink"/>
            <w:color w:val="808080" w:themeColor="background1" w:themeShade="80"/>
            <w:szCs w:val="22"/>
            <w:u w:val="none"/>
            <w:lang w:val="en-US"/>
          </w:rPr>
          <w:t>Smith GC</w:t>
        </w:r>
      </w:hyperlink>
      <w:r w:rsidR="00975689" w:rsidRPr="0013324D">
        <w:rPr>
          <w:szCs w:val="22"/>
          <w:lang w:val="en-US"/>
        </w:rPr>
        <w:t>,</w:t>
      </w:r>
      <w:r w:rsidR="00975689" w:rsidRPr="0013324D">
        <w:rPr>
          <w:rStyle w:val="apple-converted-space"/>
          <w:szCs w:val="22"/>
          <w:lang w:val="en-US"/>
        </w:rPr>
        <w:t> </w:t>
      </w:r>
      <w:hyperlink r:id="rId162" w:history="1">
        <w:r w:rsidR="00975689" w:rsidRPr="0013324D">
          <w:rPr>
            <w:rStyle w:val="Hyperlink"/>
            <w:color w:val="808080" w:themeColor="background1" w:themeShade="80"/>
            <w:szCs w:val="22"/>
            <w:u w:val="none"/>
            <w:lang w:val="en-US"/>
          </w:rPr>
          <w:t>Cameron-Smith D</w:t>
        </w:r>
      </w:hyperlink>
      <w:r w:rsidR="00975689" w:rsidRPr="0013324D">
        <w:rPr>
          <w:szCs w:val="22"/>
          <w:lang w:val="en-US"/>
        </w:rPr>
        <w:t>,</w:t>
      </w:r>
      <w:r w:rsidR="00975689" w:rsidRPr="0013324D">
        <w:rPr>
          <w:rStyle w:val="apple-converted-space"/>
          <w:szCs w:val="22"/>
          <w:lang w:val="en-US"/>
        </w:rPr>
        <w:t> </w:t>
      </w:r>
      <w:hyperlink r:id="rId163" w:history="1">
        <w:r w:rsidR="00975689" w:rsidRPr="0013324D">
          <w:rPr>
            <w:rStyle w:val="Hyperlink"/>
            <w:color w:val="808080" w:themeColor="background1" w:themeShade="80"/>
            <w:szCs w:val="22"/>
            <w:u w:val="none"/>
            <w:lang w:val="en-US"/>
          </w:rPr>
          <w:t>Wall CR</w:t>
        </w:r>
      </w:hyperlink>
      <w:r w:rsidR="00975689" w:rsidRPr="0013324D">
        <w:rPr>
          <w:szCs w:val="22"/>
          <w:lang w:val="en-US"/>
        </w:rPr>
        <w:t>,</w:t>
      </w:r>
      <w:r w:rsidR="00975689" w:rsidRPr="0013324D">
        <w:rPr>
          <w:rStyle w:val="apple-converted-space"/>
          <w:szCs w:val="22"/>
          <w:lang w:val="en-US"/>
        </w:rPr>
        <w:t> </w:t>
      </w:r>
      <w:hyperlink r:id="rId164" w:history="1">
        <w:r w:rsidR="00975689" w:rsidRPr="0013324D">
          <w:rPr>
            <w:rStyle w:val="Hyperlink"/>
            <w:color w:val="808080" w:themeColor="background1" w:themeShade="80"/>
            <w:szCs w:val="22"/>
            <w:u w:val="none"/>
            <w:lang w:val="en-US"/>
          </w:rPr>
          <w:t>Cutfield WS</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275F3D" w:rsidRDefault="00975689" w:rsidP="00975689">
      <w:pPr>
        <w:pStyle w:val="Corpo"/>
        <w:rPr>
          <w:lang w:val="en-US"/>
        </w:rPr>
      </w:pPr>
      <w:r w:rsidRPr="00275F3D">
        <w:rPr>
          <w:lang w:val="en-US"/>
        </w:rPr>
        <w:t>AIMS: We aimed to assess the effects of psyllium supplementation on insulin sensitivity and other parameters of the metabolic syndrome in an at risk adolescent population.</w:t>
      </w:r>
    </w:p>
    <w:p w:rsidR="00975689" w:rsidRPr="0013324D" w:rsidRDefault="00975689" w:rsidP="00975689">
      <w:pPr>
        <w:pStyle w:val="Corpo"/>
        <w:rPr>
          <w:lang w:val="en-US"/>
        </w:rPr>
      </w:pPr>
      <w:r w:rsidRPr="00275F3D">
        <w:rPr>
          <w:lang w:val="en-US"/>
        </w:rPr>
        <w:t xml:space="preserve">METHODS: This study encompassed a participant-blinded, randomized, placebo-controlled, crossover trial. </w:t>
      </w:r>
      <w:r w:rsidRPr="0013324D">
        <w:rPr>
          <w:lang w:val="en-US"/>
        </w:rPr>
        <w:t>Subjects were 47 healthy adolescent males aged 15-16 years, recruited from secondary schools in lower socio-economic areas with high rates of obesity. Participants received 6 g/day of psyllium or placebo for 6 weeks, with a two-week washout before crossing over. Fasting lipid profiles, ambulatory blood pressure, auxological data, body composition, activity levels, and three-day food records were collected at baseline and after each 6-week intervention. Insulin sensitivity was measured by the Matsuda method using glucose and insulin values from an oral glucose tolerance test.</w:t>
      </w:r>
    </w:p>
    <w:p w:rsidR="00975689" w:rsidRPr="0013324D" w:rsidRDefault="00975689" w:rsidP="00975689">
      <w:pPr>
        <w:pStyle w:val="Corpo"/>
        <w:rPr>
          <w:lang w:val="en-US"/>
        </w:rPr>
      </w:pPr>
      <w:r w:rsidRPr="00275F3D">
        <w:rPr>
          <w:lang w:val="en-US"/>
        </w:rPr>
        <w:t xml:space="preserve">RESULTS: 45 subjects completed the study, and compliance was very high: 87% of participants took &gt;80% of prescribed capsules. </w:t>
      </w:r>
      <w:r w:rsidRPr="0013324D">
        <w:rPr>
          <w:lang w:val="en-US"/>
        </w:rPr>
        <w:t>At baseline, 44% of subjects were overweight or obese. 28% had decreased insulin sensitivity, but none had impaired glucose tolerance. Fibre supplementation led to a 4% reduction in android fat to gynoid fat ratio (p</w:t>
      </w:r>
      <w:r w:rsidRPr="0013324D">
        <w:rPr>
          <w:rFonts w:ascii="Cambria Math" w:hAnsi="Cambria Math" w:cs="Cambria Math"/>
          <w:lang w:val="en-US"/>
        </w:rPr>
        <w:t> </w:t>
      </w:r>
      <w:r w:rsidRPr="0013324D">
        <w:rPr>
          <w:lang w:val="en-US"/>
        </w:rPr>
        <w:t>=</w:t>
      </w:r>
      <w:r w:rsidRPr="0013324D">
        <w:rPr>
          <w:rFonts w:ascii="Cambria Math" w:hAnsi="Cambria Math" w:cs="Cambria Math"/>
          <w:lang w:val="en-US"/>
        </w:rPr>
        <w:t> </w:t>
      </w:r>
      <w:r w:rsidRPr="0013324D">
        <w:rPr>
          <w:lang w:val="en-US"/>
        </w:rPr>
        <w:t>0.019), as well as a 0.12 mmol/l (6%) reduction in LDL cholesterol (p</w:t>
      </w:r>
      <w:r w:rsidRPr="0013324D">
        <w:rPr>
          <w:rFonts w:ascii="Cambria Math" w:hAnsi="Cambria Math" w:cs="Cambria Math"/>
          <w:lang w:val="en-US"/>
        </w:rPr>
        <w:t> </w:t>
      </w:r>
      <w:r w:rsidRPr="0013324D">
        <w:rPr>
          <w:lang w:val="en-US"/>
        </w:rPr>
        <w:t>=</w:t>
      </w:r>
      <w:r w:rsidRPr="0013324D">
        <w:rPr>
          <w:rFonts w:ascii="Cambria Math" w:hAnsi="Cambria Math" w:cs="Cambria Math"/>
          <w:lang w:val="en-US"/>
        </w:rPr>
        <w:t> </w:t>
      </w:r>
      <w:r w:rsidRPr="0013324D">
        <w:rPr>
          <w:lang w:val="en-US"/>
        </w:rPr>
        <w:t>0.042). No associated adverse events were recorded.</w:t>
      </w:r>
    </w:p>
    <w:p w:rsidR="00975689" w:rsidRPr="00275F3D" w:rsidRDefault="00975689" w:rsidP="00975689">
      <w:pPr>
        <w:pStyle w:val="Corpo"/>
        <w:rPr>
          <w:lang w:val="en-US"/>
        </w:rPr>
      </w:pPr>
      <w:r w:rsidRPr="00275F3D">
        <w:rPr>
          <w:lang w:val="en-US"/>
        </w:rPr>
        <w:t>CONCLUSIONS: Dietary supplementation with 6 g/day of psyllium over 6 weeks improves fat distribution and lipid profile (parameters of the metabolic syndrome) in an at risk population of adolescent males.</w:t>
      </w:r>
    </w:p>
    <w:p w:rsidR="00975689" w:rsidRPr="00275F3D" w:rsidRDefault="00975689" w:rsidP="00975689">
      <w:pPr>
        <w:pStyle w:val="Corpo"/>
        <w:rPr>
          <w:lang w:val="en-US"/>
        </w:rPr>
      </w:pPr>
      <w:r w:rsidRPr="00275F3D">
        <w:rPr>
          <w:lang w:val="en-US"/>
        </w:rPr>
        <w:t>TRIAL REGISTRATION: Australian New Zealand</w:t>
      </w:r>
      <w:r w:rsidRPr="00275F3D">
        <w:rPr>
          <w:rStyle w:val="apple-converted-space"/>
          <w:szCs w:val="20"/>
          <w:lang w:val="en-US"/>
        </w:rPr>
        <w:t> </w:t>
      </w:r>
      <w:r w:rsidRPr="00275F3D">
        <w:rPr>
          <w:rStyle w:val="highlight"/>
          <w:szCs w:val="20"/>
          <w:lang w:val="en-US"/>
        </w:rPr>
        <w:t>Clinical</w:t>
      </w:r>
      <w:r w:rsidRPr="00275F3D">
        <w:rPr>
          <w:rStyle w:val="apple-converted-space"/>
          <w:szCs w:val="20"/>
          <w:lang w:val="en-US"/>
        </w:rPr>
        <w:t> </w:t>
      </w:r>
      <w:r w:rsidRPr="00275F3D">
        <w:rPr>
          <w:lang w:val="en-US"/>
        </w:rPr>
        <w:t>Trials Registry ACTRN12609000888268.</w:t>
      </w:r>
    </w:p>
    <w:p w:rsidR="00975689" w:rsidRPr="00275F3D" w:rsidRDefault="00975689" w:rsidP="00975689">
      <w:pPr>
        <w:pStyle w:val="Corpo"/>
        <w:rPr>
          <w:rStyle w:val="apple-converted-space"/>
          <w:szCs w:val="17"/>
          <w:lang w:val="en-US"/>
        </w:rPr>
      </w:pPr>
      <w:r w:rsidRPr="00275F3D">
        <w:rPr>
          <w:szCs w:val="17"/>
          <w:lang w:val="en-US"/>
        </w:rPr>
        <w:t>PMID:</w:t>
      </w:r>
      <w:r w:rsidRPr="00275F3D">
        <w:rPr>
          <w:rStyle w:val="apple-converted-space"/>
          <w:szCs w:val="17"/>
          <w:lang w:val="en-US"/>
        </w:rPr>
        <w:t> </w:t>
      </w:r>
      <w:r w:rsidRPr="00275F3D">
        <w:rPr>
          <w:szCs w:val="17"/>
          <w:lang w:val="en-US"/>
        </w:rPr>
        <w:t>22848584</w:t>
      </w:r>
      <w:r w:rsidRPr="00275F3D">
        <w:rPr>
          <w:rStyle w:val="apple-converted-space"/>
          <w:szCs w:val="17"/>
          <w:lang w:val="en-US"/>
        </w:rPr>
        <w:t> </w:t>
      </w:r>
      <w:r w:rsidRPr="00275F3D">
        <w:rPr>
          <w:szCs w:val="17"/>
          <w:lang w:val="en-US"/>
        </w:rPr>
        <w:t>[PubMed - indexed for MEDLINE]</w:t>
      </w:r>
      <w:r w:rsidRPr="00275F3D">
        <w:rPr>
          <w:rStyle w:val="apple-converted-space"/>
          <w:szCs w:val="17"/>
          <w:lang w:val="en-US"/>
        </w:rPr>
        <w:t> </w:t>
      </w:r>
      <w:r w:rsidRPr="00275F3D">
        <w:rPr>
          <w:szCs w:val="17"/>
          <w:lang w:val="en-US"/>
        </w:rPr>
        <w:t>PMCID:</w:t>
      </w:r>
      <w:r w:rsidRPr="00275F3D">
        <w:rPr>
          <w:rStyle w:val="apple-converted-space"/>
          <w:szCs w:val="17"/>
          <w:lang w:val="en-US"/>
        </w:rPr>
        <w:t> </w:t>
      </w:r>
      <w:r w:rsidRPr="00275F3D">
        <w:rPr>
          <w:szCs w:val="17"/>
          <w:lang w:val="en-US"/>
        </w:rPr>
        <w:t>PMC3407232</w:t>
      </w:r>
      <w:r w:rsidRPr="00275F3D">
        <w:rPr>
          <w:rStyle w:val="apple-converted-space"/>
          <w:szCs w:val="17"/>
          <w:lang w:val="en-US"/>
        </w:rPr>
        <w:t> </w:t>
      </w:r>
    </w:p>
    <w:p w:rsidR="00975689" w:rsidRPr="00275F3D" w:rsidRDefault="00975689" w:rsidP="00975689">
      <w:pPr>
        <w:pStyle w:val="Corpo"/>
        <w:rPr>
          <w:rStyle w:val="apple-converted-space"/>
          <w:szCs w:val="17"/>
          <w:lang w:val="en-US"/>
        </w:rPr>
      </w:pPr>
    </w:p>
    <w:p w:rsidR="00975689" w:rsidRPr="00275F3D" w:rsidRDefault="00975689" w:rsidP="00975689">
      <w:pPr>
        <w:pStyle w:val="Corpo"/>
        <w:rPr>
          <w:lang w:val="en-US"/>
        </w:rPr>
      </w:pPr>
    </w:p>
    <w:p w:rsidR="00975689" w:rsidRPr="00DA6181" w:rsidRDefault="00935914" w:rsidP="00975689">
      <w:pPr>
        <w:pStyle w:val="Corpo"/>
        <w:rPr>
          <w:lang w:val="en-US"/>
        </w:rPr>
      </w:pPr>
      <w:hyperlink r:id="rId165" w:tooltip="Clinical therapeutics." w:history="1">
        <w:r w:rsidR="00975689" w:rsidRPr="00DA6181">
          <w:rPr>
            <w:rStyle w:val="Hyperlink"/>
            <w:color w:val="808080" w:themeColor="background1" w:themeShade="80"/>
            <w:szCs w:val="20"/>
            <w:u w:val="none"/>
            <w:lang w:val="en-US"/>
          </w:rPr>
          <w:t>Clin Ther.</w:t>
        </w:r>
      </w:hyperlink>
      <w:r w:rsidR="00975689" w:rsidRPr="00DA6181">
        <w:rPr>
          <w:rStyle w:val="apple-converted-space"/>
          <w:szCs w:val="20"/>
          <w:lang w:val="en-US"/>
        </w:rPr>
        <w:t> </w:t>
      </w:r>
      <w:r w:rsidR="00975689" w:rsidRPr="00DA6181">
        <w:rPr>
          <w:lang w:val="en-US"/>
        </w:rPr>
        <w:t>2006 Feb;28(2):174-83.</w:t>
      </w:r>
    </w:p>
    <w:p w:rsidR="00975689" w:rsidRPr="0013324D" w:rsidRDefault="00975689" w:rsidP="00975689">
      <w:pPr>
        <w:pStyle w:val="Corpo"/>
        <w:rPr>
          <w:b/>
          <w:szCs w:val="30"/>
          <w:lang w:val="en-US"/>
        </w:rPr>
      </w:pPr>
      <w:r w:rsidRPr="0013324D">
        <w:rPr>
          <w:rStyle w:val="highlight"/>
          <w:b/>
          <w:szCs w:val="30"/>
          <w:lang w:val="en-US"/>
        </w:rPr>
        <w:t>Echinacea</w:t>
      </w:r>
      <w:r w:rsidRPr="0013324D">
        <w:rPr>
          <w:rStyle w:val="apple-converted-space"/>
          <w:b/>
          <w:szCs w:val="30"/>
          <w:lang w:val="en-US"/>
        </w:rPr>
        <w:t> </w:t>
      </w:r>
      <w:r w:rsidRPr="0013324D">
        <w:rPr>
          <w:b/>
          <w:szCs w:val="30"/>
          <w:lang w:val="en-US"/>
        </w:rPr>
        <w:t>in the</w:t>
      </w:r>
      <w:r w:rsidRPr="0013324D">
        <w:rPr>
          <w:rStyle w:val="apple-converted-space"/>
          <w:b/>
          <w:szCs w:val="30"/>
          <w:lang w:val="en-US"/>
        </w:rPr>
        <w:t> </w:t>
      </w:r>
      <w:r w:rsidRPr="0013324D">
        <w:rPr>
          <w:rStyle w:val="highlight"/>
          <w:b/>
          <w:szCs w:val="30"/>
          <w:lang w:val="en-US"/>
        </w:rPr>
        <w:t>prevention</w:t>
      </w:r>
      <w:r w:rsidRPr="0013324D">
        <w:rPr>
          <w:rStyle w:val="apple-converted-space"/>
          <w:b/>
          <w:szCs w:val="30"/>
          <w:lang w:val="en-US"/>
        </w:rPr>
        <w:t> </w:t>
      </w:r>
      <w:r w:rsidRPr="0013324D">
        <w:rPr>
          <w:b/>
          <w:szCs w:val="30"/>
          <w:lang w:val="en-US"/>
        </w:rPr>
        <w:t>of</w:t>
      </w:r>
      <w:r w:rsidRPr="0013324D">
        <w:rPr>
          <w:rStyle w:val="apple-converted-space"/>
          <w:b/>
          <w:szCs w:val="30"/>
          <w:lang w:val="en-US"/>
        </w:rPr>
        <w:t> </w:t>
      </w:r>
      <w:r w:rsidRPr="0013324D">
        <w:rPr>
          <w:rStyle w:val="highlight"/>
          <w:b/>
          <w:szCs w:val="30"/>
          <w:lang w:val="en-US"/>
        </w:rPr>
        <w:t>induced</w:t>
      </w:r>
      <w:r w:rsidRPr="0013324D">
        <w:rPr>
          <w:rStyle w:val="apple-converted-space"/>
          <w:b/>
          <w:szCs w:val="30"/>
          <w:lang w:val="en-US"/>
        </w:rPr>
        <w:t> </w:t>
      </w:r>
      <w:r w:rsidRPr="0013324D">
        <w:rPr>
          <w:rStyle w:val="highlight"/>
          <w:b/>
          <w:szCs w:val="30"/>
          <w:lang w:val="en-US"/>
        </w:rPr>
        <w:t>rhinovirus</w:t>
      </w:r>
      <w:r w:rsidRPr="0013324D">
        <w:rPr>
          <w:rStyle w:val="apple-converted-space"/>
          <w:b/>
          <w:szCs w:val="30"/>
          <w:lang w:val="en-US"/>
        </w:rPr>
        <w:t> </w:t>
      </w:r>
      <w:r w:rsidRPr="0013324D">
        <w:rPr>
          <w:rStyle w:val="highlight"/>
          <w:b/>
          <w:szCs w:val="30"/>
          <w:lang w:val="en-US"/>
        </w:rPr>
        <w:t>colds</w:t>
      </w:r>
      <w:r w:rsidRPr="0013324D">
        <w:rPr>
          <w:b/>
          <w:szCs w:val="30"/>
          <w:lang w:val="en-US"/>
        </w:rPr>
        <w:t>: a</w:t>
      </w:r>
      <w:r w:rsidRPr="0013324D">
        <w:rPr>
          <w:rStyle w:val="apple-converted-space"/>
          <w:b/>
          <w:szCs w:val="30"/>
          <w:lang w:val="en-US"/>
        </w:rPr>
        <w:t> </w:t>
      </w:r>
      <w:r w:rsidRPr="0013324D">
        <w:rPr>
          <w:rStyle w:val="highlight"/>
          <w:b/>
          <w:szCs w:val="30"/>
          <w:lang w:val="en-US"/>
        </w:rPr>
        <w:t>meta-analysis</w:t>
      </w:r>
      <w:r w:rsidRPr="0013324D">
        <w:rPr>
          <w:b/>
          <w:szCs w:val="30"/>
          <w:lang w:val="en-US"/>
        </w:rPr>
        <w:t>.</w:t>
      </w:r>
    </w:p>
    <w:p w:rsidR="00975689" w:rsidRPr="0013324D" w:rsidRDefault="00935914" w:rsidP="00975689">
      <w:pPr>
        <w:pStyle w:val="Corpo"/>
        <w:rPr>
          <w:szCs w:val="22"/>
          <w:lang w:val="en-US"/>
        </w:rPr>
      </w:pPr>
      <w:hyperlink r:id="rId166" w:history="1">
        <w:r w:rsidR="00975689" w:rsidRPr="0013324D">
          <w:rPr>
            <w:rStyle w:val="Hyperlink"/>
            <w:color w:val="808080" w:themeColor="background1" w:themeShade="80"/>
            <w:szCs w:val="22"/>
            <w:u w:val="none"/>
            <w:lang w:val="en-US"/>
          </w:rPr>
          <w:t>Schoop R</w:t>
        </w:r>
      </w:hyperlink>
      <w:r w:rsidR="00975689" w:rsidRPr="0013324D">
        <w:rPr>
          <w:szCs w:val="19"/>
          <w:lang w:val="en-US"/>
        </w:rPr>
        <w:t>1</w:t>
      </w:r>
      <w:r w:rsidR="00975689" w:rsidRPr="0013324D">
        <w:rPr>
          <w:szCs w:val="22"/>
          <w:lang w:val="en-US"/>
        </w:rPr>
        <w:t>,</w:t>
      </w:r>
      <w:r w:rsidR="00975689" w:rsidRPr="0013324D">
        <w:rPr>
          <w:rStyle w:val="apple-converted-space"/>
          <w:szCs w:val="22"/>
          <w:lang w:val="en-US"/>
        </w:rPr>
        <w:t> </w:t>
      </w:r>
      <w:hyperlink r:id="rId167" w:history="1">
        <w:r w:rsidR="00975689" w:rsidRPr="0013324D">
          <w:rPr>
            <w:rStyle w:val="Hyperlink"/>
            <w:color w:val="808080" w:themeColor="background1" w:themeShade="80"/>
            <w:szCs w:val="22"/>
            <w:u w:val="none"/>
            <w:lang w:val="en-US"/>
          </w:rPr>
          <w:t>Klein P</w:t>
        </w:r>
      </w:hyperlink>
      <w:r w:rsidR="00975689" w:rsidRPr="0013324D">
        <w:rPr>
          <w:szCs w:val="22"/>
          <w:lang w:val="en-US"/>
        </w:rPr>
        <w:t>,</w:t>
      </w:r>
      <w:r w:rsidR="00975689" w:rsidRPr="0013324D">
        <w:rPr>
          <w:rStyle w:val="apple-converted-space"/>
          <w:szCs w:val="22"/>
          <w:lang w:val="en-US"/>
        </w:rPr>
        <w:t> </w:t>
      </w:r>
      <w:hyperlink r:id="rId168" w:history="1">
        <w:r w:rsidR="00975689" w:rsidRPr="0013324D">
          <w:rPr>
            <w:rStyle w:val="Hyperlink"/>
            <w:color w:val="808080" w:themeColor="background1" w:themeShade="80"/>
            <w:szCs w:val="22"/>
            <w:u w:val="none"/>
            <w:lang w:val="en-US"/>
          </w:rPr>
          <w:t>Suter A</w:t>
        </w:r>
      </w:hyperlink>
      <w:r w:rsidR="00975689" w:rsidRPr="0013324D">
        <w:rPr>
          <w:szCs w:val="22"/>
          <w:lang w:val="en-US"/>
        </w:rPr>
        <w:t>,</w:t>
      </w:r>
      <w:r w:rsidR="00975689" w:rsidRPr="0013324D">
        <w:rPr>
          <w:rStyle w:val="apple-converted-space"/>
          <w:szCs w:val="22"/>
          <w:lang w:val="en-US"/>
        </w:rPr>
        <w:t> </w:t>
      </w:r>
      <w:hyperlink r:id="rId169" w:history="1">
        <w:r w:rsidR="00975689" w:rsidRPr="0013324D">
          <w:rPr>
            <w:rStyle w:val="Hyperlink"/>
            <w:color w:val="808080" w:themeColor="background1" w:themeShade="80"/>
            <w:szCs w:val="22"/>
            <w:u w:val="none"/>
            <w:lang w:val="en-US"/>
          </w:rPr>
          <w:t>Johnston SL</w:t>
        </w:r>
      </w:hyperlink>
      <w:r w:rsidR="00975689" w:rsidRPr="0013324D">
        <w:rPr>
          <w:szCs w:val="22"/>
          <w:lang w:val="en-US"/>
        </w:rPr>
        <w:t>.</w:t>
      </w:r>
    </w:p>
    <w:p w:rsidR="00975689" w:rsidRPr="0013324D" w:rsidRDefault="00975689" w:rsidP="00975689">
      <w:pPr>
        <w:pStyle w:val="Corpo"/>
        <w:rPr>
          <w:szCs w:val="22"/>
          <w:lang w:val="en-US"/>
        </w:rPr>
      </w:pPr>
      <w:r w:rsidRPr="0013324D">
        <w:rPr>
          <w:szCs w:val="22"/>
          <w:lang w:val="en-US"/>
        </w:rPr>
        <w:t>Abstract</w:t>
      </w:r>
    </w:p>
    <w:p w:rsidR="00975689" w:rsidRPr="0013324D" w:rsidRDefault="00975689" w:rsidP="00975689">
      <w:pPr>
        <w:pStyle w:val="Corpo"/>
        <w:rPr>
          <w:lang w:val="en-US"/>
        </w:rPr>
      </w:pPr>
      <w:r w:rsidRPr="00275F3D">
        <w:rPr>
          <w:lang w:val="en-US"/>
        </w:rPr>
        <w:t>BACKGROUND: The therapeutic effectiveness of</w:t>
      </w:r>
      <w:r w:rsidRPr="00275F3D">
        <w:rPr>
          <w:rStyle w:val="apple-converted-space"/>
          <w:szCs w:val="20"/>
          <w:lang w:val="en-US"/>
        </w:rPr>
        <w:t> </w:t>
      </w:r>
      <w:r w:rsidRPr="00275F3D">
        <w:rPr>
          <w:rStyle w:val="highlight"/>
          <w:szCs w:val="20"/>
          <w:lang w:val="en-US"/>
        </w:rPr>
        <w:t>Echinacea</w:t>
      </w:r>
      <w:r w:rsidRPr="00275F3D">
        <w:rPr>
          <w:rStyle w:val="apple-converted-space"/>
          <w:szCs w:val="20"/>
          <w:lang w:val="en-US"/>
        </w:rPr>
        <w:t> </w:t>
      </w:r>
      <w:r w:rsidRPr="00275F3D">
        <w:rPr>
          <w:lang w:val="en-US"/>
        </w:rPr>
        <w:t>in the treatment and the</w:t>
      </w:r>
      <w:r w:rsidRPr="00275F3D">
        <w:rPr>
          <w:rStyle w:val="apple-converted-space"/>
          <w:szCs w:val="20"/>
          <w:lang w:val="en-US"/>
        </w:rPr>
        <w:t> </w:t>
      </w:r>
      <w:r w:rsidRPr="00275F3D">
        <w:rPr>
          <w:rStyle w:val="highlight"/>
          <w:szCs w:val="20"/>
          <w:lang w:val="en-US"/>
        </w:rPr>
        <w:t>prevention</w:t>
      </w:r>
      <w:r w:rsidRPr="00275F3D">
        <w:rPr>
          <w:rStyle w:val="apple-converted-space"/>
          <w:szCs w:val="20"/>
          <w:lang w:val="en-US"/>
        </w:rPr>
        <w:t> </w:t>
      </w:r>
      <w:r w:rsidRPr="00275F3D">
        <w:rPr>
          <w:lang w:val="en-US"/>
        </w:rPr>
        <w:t>of</w:t>
      </w:r>
      <w:r w:rsidRPr="00275F3D">
        <w:rPr>
          <w:rStyle w:val="apple-converted-space"/>
          <w:szCs w:val="20"/>
          <w:lang w:val="en-US"/>
        </w:rPr>
        <w:t> </w:t>
      </w:r>
      <w:r w:rsidRPr="00275F3D">
        <w:rPr>
          <w:rStyle w:val="highlight"/>
          <w:szCs w:val="20"/>
          <w:lang w:val="en-US"/>
        </w:rPr>
        <w:t>colds</w:t>
      </w:r>
      <w:r w:rsidRPr="00275F3D">
        <w:rPr>
          <w:rStyle w:val="apple-converted-space"/>
          <w:szCs w:val="20"/>
          <w:lang w:val="en-US"/>
        </w:rPr>
        <w:t> </w:t>
      </w:r>
      <w:r w:rsidRPr="00275F3D">
        <w:rPr>
          <w:lang w:val="en-US"/>
        </w:rPr>
        <w:t xml:space="preserve">has been debated. </w:t>
      </w:r>
      <w:r w:rsidRPr="0013324D">
        <w:rPr>
          <w:lang w:val="en-US"/>
        </w:rPr>
        <w:t>Studies of naturally occurring</w:t>
      </w:r>
      <w:r w:rsidRPr="0013324D">
        <w:rPr>
          <w:rStyle w:val="apple-converted-space"/>
          <w:szCs w:val="20"/>
          <w:lang w:val="en-US"/>
        </w:rPr>
        <w:t> </w:t>
      </w:r>
      <w:r w:rsidRPr="0013324D">
        <w:rPr>
          <w:rStyle w:val="highlight"/>
          <w:szCs w:val="20"/>
          <w:lang w:val="en-US"/>
        </w:rPr>
        <w:t>colds</w:t>
      </w:r>
      <w:r w:rsidRPr="0013324D">
        <w:rPr>
          <w:rStyle w:val="apple-converted-space"/>
          <w:szCs w:val="20"/>
          <w:lang w:val="en-US"/>
        </w:rPr>
        <w:t> </w:t>
      </w:r>
      <w:r w:rsidRPr="0013324D">
        <w:rPr>
          <w:lang w:val="en-US"/>
        </w:rPr>
        <w:t>are hampered by variability in time from onset of symptoms to treatment and by heterogeneity in trial design. Experimental infection studies allow for the standardization of time to initiation of treatment, virus type and dose, and immune competence of volunteers.</w:t>
      </w:r>
    </w:p>
    <w:p w:rsidR="00975689" w:rsidRPr="00275F3D" w:rsidRDefault="00975689" w:rsidP="00975689">
      <w:pPr>
        <w:pStyle w:val="Corpo"/>
        <w:rPr>
          <w:lang w:val="en-US"/>
        </w:rPr>
      </w:pPr>
      <w:r w:rsidRPr="00275F3D">
        <w:rPr>
          <w:lang w:val="en-US"/>
        </w:rPr>
        <w:t>OBJECTIVE: To determine whether the negative results obtained in previous studies of</w:t>
      </w:r>
      <w:r w:rsidRPr="00275F3D">
        <w:rPr>
          <w:rStyle w:val="apple-converted-space"/>
          <w:szCs w:val="20"/>
          <w:lang w:val="en-US"/>
        </w:rPr>
        <w:t> </w:t>
      </w:r>
      <w:r w:rsidRPr="00275F3D">
        <w:rPr>
          <w:rStyle w:val="highlight"/>
          <w:szCs w:val="20"/>
          <w:lang w:val="en-US"/>
        </w:rPr>
        <w:t>Echinacea</w:t>
      </w:r>
      <w:r w:rsidRPr="00275F3D">
        <w:rPr>
          <w:rStyle w:val="apple-converted-space"/>
          <w:szCs w:val="20"/>
          <w:lang w:val="en-US"/>
        </w:rPr>
        <w:t> </w:t>
      </w:r>
      <w:r w:rsidRPr="00275F3D">
        <w:rPr>
          <w:lang w:val="en-US"/>
        </w:rPr>
        <w:t>were a consequence of efficacy or of inadequate sample size, we performed a</w:t>
      </w:r>
      <w:r w:rsidRPr="00275F3D">
        <w:rPr>
          <w:rStyle w:val="apple-converted-space"/>
          <w:szCs w:val="20"/>
          <w:lang w:val="en-US"/>
        </w:rPr>
        <w:t> </w:t>
      </w:r>
      <w:r w:rsidRPr="00275F3D">
        <w:rPr>
          <w:rStyle w:val="highlight"/>
          <w:szCs w:val="20"/>
          <w:lang w:val="en-US"/>
        </w:rPr>
        <w:t>meta-analysis</w:t>
      </w:r>
      <w:r w:rsidRPr="00275F3D">
        <w:rPr>
          <w:rStyle w:val="apple-converted-space"/>
          <w:szCs w:val="20"/>
          <w:lang w:val="en-US"/>
        </w:rPr>
        <w:t> </w:t>
      </w:r>
      <w:r w:rsidRPr="00275F3D">
        <w:rPr>
          <w:lang w:val="en-US"/>
        </w:rPr>
        <w:t>of experimental</w:t>
      </w:r>
      <w:r w:rsidRPr="00275F3D">
        <w:rPr>
          <w:rStyle w:val="apple-converted-space"/>
          <w:szCs w:val="20"/>
          <w:lang w:val="en-US"/>
        </w:rPr>
        <w:t> </w:t>
      </w:r>
      <w:r w:rsidRPr="00275F3D">
        <w:rPr>
          <w:rStyle w:val="highlight"/>
          <w:szCs w:val="20"/>
          <w:lang w:val="en-US"/>
        </w:rPr>
        <w:t>rhinovirus</w:t>
      </w:r>
      <w:r w:rsidRPr="00275F3D">
        <w:rPr>
          <w:rStyle w:val="apple-converted-space"/>
          <w:szCs w:val="20"/>
          <w:lang w:val="en-US"/>
        </w:rPr>
        <w:t> </w:t>
      </w:r>
      <w:r w:rsidRPr="00275F3D">
        <w:rPr>
          <w:lang w:val="en-US"/>
        </w:rPr>
        <w:t>infection studies on the efficacy of</w:t>
      </w:r>
      <w:r w:rsidRPr="00275F3D">
        <w:rPr>
          <w:rStyle w:val="apple-converted-space"/>
          <w:szCs w:val="20"/>
          <w:lang w:val="en-US"/>
        </w:rPr>
        <w:t> </w:t>
      </w:r>
      <w:r w:rsidRPr="00275F3D">
        <w:rPr>
          <w:rStyle w:val="highlight"/>
          <w:szCs w:val="20"/>
          <w:lang w:val="en-US"/>
        </w:rPr>
        <w:t>Echinacea</w:t>
      </w:r>
      <w:r w:rsidRPr="00275F3D">
        <w:rPr>
          <w:rStyle w:val="apple-converted-space"/>
          <w:szCs w:val="20"/>
          <w:lang w:val="en-US"/>
        </w:rPr>
        <w:t> </w:t>
      </w:r>
      <w:r w:rsidRPr="00275F3D">
        <w:rPr>
          <w:lang w:val="en-US"/>
        </w:rPr>
        <w:t>extracts to prevent symptomatic development of an experimentally</w:t>
      </w:r>
      <w:r w:rsidRPr="00275F3D">
        <w:rPr>
          <w:rStyle w:val="apple-converted-space"/>
          <w:szCs w:val="20"/>
          <w:lang w:val="en-US"/>
        </w:rPr>
        <w:t> </w:t>
      </w:r>
      <w:r w:rsidRPr="00275F3D">
        <w:rPr>
          <w:rStyle w:val="highlight"/>
          <w:szCs w:val="20"/>
          <w:lang w:val="en-US"/>
        </w:rPr>
        <w:t>induced</w:t>
      </w:r>
      <w:r w:rsidRPr="00275F3D">
        <w:rPr>
          <w:rStyle w:val="apple-converted-space"/>
          <w:szCs w:val="20"/>
          <w:lang w:val="en-US"/>
        </w:rPr>
        <w:t> </w:t>
      </w:r>
      <w:r w:rsidRPr="00275F3D">
        <w:rPr>
          <w:lang w:val="en-US"/>
        </w:rPr>
        <w:t>cold.</w:t>
      </w:r>
    </w:p>
    <w:p w:rsidR="00975689" w:rsidRPr="0013324D" w:rsidRDefault="00975689" w:rsidP="00975689">
      <w:pPr>
        <w:pStyle w:val="Corpo"/>
        <w:rPr>
          <w:lang w:val="en-US"/>
        </w:rPr>
      </w:pPr>
      <w:r w:rsidRPr="00275F3D">
        <w:rPr>
          <w:lang w:val="en-US"/>
        </w:rPr>
        <w:lastRenderedPageBreak/>
        <w:t>METHODS: We carried out a systematic search of English- and German-language literature using the MEDLINE, EMBASE, CAplus, BIOSIS, CABA, AGRICOLA, TOXCENTER, SCISEARCH, NAHL, and NAPRALERT, databases and the search terms</w:t>
      </w:r>
      <w:r w:rsidRPr="00275F3D">
        <w:rPr>
          <w:rStyle w:val="highlight"/>
          <w:szCs w:val="20"/>
          <w:lang w:val="en-US"/>
        </w:rPr>
        <w:t>Echinacea</w:t>
      </w:r>
      <w:r w:rsidRPr="00275F3D">
        <w:rPr>
          <w:lang w:val="en-US"/>
        </w:rPr>
        <w:t xml:space="preserve">, black Sampson, coneflower, and Roter Sonnenbut. </w:t>
      </w:r>
      <w:r w:rsidRPr="0013324D">
        <w:rPr>
          <w:lang w:val="en-US"/>
        </w:rPr>
        <w:t>Matching documents were then searched for &gt; or = 1 of the following terms:</w:t>
      </w:r>
      <w:r w:rsidRPr="0013324D">
        <w:rPr>
          <w:rStyle w:val="apple-converted-space"/>
          <w:szCs w:val="20"/>
          <w:lang w:val="en-US"/>
        </w:rPr>
        <w:t> </w:t>
      </w:r>
      <w:r w:rsidRPr="0013324D">
        <w:rPr>
          <w:rStyle w:val="highlight"/>
          <w:szCs w:val="20"/>
          <w:lang w:val="en-US"/>
        </w:rPr>
        <w:t>rhinovirus</w:t>
      </w:r>
      <w:r w:rsidRPr="0013324D">
        <w:rPr>
          <w:lang w:val="en-US"/>
        </w:rPr>
        <w:t>, RV, inoculation, Inokulation,</w:t>
      </w:r>
      <w:r w:rsidRPr="0013324D">
        <w:rPr>
          <w:rStyle w:val="apple-converted-space"/>
          <w:szCs w:val="20"/>
          <w:lang w:val="en-US"/>
        </w:rPr>
        <w:t> </w:t>
      </w:r>
      <w:r w:rsidRPr="0013324D">
        <w:rPr>
          <w:rStyle w:val="highlight"/>
          <w:szCs w:val="20"/>
          <w:lang w:val="en-US"/>
        </w:rPr>
        <w:t>induced</w:t>
      </w:r>
      <w:r w:rsidRPr="0013324D">
        <w:rPr>
          <w:lang w:val="en-US"/>
        </w:rPr>
        <w:t>, induziert, artificial, and artifiziell. Suitable studies were identified and pooled for analysis. The primary end point was the development of symptomatic clinical</w:t>
      </w:r>
      <w:r w:rsidRPr="0013324D">
        <w:rPr>
          <w:rStyle w:val="apple-converted-space"/>
          <w:szCs w:val="20"/>
          <w:lang w:val="en-US"/>
        </w:rPr>
        <w:t> </w:t>
      </w:r>
      <w:r w:rsidRPr="0013324D">
        <w:rPr>
          <w:rStyle w:val="highlight"/>
          <w:szCs w:val="20"/>
          <w:lang w:val="en-US"/>
        </w:rPr>
        <w:t>colds</w:t>
      </w:r>
      <w:r w:rsidRPr="0013324D">
        <w:rPr>
          <w:lang w:val="en-US"/>
        </w:rPr>
        <w:t>, as defined by the authors of the original studies. Results were reported as differences in the proportion of subjects with symptomatic episodes of a common cold, expressed as odds ratios (ORs) and 95% CIs. The secondary outcome was the difference in total symptom severity scores between treatment groups (assessed daily by integrating the severity scores of 8 individual cold-related symptoms that were rated on a scale from 0 [absent] to 4 [very severe]).</w:t>
      </w:r>
    </w:p>
    <w:p w:rsidR="00975689" w:rsidRPr="0013324D" w:rsidRDefault="00975689" w:rsidP="00975689">
      <w:pPr>
        <w:pStyle w:val="Corpo"/>
        <w:rPr>
          <w:lang w:val="en-US"/>
        </w:rPr>
      </w:pPr>
      <w:r w:rsidRPr="00275F3D">
        <w:rPr>
          <w:lang w:val="en-US"/>
        </w:rPr>
        <w:t>RESULTS: A total of 234 articles were identified through the literature search; 231 were excluded from the analysis because they related to studies of spontaneous common</w:t>
      </w:r>
      <w:r w:rsidRPr="00275F3D">
        <w:rPr>
          <w:rStyle w:val="apple-converted-space"/>
          <w:szCs w:val="20"/>
          <w:lang w:val="en-US"/>
        </w:rPr>
        <w:t> </w:t>
      </w:r>
      <w:r w:rsidRPr="00275F3D">
        <w:rPr>
          <w:rStyle w:val="highlight"/>
          <w:szCs w:val="20"/>
          <w:lang w:val="en-US"/>
        </w:rPr>
        <w:t>colds</w:t>
      </w:r>
      <w:r w:rsidRPr="00275F3D">
        <w:rPr>
          <w:lang w:val="en-US"/>
        </w:rPr>
        <w:t xml:space="preserve">. </w:t>
      </w:r>
      <w:r w:rsidRPr="0013324D">
        <w:rPr>
          <w:lang w:val="en-US"/>
        </w:rPr>
        <w:t>Three suitable studies were selected for pooling of data. Based on the analysis, the likelihood of experiencing a clinical cold was 55% higher with placebo than with</w:t>
      </w:r>
      <w:r w:rsidRPr="0013324D">
        <w:rPr>
          <w:rStyle w:val="apple-converted-space"/>
          <w:szCs w:val="20"/>
          <w:lang w:val="en-US"/>
        </w:rPr>
        <w:t> </w:t>
      </w:r>
      <w:r w:rsidRPr="0013324D">
        <w:rPr>
          <w:rStyle w:val="highlight"/>
          <w:szCs w:val="20"/>
          <w:lang w:val="en-US"/>
        </w:rPr>
        <w:t>Echinacea</w:t>
      </w:r>
      <w:r w:rsidRPr="0013324D">
        <w:rPr>
          <w:rStyle w:val="apple-converted-space"/>
          <w:szCs w:val="20"/>
          <w:lang w:val="en-US"/>
        </w:rPr>
        <w:t> </w:t>
      </w:r>
      <w:r w:rsidRPr="0013324D">
        <w:rPr>
          <w:lang w:val="en-US"/>
        </w:rPr>
        <w:t>(OR, 1.55 [95% CI, 1.02-2.36]; P&lt;0.043). The absolute difference in total symptom scores between groups was -1.96 (95% CI, -4.83 to 0.90; P=NS).</w:t>
      </w:r>
    </w:p>
    <w:p w:rsidR="00975689" w:rsidRPr="0013324D" w:rsidRDefault="00975689" w:rsidP="00975689">
      <w:pPr>
        <w:pStyle w:val="Corpo"/>
        <w:rPr>
          <w:lang w:val="en-US"/>
        </w:rPr>
      </w:pPr>
      <w:r w:rsidRPr="00275F3D">
        <w:rPr>
          <w:lang w:val="en-US"/>
        </w:rPr>
        <w:t>CONCLUSIONS: This</w:t>
      </w:r>
      <w:r w:rsidRPr="00275F3D">
        <w:rPr>
          <w:rStyle w:val="apple-converted-space"/>
          <w:szCs w:val="20"/>
          <w:lang w:val="en-US"/>
        </w:rPr>
        <w:t> </w:t>
      </w:r>
      <w:r w:rsidRPr="00275F3D">
        <w:rPr>
          <w:rStyle w:val="highlight"/>
          <w:szCs w:val="20"/>
          <w:lang w:val="en-US"/>
        </w:rPr>
        <w:t>meta-analysis</w:t>
      </w:r>
      <w:r w:rsidRPr="00275F3D">
        <w:rPr>
          <w:rStyle w:val="apple-converted-space"/>
          <w:szCs w:val="20"/>
          <w:lang w:val="en-US"/>
        </w:rPr>
        <w:t> </w:t>
      </w:r>
      <w:r w:rsidRPr="00275F3D">
        <w:rPr>
          <w:lang w:val="en-US"/>
        </w:rPr>
        <w:t>suggests that standardized extracts of</w:t>
      </w:r>
      <w:r w:rsidRPr="00275F3D">
        <w:rPr>
          <w:rStyle w:val="apple-converted-space"/>
          <w:szCs w:val="20"/>
          <w:lang w:val="en-US"/>
        </w:rPr>
        <w:t> </w:t>
      </w:r>
      <w:r w:rsidRPr="00275F3D">
        <w:rPr>
          <w:rStyle w:val="highlight"/>
          <w:szCs w:val="20"/>
          <w:lang w:val="en-US"/>
        </w:rPr>
        <w:t>Echinacea</w:t>
      </w:r>
      <w:r w:rsidRPr="00275F3D">
        <w:rPr>
          <w:rStyle w:val="apple-converted-space"/>
          <w:szCs w:val="20"/>
          <w:lang w:val="en-US"/>
        </w:rPr>
        <w:t> </w:t>
      </w:r>
      <w:r w:rsidRPr="00275F3D">
        <w:rPr>
          <w:lang w:val="en-US"/>
        </w:rPr>
        <w:t>were effective in the</w:t>
      </w:r>
      <w:r w:rsidRPr="00275F3D">
        <w:rPr>
          <w:rStyle w:val="apple-converted-space"/>
          <w:szCs w:val="20"/>
          <w:lang w:val="en-US"/>
        </w:rPr>
        <w:t> </w:t>
      </w:r>
      <w:r w:rsidRPr="00275F3D">
        <w:rPr>
          <w:rStyle w:val="highlight"/>
          <w:szCs w:val="20"/>
          <w:lang w:val="en-US"/>
        </w:rPr>
        <w:t>prevention</w:t>
      </w:r>
      <w:r w:rsidRPr="00275F3D">
        <w:rPr>
          <w:rStyle w:val="apple-converted-space"/>
          <w:szCs w:val="20"/>
          <w:lang w:val="en-US"/>
        </w:rPr>
        <w:t> </w:t>
      </w:r>
      <w:r w:rsidRPr="00275F3D">
        <w:rPr>
          <w:lang w:val="en-US"/>
        </w:rPr>
        <w:t xml:space="preserve">of symptoms of the common cold after clinical inoculation, compared with placebo. </w:t>
      </w:r>
      <w:r w:rsidRPr="0013324D">
        <w:rPr>
          <w:lang w:val="en-US"/>
        </w:rPr>
        <w:t>Further prospective, appropriately powered clinical studies are required to confirm this finding.</w:t>
      </w:r>
    </w:p>
    <w:p w:rsidR="00975689" w:rsidRPr="00275F3D" w:rsidRDefault="00975689" w:rsidP="00975689">
      <w:pPr>
        <w:pStyle w:val="Corpo"/>
        <w:rPr>
          <w:szCs w:val="17"/>
          <w:lang w:val="en-US"/>
        </w:rPr>
      </w:pPr>
      <w:r w:rsidRPr="00275F3D">
        <w:rPr>
          <w:szCs w:val="17"/>
          <w:lang w:val="en-US"/>
        </w:rPr>
        <w:t>PMID:</w:t>
      </w:r>
      <w:r w:rsidRPr="00275F3D">
        <w:rPr>
          <w:rStyle w:val="apple-converted-space"/>
          <w:szCs w:val="17"/>
          <w:lang w:val="en-US"/>
        </w:rPr>
        <w:t> </w:t>
      </w:r>
      <w:r w:rsidRPr="00275F3D">
        <w:rPr>
          <w:szCs w:val="17"/>
          <w:lang w:val="en-US"/>
        </w:rPr>
        <w:t>16678640</w:t>
      </w:r>
      <w:r w:rsidRPr="00275F3D">
        <w:rPr>
          <w:rStyle w:val="apple-converted-space"/>
          <w:szCs w:val="17"/>
          <w:lang w:val="en-US"/>
        </w:rPr>
        <w:t> </w:t>
      </w:r>
      <w:r w:rsidRPr="00275F3D">
        <w:rPr>
          <w:szCs w:val="17"/>
          <w:lang w:val="en-US"/>
        </w:rPr>
        <w:t>[PubMed - indexed for MEDLINE]</w:t>
      </w:r>
    </w:p>
    <w:p w:rsidR="00975689" w:rsidRPr="00FB028C" w:rsidRDefault="00975689" w:rsidP="00975689">
      <w:pPr>
        <w:pStyle w:val="Corpo"/>
        <w:rPr>
          <w:lang w:val="en-US"/>
        </w:rPr>
      </w:pPr>
    </w:p>
    <w:p w:rsidR="00975689" w:rsidRPr="00275F3D" w:rsidRDefault="00975689" w:rsidP="00975689">
      <w:pPr>
        <w:pStyle w:val="Corpo"/>
        <w:rPr>
          <w:szCs w:val="17"/>
          <w:lang w:val="en-US"/>
        </w:rPr>
      </w:pPr>
    </w:p>
    <w:p w:rsidR="00975689" w:rsidRPr="00794891" w:rsidRDefault="00975689" w:rsidP="00975689">
      <w:pPr>
        <w:pStyle w:val="Corpo"/>
        <w:rPr>
          <w:lang w:val="en-US"/>
        </w:rPr>
      </w:pPr>
    </w:p>
    <w:p w:rsidR="00975689" w:rsidRPr="00F04AED" w:rsidRDefault="00975689" w:rsidP="00975689">
      <w:pPr>
        <w:pStyle w:val="Corpo"/>
        <w:rPr>
          <w:szCs w:val="17"/>
          <w:lang w:val="en-US"/>
        </w:rPr>
      </w:pPr>
    </w:p>
    <w:p w:rsidR="00975689" w:rsidRPr="00F04AED" w:rsidRDefault="00975689" w:rsidP="00975689">
      <w:pPr>
        <w:pStyle w:val="Corpo"/>
        <w:rPr>
          <w:lang w:val="en-US"/>
        </w:rPr>
      </w:pPr>
    </w:p>
    <w:p w:rsidR="005D74D8" w:rsidRPr="00975689" w:rsidRDefault="005D74D8" w:rsidP="00975689">
      <w:pPr>
        <w:rPr>
          <w:lang w:val="en-US"/>
        </w:rPr>
      </w:pPr>
    </w:p>
    <w:sectPr w:rsidR="005D74D8" w:rsidRPr="00975689" w:rsidSect="00E97911">
      <w:headerReference w:type="even" r:id="rId170"/>
      <w:headerReference w:type="default" r:id="rId171"/>
      <w:footerReference w:type="even" r:id="rId172"/>
      <w:footerReference w:type="default" r:id="rId173"/>
      <w:headerReference w:type="first" r:id="rId174"/>
      <w:footerReference w:type="first" r:id="rId175"/>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914" w:rsidRDefault="00935914" w:rsidP="001F3683">
      <w:pPr>
        <w:spacing w:after="0" w:line="240" w:lineRule="auto"/>
      </w:pPr>
      <w:r>
        <w:separator/>
      </w:r>
    </w:p>
  </w:endnote>
  <w:endnote w:type="continuationSeparator" w:id="0">
    <w:p w:rsidR="00935914" w:rsidRDefault="00935914" w:rsidP="001F3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 Lt BT">
    <w:charset w:val="00"/>
    <w:family w:val="swiss"/>
    <w:pitch w:val="variable"/>
    <w:sig w:usb0="00000087" w:usb1="00000000" w:usb2="00000000" w:usb3="00000000" w:csb0="0000001B" w:csb1="00000000"/>
  </w:font>
  <w:font w:name="Futura Md BT">
    <w:altName w:val="Lucida Sans Unicode"/>
    <w:charset w:val="00"/>
    <w:family w:val="swiss"/>
    <w:pitch w:val="variable"/>
    <w:sig w:usb0="00000001" w:usb1="1000204A" w:usb2="00000000" w:usb3="00000000" w:csb0="0000001B" w:csb1="00000000"/>
  </w:font>
  <w:font w:name="Futura Lt BT">
    <w:altName w:val="Segoe UI"/>
    <w:charset w:val="00"/>
    <w:family w:val="swiss"/>
    <w:pitch w:val="variable"/>
    <w:sig w:usb0="00000001"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40A" w:rsidRDefault="008C440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06377"/>
      <w:docPartObj>
        <w:docPartGallery w:val="Page Numbers (Bottom of Page)"/>
        <w:docPartUnique/>
      </w:docPartObj>
    </w:sdtPr>
    <w:sdtEndPr/>
    <w:sdtContent>
      <w:p w:rsidR="00BF5FB5" w:rsidRDefault="008C440A" w:rsidP="00D05230">
        <w:pPr>
          <w:pStyle w:val="referencias"/>
          <w:pBdr>
            <w:bottom w:val="single" w:sz="12" w:space="1" w:color="auto"/>
          </w:pBdr>
          <w:ind w:left="-567" w:right="-568"/>
          <w:jc w:val="left"/>
        </w:pPr>
        <w:r>
          <w:rPr>
            <w:i w:val="0"/>
            <w:noProof/>
          </w:rPr>
          <mc:AlternateContent>
            <mc:Choice Requires="wps">
              <w:drawing>
                <wp:anchor distT="0" distB="0" distL="114300" distR="114300" simplePos="0" relativeHeight="251661312" behindDoc="0" locked="0" layoutInCell="1" allowOverlap="1">
                  <wp:simplePos x="0" y="0"/>
                  <wp:positionH relativeFrom="rightMargin">
                    <wp:posOffset>339725</wp:posOffset>
                  </wp:positionH>
                  <wp:positionV relativeFrom="bottomMargin">
                    <wp:posOffset>161925</wp:posOffset>
                  </wp:positionV>
                  <wp:extent cx="581025" cy="485140"/>
                  <wp:effectExtent l="0" t="0" r="3175" b="63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485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Futura Lt BT" w:hAnsi="Futura Lt BT"/>
                                  <w:color w:val="A6A6A6" w:themeColor="background1" w:themeShade="A6"/>
                                  <w:sz w:val="48"/>
                                  <w:szCs w:val="44"/>
                                </w:rPr>
                                <w:id w:val="27420758"/>
                                <w:docPartObj>
                                  <w:docPartGallery w:val="Page Numbers (Margins)"/>
                                  <w:docPartUnique/>
                                </w:docPartObj>
                              </w:sdtPr>
                              <w:sdtEndPr/>
                              <w:sdtContent>
                                <w:sdt>
                                  <w:sdtPr>
                                    <w:rPr>
                                      <w:rFonts w:ascii="Futura Lt BT" w:hAnsi="Futura Lt BT"/>
                                      <w:color w:val="A6A6A6" w:themeColor="background1" w:themeShade="A6"/>
                                      <w:sz w:val="48"/>
                                      <w:szCs w:val="44"/>
                                    </w:rPr>
                                    <w:id w:val="27420759"/>
                                    <w:docPartObj>
                                      <w:docPartGallery w:val="Page Numbers (Margins)"/>
                                      <w:docPartUnique/>
                                    </w:docPartObj>
                                  </w:sdtPr>
                                  <w:sdtEndPr/>
                                  <w:sdtContent>
                                    <w:p w:rsidR="00BF5FB5" w:rsidRPr="001F3683" w:rsidRDefault="000467BD">
                                      <w:pPr>
                                        <w:jc w:val="center"/>
                                        <w:rPr>
                                          <w:rFonts w:ascii="Futura Lt BT" w:hAnsi="Futura Lt BT"/>
                                          <w:color w:val="A6A6A6" w:themeColor="background1" w:themeShade="A6"/>
                                          <w:sz w:val="48"/>
                                          <w:szCs w:val="44"/>
                                        </w:rPr>
                                      </w:pPr>
                                      <w:r w:rsidRPr="001F3683">
                                        <w:rPr>
                                          <w:rFonts w:ascii="Futura Lt BT" w:hAnsi="Futura Lt BT"/>
                                          <w:color w:val="A6A6A6" w:themeColor="background1" w:themeShade="A6"/>
                                        </w:rPr>
                                        <w:fldChar w:fldCharType="begin"/>
                                      </w:r>
                                      <w:r w:rsidR="00BF5FB5" w:rsidRPr="001F3683">
                                        <w:rPr>
                                          <w:rFonts w:ascii="Futura Lt BT" w:hAnsi="Futura Lt BT"/>
                                          <w:color w:val="A6A6A6" w:themeColor="background1" w:themeShade="A6"/>
                                        </w:rPr>
                                        <w:instrText xml:space="preserve"> PAGE   \* MERGEFORMAT </w:instrText>
                                      </w:r>
                                      <w:r w:rsidRPr="001F3683">
                                        <w:rPr>
                                          <w:rFonts w:ascii="Futura Lt BT" w:hAnsi="Futura Lt BT"/>
                                          <w:color w:val="A6A6A6" w:themeColor="background1" w:themeShade="A6"/>
                                        </w:rPr>
                                        <w:fldChar w:fldCharType="separate"/>
                                      </w:r>
                                      <w:r w:rsidR="008C440A" w:rsidRPr="008C440A">
                                        <w:rPr>
                                          <w:rFonts w:ascii="Futura Lt BT" w:hAnsi="Futura Lt BT"/>
                                          <w:noProof/>
                                          <w:color w:val="A6A6A6" w:themeColor="background1" w:themeShade="A6"/>
                                          <w:sz w:val="48"/>
                                          <w:szCs w:val="44"/>
                                        </w:rPr>
                                        <w:t>2</w:t>
                                      </w:r>
                                      <w:r w:rsidRPr="001F3683">
                                        <w:rPr>
                                          <w:rFonts w:ascii="Futura Lt BT" w:hAnsi="Futura Lt BT"/>
                                          <w:color w:val="A6A6A6" w:themeColor="background1" w:themeShade="A6"/>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6.75pt;margin-top:12.75pt;width:45.75pt;height:38.2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" stroked="f">
                  <v:textbox>
                    <w:txbxContent>
                      <w:sdt>
                        <w:sdtPr>
                          <w:rPr>
                            <w:rFonts w:ascii="Futura Lt BT" w:hAnsi="Futura Lt BT"/>
                            <w:color w:val="A6A6A6" w:themeColor="background1" w:themeShade="A6"/>
                            <w:sz w:val="48"/>
                            <w:szCs w:val="44"/>
                          </w:rPr>
                          <w:id w:val="27420758"/>
                          <w:docPartObj>
                            <w:docPartGallery w:val="Page Numbers (Margins)"/>
                            <w:docPartUnique/>
                          </w:docPartObj>
                        </w:sdtPr>
                        <w:sdtEndPr/>
                        <w:sdtContent>
                          <w:sdt>
                            <w:sdtPr>
                              <w:rPr>
                                <w:rFonts w:ascii="Futura Lt BT" w:hAnsi="Futura Lt BT"/>
                                <w:color w:val="A6A6A6" w:themeColor="background1" w:themeShade="A6"/>
                                <w:sz w:val="48"/>
                                <w:szCs w:val="44"/>
                              </w:rPr>
                              <w:id w:val="27420759"/>
                              <w:docPartObj>
                                <w:docPartGallery w:val="Page Numbers (Margins)"/>
                                <w:docPartUnique/>
                              </w:docPartObj>
                            </w:sdtPr>
                            <w:sdtEndPr/>
                            <w:sdtContent>
                              <w:p w:rsidR="00BF5FB5" w:rsidRPr="001F3683" w:rsidRDefault="000467BD">
                                <w:pPr>
                                  <w:jc w:val="center"/>
                                  <w:rPr>
                                    <w:rFonts w:ascii="Futura Lt BT" w:hAnsi="Futura Lt BT"/>
                                    <w:color w:val="A6A6A6" w:themeColor="background1" w:themeShade="A6"/>
                                    <w:sz w:val="48"/>
                                    <w:szCs w:val="44"/>
                                  </w:rPr>
                                </w:pPr>
                                <w:r w:rsidRPr="001F3683">
                                  <w:rPr>
                                    <w:rFonts w:ascii="Futura Lt BT" w:hAnsi="Futura Lt BT"/>
                                    <w:color w:val="A6A6A6" w:themeColor="background1" w:themeShade="A6"/>
                                  </w:rPr>
                                  <w:fldChar w:fldCharType="begin"/>
                                </w:r>
                                <w:r w:rsidR="00BF5FB5" w:rsidRPr="001F3683">
                                  <w:rPr>
                                    <w:rFonts w:ascii="Futura Lt BT" w:hAnsi="Futura Lt BT"/>
                                    <w:color w:val="A6A6A6" w:themeColor="background1" w:themeShade="A6"/>
                                  </w:rPr>
                                  <w:instrText xml:space="preserve"> PAGE   \* MERGEFORMAT </w:instrText>
                                </w:r>
                                <w:r w:rsidRPr="001F3683">
                                  <w:rPr>
                                    <w:rFonts w:ascii="Futura Lt BT" w:hAnsi="Futura Lt BT"/>
                                    <w:color w:val="A6A6A6" w:themeColor="background1" w:themeShade="A6"/>
                                  </w:rPr>
                                  <w:fldChar w:fldCharType="separate"/>
                                </w:r>
                                <w:r w:rsidR="008C440A" w:rsidRPr="008C440A">
                                  <w:rPr>
                                    <w:rFonts w:ascii="Futura Lt BT" w:hAnsi="Futura Lt BT"/>
                                    <w:noProof/>
                                    <w:color w:val="A6A6A6" w:themeColor="background1" w:themeShade="A6"/>
                                    <w:sz w:val="48"/>
                                    <w:szCs w:val="44"/>
                                  </w:rPr>
                                  <w:t>2</w:t>
                                </w:r>
                                <w:r w:rsidRPr="001F3683">
                                  <w:rPr>
                                    <w:rFonts w:ascii="Futura Lt BT" w:hAnsi="Futura Lt BT"/>
                                    <w:color w:val="A6A6A6" w:themeColor="background1" w:themeShade="A6"/>
                                  </w:rPr>
                                  <w:fldChar w:fldCharType="end"/>
                                </w:r>
                              </w:p>
                            </w:sdtContent>
                          </w:sdt>
                        </w:sdtContent>
                      </w:sdt>
                    </w:txbxContent>
                  </v:textbox>
                  <w10:wrap anchorx="margin" anchory="margin"/>
                </v:rect>
              </w:pict>
            </mc:Fallback>
          </mc:AlternateContent>
        </w:r>
      </w:p>
      <w:p w:rsidR="00BF5FB5" w:rsidRDefault="00BF5FB5" w:rsidP="00D05230">
        <w:pPr>
          <w:pStyle w:val="referencias"/>
          <w:ind w:left="-567" w:right="-568"/>
          <w:jc w:val="left"/>
        </w:pPr>
        <w:r w:rsidRPr="00D05230">
          <w:rPr>
            <w:i w:val="0"/>
          </w:rPr>
          <w:t>Direitos Autorais Protegidos pela Lei 9.610 de 19 de Fevereiro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sidRPr="00D05230">
          <w:rPr>
            <w:i w:val="0"/>
          </w:rPr>
          <w:br/>
          <w:t>www.consulfarma.com. 19 3736.6888.</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B6E" w:rsidRDefault="00927B6E" w:rsidP="00927B6E">
    <w:pPr>
      <w:pStyle w:val="referencias"/>
      <w:pBdr>
        <w:bottom w:val="single" w:sz="12" w:space="1" w:color="auto"/>
      </w:pBdr>
      <w:ind w:left="-567" w:right="-568"/>
      <w:jc w:val="left"/>
    </w:pPr>
  </w:p>
  <w:p w:rsidR="00927B6E" w:rsidRPr="00927B6E" w:rsidRDefault="00927B6E" w:rsidP="00927B6E">
    <w:pPr>
      <w:pStyle w:val="Rodap"/>
      <w:tabs>
        <w:tab w:val="clear" w:pos="8504"/>
        <w:tab w:val="right" w:pos="9072"/>
      </w:tabs>
      <w:ind w:left="-567" w:right="-568"/>
      <w:rPr>
        <w:sz w:val="12"/>
        <w:szCs w:val="12"/>
      </w:rPr>
    </w:pPr>
    <w:r w:rsidRPr="00927B6E">
      <w:rPr>
        <w:sz w:val="12"/>
        <w:szCs w:val="12"/>
      </w:rPr>
      <w:t>Direitos Autorais Protegidos pela Lei 9.610 de 19 de Fevereiro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sidRPr="00927B6E">
      <w:rPr>
        <w:sz w:val="12"/>
        <w:szCs w:val="12"/>
      </w:rPr>
      <w:br/>
      <w:t>www.consulfarma.com. 19 3736.6888.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914" w:rsidRDefault="00935914" w:rsidP="001F3683">
      <w:pPr>
        <w:spacing w:after="0" w:line="240" w:lineRule="auto"/>
      </w:pPr>
      <w:r>
        <w:separator/>
      </w:r>
    </w:p>
  </w:footnote>
  <w:footnote w:type="continuationSeparator" w:id="0">
    <w:p w:rsidR="00935914" w:rsidRDefault="00935914" w:rsidP="001F3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40A" w:rsidRDefault="008C440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FB5" w:rsidRDefault="008C440A">
    <w:pPr>
      <w:pStyle w:val="Cabealho"/>
    </w:pPr>
    <w:bookmarkStart w:id="0" w:name="_GoBack"/>
    <w:bookmarkEnd w:id="0"/>
    <w:r>
      <w:rPr>
        <w:rFonts w:ascii="Times New Roman" w:hAnsi="Times New Roman" w:cs="Times New Roman"/>
        <w:noProof/>
        <w:sz w:val="24"/>
        <w:szCs w:val="24"/>
      </w:rPr>
      <w:drawing>
        <wp:anchor distT="0" distB="0" distL="114300" distR="114300" simplePos="0" relativeHeight="251667456" behindDoc="0" locked="0" layoutInCell="1" allowOverlap="1">
          <wp:simplePos x="0" y="0"/>
          <wp:positionH relativeFrom="column">
            <wp:posOffset>-994410</wp:posOffset>
          </wp:positionH>
          <wp:positionV relativeFrom="paragraph">
            <wp:posOffset>-236855</wp:posOffset>
          </wp:positionV>
          <wp:extent cx="1590675" cy="542925"/>
          <wp:effectExtent l="0" t="0" r="0" b="0"/>
          <wp:wrapSquare wrapText="bothSides"/>
          <wp:docPr id="2" name="Imagem 2" descr="Logo Oficial_ 20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Oficial_ 2016-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B6E" w:rsidRDefault="008C440A">
    <w:pPr>
      <w:pStyle w:val="Cabealho"/>
    </w:pPr>
    <w:r>
      <w:rPr>
        <w:rFonts w:ascii="Times New Roman" w:hAnsi="Times New Roman" w:cs="Times New Roman"/>
        <w:noProof/>
        <w:sz w:val="24"/>
        <w:szCs w:val="24"/>
      </w:rPr>
      <w:drawing>
        <wp:anchor distT="0" distB="0" distL="114300" distR="114300" simplePos="0" relativeHeight="251665408" behindDoc="0" locked="0" layoutInCell="1" allowOverlap="1">
          <wp:simplePos x="0" y="0"/>
          <wp:positionH relativeFrom="column">
            <wp:posOffset>-927735</wp:posOffset>
          </wp:positionH>
          <wp:positionV relativeFrom="paragraph">
            <wp:posOffset>-294005</wp:posOffset>
          </wp:positionV>
          <wp:extent cx="1590675" cy="542925"/>
          <wp:effectExtent l="0" t="0" r="0" b="0"/>
          <wp:wrapSquare wrapText="bothSides"/>
          <wp:docPr id="1" name="Imagem 1" descr="Logo Oficial_ 20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Oficial_ 2016-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pt-BR" w:vendorID="1" w:dllVersion="513" w:checkStyle="1"/>
  <w:defaultTabStop w:val="709"/>
  <w:hyphenationZone w:val="425"/>
  <w:drawingGridHorizontalSpacing w:val="110"/>
  <w:displayHorizontalDrawingGridEvery w:val="2"/>
  <w:characterSpacingControl w:val="doNotCompress"/>
  <w:hdrShapeDefaults>
    <o:shapedefaults v:ext="edit" spidmax="2049" style="mso-width-relative:margin;mso-height-relative:margin" fillcolor="white" strokecolor="#378956">
      <v:fill color="white"/>
      <v:stroke dashstyle="1 1" color="#378956" weight="1.5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BDE"/>
    <w:rsid w:val="000022DC"/>
    <w:rsid w:val="00002712"/>
    <w:rsid w:val="000038C7"/>
    <w:rsid w:val="000038F8"/>
    <w:rsid w:val="0000482E"/>
    <w:rsid w:val="000050F8"/>
    <w:rsid w:val="00014C38"/>
    <w:rsid w:val="000150A5"/>
    <w:rsid w:val="00015741"/>
    <w:rsid w:val="00016778"/>
    <w:rsid w:val="00016E8C"/>
    <w:rsid w:val="000173C9"/>
    <w:rsid w:val="00020303"/>
    <w:rsid w:val="00021F09"/>
    <w:rsid w:val="00023054"/>
    <w:rsid w:val="000239F7"/>
    <w:rsid w:val="000276FE"/>
    <w:rsid w:val="00031062"/>
    <w:rsid w:val="00032B98"/>
    <w:rsid w:val="0003438A"/>
    <w:rsid w:val="00036558"/>
    <w:rsid w:val="00036B49"/>
    <w:rsid w:val="000370E4"/>
    <w:rsid w:val="00040DE5"/>
    <w:rsid w:val="00041D9C"/>
    <w:rsid w:val="0004259E"/>
    <w:rsid w:val="000427D5"/>
    <w:rsid w:val="00042C41"/>
    <w:rsid w:val="00043847"/>
    <w:rsid w:val="00045442"/>
    <w:rsid w:val="000459C4"/>
    <w:rsid w:val="0004603E"/>
    <w:rsid w:val="000467BD"/>
    <w:rsid w:val="00050AD9"/>
    <w:rsid w:val="00051B4A"/>
    <w:rsid w:val="0005317C"/>
    <w:rsid w:val="00053E5C"/>
    <w:rsid w:val="000556CF"/>
    <w:rsid w:val="00055E72"/>
    <w:rsid w:val="0006023C"/>
    <w:rsid w:val="000622C0"/>
    <w:rsid w:val="0006617F"/>
    <w:rsid w:val="000671BA"/>
    <w:rsid w:val="00070761"/>
    <w:rsid w:val="000718E0"/>
    <w:rsid w:val="00075BBC"/>
    <w:rsid w:val="00075F52"/>
    <w:rsid w:val="00076FAB"/>
    <w:rsid w:val="000770E7"/>
    <w:rsid w:val="000772C8"/>
    <w:rsid w:val="000773A6"/>
    <w:rsid w:val="00080B80"/>
    <w:rsid w:val="00082333"/>
    <w:rsid w:val="000832CD"/>
    <w:rsid w:val="00085C69"/>
    <w:rsid w:val="00091CEA"/>
    <w:rsid w:val="00091FFB"/>
    <w:rsid w:val="00092E82"/>
    <w:rsid w:val="000939D3"/>
    <w:rsid w:val="00093E99"/>
    <w:rsid w:val="000950DB"/>
    <w:rsid w:val="000958DD"/>
    <w:rsid w:val="00095DAC"/>
    <w:rsid w:val="000A05D9"/>
    <w:rsid w:val="000A1788"/>
    <w:rsid w:val="000A31F2"/>
    <w:rsid w:val="000A323E"/>
    <w:rsid w:val="000A3323"/>
    <w:rsid w:val="000A39FA"/>
    <w:rsid w:val="000A5C35"/>
    <w:rsid w:val="000A7A96"/>
    <w:rsid w:val="000B054F"/>
    <w:rsid w:val="000B14F3"/>
    <w:rsid w:val="000B173C"/>
    <w:rsid w:val="000B3D09"/>
    <w:rsid w:val="000B3D34"/>
    <w:rsid w:val="000B4876"/>
    <w:rsid w:val="000B48B5"/>
    <w:rsid w:val="000B4B99"/>
    <w:rsid w:val="000B4BC5"/>
    <w:rsid w:val="000B4CCF"/>
    <w:rsid w:val="000B5301"/>
    <w:rsid w:val="000B55C5"/>
    <w:rsid w:val="000B6373"/>
    <w:rsid w:val="000C098C"/>
    <w:rsid w:val="000C3818"/>
    <w:rsid w:val="000C50D2"/>
    <w:rsid w:val="000C79FE"/>
    <w:rsid w:val="000D12EB"/>
    <w:rsid w:val="000D1535"/>
    <w:rsid w:val="000D3D78"/>
    <w:rsid w:val="000D42A1"/>
    <w:rsid w:val="000D603A"/>
    <w:rsid w:val="000E3043"/>
    <w:rsid w:val="000E77D6"/>
    <w:rsid w:val="000E7EE4"/>
    <w:rsid w:val="000F1847"/>
    <w:rsid w:val="000F20EF"/>
    <w:rsid w:val="000F30C9"/>
    <w:rsid w:val="000F77B3"/>
    <w:rsid w:val="000F7BD3"/>
    <w:rsid w:val="00100271"/>
    <w:rsid w:val="00100991"/>
    <w:rsid w:val="00100C76"/>
    <w:rsid w:val="00100EE3"/>
    <w:rsid w:val="00102AAA"/>
    <w:rsid w:val="00102DFE"/>
    <w:rsid w:val="0010330B"/>
    <w:rsid w:val="001043E4"/>
    <w:rsid w:val="00105E67"/>
    <w:rsid w:val="00107876"/>
    <w:rsid w:val="001103C1"/>
    <w:rsid w:val="001114B6"/>
    <w:rsid w:val="0011250A"/>
    <w:rsid w:val="00113376"/>
    <w:rsid w:val="00113921"/>
    <w:rsid w:val="001168D6"/>
    <w:rsid w:val="00116D91"/>
    <w:rsid w:val="0011736B"/>
    <w:rsid w:val="00120440"/>
    <w:rsid w:val="00120A12"/>
    <w:rsid w:val="00120C97"/>
    <w:rsid w:val="001231F7"/>
    <w:rsid w:val="00124876"/>
    <w:rsid w:val="00124C95"/>
    <w:rsid w:val="0012517F"/>
    <w:rsid w:val="00125644"/>
    <w:rsid w:val="00126238"/>
    <w:rsid w:val="0012653B"/>
    <w:rsid w:val="0012792E"/>
    <w:rsid w:val="00131227"/>
    <w:rsid w:val="00131973"/>
    <w:rsid w:val="00131F78"/>
    <w:rsid w:val="001325AC"/>
    <w:rsid w:val="0013288F"/>
    <w:rsid w:val="00133910"/>
    <w:rsid w:val="00133DB8"/>
    <w:rsid w:val="00134017"/>
    <w:rsid w:val="00134904"/>
    <w:rsid w:val="00140069"/>
    <w:rsid w:val="00141ECD"/>
    <w:rsid w:val="00144B16"/>
    <w:rsid w:val="00145295"/>
    <w:rsid w:val="001453D9"/>
    <w:rsid w:val="00145ABA"/>
    <w:rsid w:val="00147966"/>
    <w:rsid w:val="00152DC8"/>
    <w:rsid w:val="00154BB0"/>
    <w:rsid w:val="00155D95"/>
    <w:rsid w:val="00156AFF"/>
    <w:rsid w:val="00156E2D"/>
    <w:rsid w:val="001572FB"/>
    <w:rsid w:val="0016011A"/>
    <w:rsid w:val="001606C1"/>
    <w:rsid w:val="0016081D"/>
    <w:rsid w:val="00163F6E"/>
    <w:rsid w:val="00164053"/>
    <w:rsid w:val="00164C01"/>
    <w:rsid w:val="00164E67"/>
    <w:rsid w:val="00170A57"/>
    <w:rsid w:val="00173333"/>
    <w:rsid w:val="0017465F"/>
    <w:rsid w:val="0017639D"/>
    <w:rsid w:val="00176A3C"/>
    <w:rsid w:val="00176A80"/>
    <w:rsid w:val="00177546"/>
    <w:rsid w:val="001775C4"/>
    <w:rsid w:val="00177A5D"/>
    <w:rsid w:val="00177AA3"/>
    <w:rsid w:val="001802A9"/>
    <w:rsid w:val="00180C07"/>
    <w:rsid w:val="001812E7"/>
    <w:rsid w:val="001813B3"/>
    <w:rsid w:val="00181F79"/>
    <w:rsid w:val="00181FAB"/>
    <w:rsid w:val="001826CC"/>
    <w:rsid w:val="00183E5A"/>
    <w:rsid w:val="00190E34"/>
    <w:rsid w:val="00190F54"/>
    <w:rsid w:val="001928F9"/>
    <w:rsid w:val="00192E63"/>
    <w:rsid w:val="00193EFC"/>
    <w:rsid w:val="0019446A"/>
    <w:rsid w:val="00195BFB"/>
    <w:rsid w:val="001965BC"/>
    <w:rsid w:val="00197101"/>
    <w:rsid w:val="001A214A"/>
    <w:rsid w:val="001A360D"/>
    <w:rsid w:val="001A4763"/>
    <w:rsid w:val="001A47C0"/>
    <w:rsid w:val="001A53F4"/>
    <w:rsid w:val="001A75F5"/>
    <w:rsid w:val="001B0527"/>
    <w:rsid w:val="001B1271"/>
    <w:rsid w:val="001B27AA"/>
    <w:rsid w:val="001B287E"/>
    <w:rsid w:val="001B391F"/>
    <w:rsid w:val="001C17AA"/>
    <w:rsid w:val="001C17FA"/>
    <w:rsid w:val="001C2D01"/>
    <w:rsid w:val="001C692A"/>
    <w:rsid w:val="001C7991"/>
    <w:rsid w:val="001D0177"/>
    <w:rsid w:val="001D03BE"/>
    <w:rsid w:val="001D1958"/>
    <w:rsid w:val="001D1A97"/>
    <w:rsid w:val="001D22A3"/>
    <w:rsid w:val="001D299C"/>
    <w:rsid w:val="001D3B11"/>
    <w:rsid w:val="001D3E6F"/>
    <w:rsid w:val="001D5C59"/>
    <w:rsid w:val="001D5ECB"/>
    <w:rsid w:val="001D66B3"/>
    <w:rsid w:val="001D6D74"/>
    <w:rsid w:val="001D7048"/>
    <w:rsid w:val="001D739D"/>
    <w:rsid w:val="001D7790"/>
    <w:rsid w:val="001D78F7"/>
    <w:rsid w:val="001E085A"/>
    <w:rsid w:val="001E08E8"/>
    <w:rsid w:val="001E1837"/>
    <w:rsid w:val="001E2BD1"/>
    <w:rsid w:val="001E2C04"/>
    <w:rsid w:val="001E4853"/>
    <w:rsid w:val="001E648E"/>
    <w:rsid w:val="001E79F8"/>
    <w:rsid w:val="001E7EF3"/>
    <w:rsid w:val="001F0CA2"/>
    <w:rsid w:val="001F19AC"/>
    <w:rsid w:val="001F2019"/>
    <w:rsid w:val="001F20DF"/>
    <w:rsid w:val="001F2B05"/>
    <w:rsid w:val="001F3683"/>
    <w:rsid w:val="001F447F"/>
    <w:rsid w:val="001F5842"/>
    <w:rsid w:val="001F7881"/>
    <w:rsid w:val="001F7C3C"/>
    <w:rsid w:val="00201408"/>
    <w:rsid w:val="002015FC"/>
    <w:rsid w:val="00202156"/>
    <w:rsid w:val="002036ED"/>
    <w:rsid w:val="00204A5D"/>
    <w:rsid w:val="00205299"/>
    <w:rsid w:val="00205947"/>
    <w:rsid w:val="002118FF"/>
    <w:rsid w:val="00212572"/>
    <w:rsid w:val="00214855"/>
    <w:rsid w:val="002179B0"/>
    <w:rsid w:val="00220400"/>
    <w:rsid w:val="00220846"/>
    <w:rsid w:val="0022271D"/>
    <w:rsid w:val="00223825"/>
    <w:rsid w:val="00224098"/>
    <w:rsid w:val="00230716"/>
    <w:rsid w:val="0023148E"/>
    <w:rsid w:val="002329EA"/>
    <w:rsid w:val="00233605"/>
    <w:rsid w:val="00233F6C"/>
    <w:rsid w:val="00235AE1"/>
    <w:rsid w:val="00236D60"/>
    <w:rsid w:val="00243082"/>
    <w:rsid w:val="00244A66"/>
    <w:rsid w:val="00246E5F"/>
    <w:rsid w:val="00250ACF"/>
    <w:rsid w:val="002535B7"/>
    <w:rsid w:val="00253A10"/>
    <w:rsid w:val="00253B6B"/>
    <w:rsid w:val="0025524A"/>
    <w:rsid w:val="002552B6"/>
    <w:rsid w:val="002605C6"/>
    <w:rsid w:val="00260F47"/>
    <w:rsid w:val="002615E3"/>
    <w:rsid w:val="00262166"/>
    <w:rsid w:val="00262C05"/>
    <w:rsid w:val="00263ABC"/>
    <w:rsid w:val="00264AFF"/>
    <w:rsid w:val="00264CE5"/>
    <w:rsid w:val="0026612D"/>
    <w:rsid w:val="0026651D"/>
    <w:rsid w:val="00266594"/>
    <w:rsid w:val="00266753"/>
    <w:rsid w:val="00266D60"/>
    <w:rsid w:val="00267587"/>
    <w:rsid w:val="00267C3E"/>
    <w:rsid w:val="00270221"/>
    <w:rsid w:val="00271319"/>
    <w:rsid w:val="00273079"/>
    <w:rsid w:val="0027406D"/>
    <w:rsid w:val="00274502"/>
    <w:rsid w:val="00275AE6"/>
    <w:rsid w:val="00276332"/>
    <w:rsid w:val="00277E10"/>
    <w:rsid w:val="0028192E"/>
    <w:rsid w:val="0028322D"/>
    <w:rsid w:val="002850C6"/>
    <w:rsid w:val="002858E1"/>
    <w:rsid w:val="00285D42"/>
    <w:rsid w:val="0028609C"/>
    <w:rsid w:val="002861FD"/>
    <w:rsid w:val="002871CD"/>
    <w:rsid w:val="0028720E"/>
    <w:rsid w:val="00287C65"/>
    <w:rsid w:val="00291191"/>
    <w:rsid w:val="00291E87"/>
    <w:rsid w:val="0029218D"/>
    <w:rsid w:val="002922A4"/>
    <w:rsid w:val="0029260A"/>
    <w:rsid w:val="00293125"/>
    <w:rsid w:val="00293BA4"/>
    <w:rsid w:val="002960B5"/>
    <w:rsid w:val="0029765F"/>
    <w:rsid w:val="002A055A"/>
    <w:rsid w:val="002A2BA4"/>
    <w:rsid w:val="002A5649"/>
    <w:rsid w:val="002A5AC5"/>
    <w:rsid w:val="002A637F"/>
    <w:rsid w:val="002A6495"/>
    <w:rsid w:val="002B0A34"/>
    <w:rsid w:val="002B0DB8"/>
    <w:rsid w:val="002B43DB"/>
    <w:rsid w:val="002B51E5"/>
    <w:rsid w:val="002C014E"/>
    <w:rsid w:val="002C0D22"/>
    <w:rsid w:val="002C1C86"/>
    <w:rsid w:val="002C2398"/>
    <w:rsid w:val="002C25AA"/>
    <w:rsid w:val="002C39D0"/>
    <w:rsid w:val="002C3B29"/>
    <w:rsid w:val="002C57A3"/>
    <w:rsid w:val="002C6A5F"/>
    <w:rsid w:val="002C6F26"/>
    <w:rsid w:val="002D3581"/>
    <w:rsid w:val="002D5508"/>
    <w:rsid w:val="002D72C1"/>
    <w:rsid w:val="002D7BE1"/>
    <w:rsid w:val="002E195D"/>
    <w:rsid w:val="002E1A67"/>
    <w:rsid w:val="002E283B"/>
    <w:rsid w:val="002E4EC8"/>
    <w:rsid w:val="002E6197"/>
    <w:rsid w:val="002E7784"/>
    <w:rsid w:val="002F245A"/>
    <w:rsid w:val="002F3344"/>
    <w:rsid w:val="002F40D7"/>
    <w:rsid w:val="002F415C"/>
    <w:rsid w:val="002F64D0"/>
    <w:rsid w:val="002F77EC"/>
    <w:rsid w:val="00301226"/>
    <w:rsid w:val="00302610"/>
    <w:rsid w:val="00303BA5"/>
    <w:rsid w:val="00304936"/>
    <w:rsid w:val="003069EF"/>
    <w:rsid w:val="00310A8C"/>
    <w:rsid w:val="0031106C"/>
    <w:rsid w:val="00311B33"/>
    <w:rsid w:val="00312732"/>
    <w:rsid w:val="00316E07"/>
    <w:rsid w:val="00322445"/>
    <w:rsid w:val="00322A8E"/>
    <w:rsid w:val="00324E94"/>
    <w:rsid w:val="00326957"/>
    <w:rsid w:val="00327271"/>
    <w:rsid w:val="00327F96"/>
    <w:rsid w:val="003309F9"/>
    <w:rsid w:val="00330D34"/>
    <w:rsid w:val="0033143B"/>
    <w:rsid w:val="00333511"/>
    <w:rsid w:val="003336BB"/>
    <w:rsid w:val="003348A8"/>
    <w:rsid w:val="003358AF"/>
    <w:rsid w:val="00335FD2"/>
    <w:rsid w:val="003362FA"/>
    <w:rsid w:val="00337E77"/>
    <w:rsid w:val="00340449"/>
    <w:rsid w:val="003428C4"/>
    <w:rsid w:val="00343D24"/>
    <w:rsid w:val="003451E5"/>
    <w:rsid w:val="0034521C"/>
    <w:rsid w:val="0034594E"/>
    <w:rsid w:val="0034794A"/>
    <w:rsid w:val="0035276D"/>
    <w:rsid w:val="0035295E"/>
    <w:rsid w:val="003546AD"/>
    <w:rsid w:val="00360F2B"/>
    <w:rsid w:val="003617F9"/>
    <w:rsid w:val="00362ED0"/>
    <w:rsid w:val="00363BDC"/>
    <w:rsid w:val="003641C5"/>
    <w:rsid w:val="003657E0"/>
    <w:rsid w:val="00366D11"/>
    <w:rsid w:val="003701F7"/>
    <w:rsid w:val="00371A43"/>
    <w:rsid w:val="00371CFC"/>
    <w:rsid w:val="00373003"/>
    <w:rsid w:val="00373B7C"/>
    <w:rsid w:val="00373F7D"/>
    <w:rsid w:val="00374CB1"/>
    <w:rsid w:val="00374D54"/>
    <w:rsid w:val="00375A46"/>
    <w:rsid w:val="00376CB3"/>
    <w:rsid w:val="00377BDB"/>
    <w:rsid w:val="003823C9"/>
    <w:rsid w:val="00383190"/>
    <w:rsid w:val="003846E6"/>
    <w:rsid w:val="003868AB"/>
    <w:rsid w:val="00390D19"/>
    <w:rsid w:val="00392025"/>
    <w:rsid w:val="00393636"/>
    <w:rsid w:val="003943AD"/>
    <w:rsid w:val="00395825"/>
    <w:rsid w:val="003973AF"/>
    <w:rsid w:val="00397AB0"/>
    <w:rsid w:val="003A0A5C"/>
    <w:rsid w:val="003A1B4F"/>
    <w:rsid w:val="003A44C7"/>
    <w:rsid w:val="003A47FB"/>
    <w:rsid w:val="003A59AD"/>
    <w:rsid w:val="003A69D3"/>
    <w:rsid w:val="003B18D5"/>
    <w:rsid w:val="003B26A1"/>
    <w:rsid w:val="003B4AC1"/>
    <w:rsid w:val="003B604E"/>
    <w:rsid w:val="003B75D8"/>
    <w:rsid w:val="003C0250"/>
    <w:rsid w:val="003C09A9"/>
    <w:rsid w:val="003C0CCA"/>
    <w:rsid w:val="003C1A0F"/>
    <w:rsid w:val="003C2235"/>
    <w:rsid w:val="003C231C"/>
    <w:rsid w:val="003C29B3"/>
    <w:rsid w:val="003C36BC"/>
    <w:rsid w:val="003C3D6E"/>
    <w:rsid w:val="003C503A"/>
    <w:rsid w:val="003C6992"/>
    <w:rsid w:val="003C7EBB"/>
    <w:rsid w:val="003D081E"/>
    <w:rsid w:val="003D1782"/>
    <w:rsid w:val="003D193C"/>
    <w:rsid w:val="003D2C53"/>
    <w:rsid w:val="003D61D0"/>
    <w:rsid w:val="003D6874"/>
    <w:rsid w:val="003D6DD7"/>
    <w:rsid w:val="003D77A8"/>
    <w:rsid w:val="003E09FB"/>
    <w:rsid w:val="003E0DB6"/>
    <w:rsid w:val="003E1845"/>
    <w:rsid w:val="003E3382"/>
    <w:rsid w:val="003E3AD0"/>
    <w:rsid w:val="003E4AC1"/>
    <w:rsid w:val="003E7992"/>
    <w:rsid w:val="003E7D31"/>
    <w:rsid w:val="003F0385"/>
    <w:rsid w:val="003F0FA3"/>
    <w:rsid w:val="003F4ADA"/>
    <w:rsid w:val="003F4DAF"/>
    <w:rsid w:val="003F59EE"/>
    <w:rsid w:val="003F7786"/>
    <w:rsid w:val="00402682"/>
    <w:rsid w:val="0040498F"/>
    <w:rsid w:val="004065E8"/>
    <w:rsid w:val="004078F2"/>
    <w:rsid w:val="0041001E"/>
    <w:rsid w:val="004106B3"/>
    <w:rsid w:val="00411CA7"/>
    <w:rsid w:val="00412E04"/>
    <w:rsid w:val="00415D7A"/>
    <w:rsid w:val="00421086"/>
    <w:rsid w:val="00423766"/>
    <w:rsid w:val="00424538"/>
    <w:rsid w:val="004264A0"/>
    <w:rsid w:val="00426FB8"/>
    <w:rsid w:val="00427650"/>
    <w:rsid w:val="00427D59"/>
    <w:rsid w:val="0043143B"/>
    <w:rsid w:val="0043169E"/>
    <w:rsid w:val="004324E7"/>
    <w:rsid w:val="0043322B"/>
    <w:rsid w:val="00434864"/>
    <w:rsid w:val="00434A1E"/>
    <w:rsid w:val="00437C83"/>
    <w:rsid w:val="00437D82"/>
    <w:rsid w:val="00440587"/>
    <w:rsid w:val="00440B54"/>
    <w:rsid w:val="0044188B"/>
    <w:rsid w:val="004424D6"/>
    <w:rsid w:val="004427AC"/>
    <w:rsid w:val="004447CC"/>
    <w:rsid w:val="004462BA"/>
    <w:rsid w:val="0044687D"/>
    <w:rsid w:val="00446B5B"/>
    <w:rsid w:val="00447840"/>
    <w:rsid w:val="004518F0"/>
    <w:rsid w:val="00451D2A"/>
    <w:rsid w:val="004521E5"/>
    <w:rsid w:val="004530B1"/>
    <w:rsid w:val="00453306"/>
    <w:rsid w:val="0045749C"/>
    <w:rsid w:val="00457A40"/>
    <w:rsid w:val="00457D86"/>
    <w:rsid w:val="00457FD1"/>
    <w:rsid w:val="0046413E"/>
    <w:rsid w:val="004705FA"/>
    <w:rsid w:val="00471D4E"/>
    <w:rsid w:val="00472485"/>
    <w:rsid w:val="0047663B"/>
    <w:rsid w:val="0047686C"/>
    <w:rsid w:val="00480025"/>
    <w:rsid w:val="00481797"/>
    <w:rsid w:val="00481C7B"/>
    <w:rsid w:val="004822CE"/>
    <w:rsid w:val="00484301"/>
    <w:rsid w:val="00484CBD"/>
    <w:rsid w:val="00485949"/>
    <w:rsid w:val="00486434"/>
    <w:rsid w:val="00492302"/>
    <w:rsid w:val="00492CC7"/>
    <w:rsid w:val="00492E09"/>
    <w:rsid w:val="00494191"/>
    <w:rsid w:val="00494FAD"/>
    <w:rsid w:val="00495A11"/>
    <w:rsid w:val="00496D70"/>
    <w:rsid w:val="00497C08"/>
    <w:rsid w:val="00497C45"/>
    <w:rsid w:val="004A0ECF"/>
    <w:rsid w:val="004A1E3B"/>
    <w:rsid w:val="004A2F9E"/>
    <w:rsid w:val="004A4772"/>
    <w:rsid w:val="004B3DCF"/>
    <w:rsid w:val="004B3EED"/>
    <w:rsid w:val="004B6893"/>
    <w:rsid w:val="004B7870"/>
    <w:rsid w:val="004C13C0"/>
    <w:rsid w:val="004C1B93"/>
    <w:rsid w:val="004C4035"/>
    <w:rsid w:val="004C6EE3"/>
    <w:rsid w:val="004C7510"/>
    <w:rsid w:val="004C7F6E"/>
    <w:rsid w:val="004D0AA4"/>
    <w:rsid w:val="004D2690"/>
    <w:rsid w:val="004D3168"/>
    <w:rsid w:val="004D53BB"/>
    <w:rsid w:val="004D67C0"/>
    <w:rsid w:val="004D68DD"/>
    <w:rsid w:val="004E2D30"/>
    <w:rsid w:val="004E347C"/>
    <w:rsid w:val="004E55BD"/>
    <w:rsid w:val="004E5BC9"/>
    <w:rsid w:val="004E623A"/>
    <w:rsid w:val="004E650F"/>
    <w:rsid w:val="004E6F46"/>
    <w:rsid w:val="004E799D"/>
    <w:rsid w:val="004E7CF3"/>
    <w:rsid w:val="004F0030"/>
    <w:rsid w:val="004F11F5"/>
    <w:rsid w:val="004F1268"/>
    <w:rsid w:val="004F3240"/>
    <w:rsid w:val="004F3506"/>
    <w:rsid w:val="004F3D13"/>
    <w:rsid w:val="004F4BC8"/>
    <w:rsid w:val="004F4F95"/>
    <w:rsid w:val="00500690"/>
    <w:rsid w:val="00500CF9"/>
    <w:rsid w:val="0050276A"/>
    <w:rsid w:val="0050363A"/>
    <w:rsid w:val="0050409C"/>
    <w:rsid w:val="00505221"/>
    <w:rsid w:val="00505C94"/>
    <w:rsid w:val="00510087"/>
    <w:rsid w:val="0051056B"/>
    <w:rsid w:val="00511DED"/>
    <w:rsid w:val="005131D0"/>
    <w:rsid w:val="00513DFA"/>
    <w:rsid w:val="0051530C"/>
    <w:rsid w:val="00516439"/>
    <w:rsid w:val="00516BA4"/>
    <w:rsid w:val="00517C58"/>
    <w:rsid w:val="005203CD"/>
    <w:rsid w:val="00520453"/>
    <w:rsid w:val="0052159A"/>
    <w:rsid w:val="00522986"/>
    <w:rsid w:val="00522ED3"/>
    <w:rsid w:val="0052390D"/>
    <w:rsid w:val="005253C1"/>
    <w:rsid w:val="00525B23"/>
    <w:rsid w:val="00526C4A"/>
    <w:rsid w:val="00530A39"/>
    <w:rsid w:val="00531289"/>
    <w:rsid w:val="0053226A"/>
    <w:rsid w:val="00532CEA"/>
    <w:rsid w:val="0053481D"/>
    <w:rsid w:val="00537414"/>
    <w:rsid w:val="00537BD6"/>
    <w:rsid w:val="005411A9"/>
    <w:rsid w:val="00541CB2"/>
    <w:rsid w:val="00541FF1"/>
    <w:rsid w:val="00543D90"/>
    <w:rsid w:val="00545DA0"/>
    <w:rsid w:val="005461BD"/>
    <w:rsid w:val="005505B6"/>
    <w:rsid w:val="00550D22"/>
    <w:rsid w:val="005511C4"/>
    <w:rsid w:val="005533A0"/>
    <w:rsid w:val="00555989"/>
    <w:rsid w:val="005560E8"/>
    <w:rsid w:val="00556202"/>
    <w:rsid w:val="0055720D"/>
    <w:rsid w:val="005604F1"/>
    <w:rsid w:val="00560576"/>
    <w:rsid w:val="005617F7"/>
    <w:rsid w:val="00562801"/>
    <w:rsid w:val="005653ED"/>
    <w:rsid w:val="005659DC"/>
    <w:rsid w:val="0057017A"/>
    <w:rsid w:val="0057070F"/>
    <w:rsid w:val="005720B1"/>
    <w:rsid w:val="00573652"/>
    <w:rsid w:val="00575F9D"/>
    <w:rsid w:val="00577797"/>
    <w:rsid w:val="00580166"/>
    <w:rsid w:val="00580944"/>
    <w:rsid w:val="005814D8"/>
    <w:rsid w:val="00581FCA"/>
    <w:rsid w:val="005824A5"/>
    <w:rsid w:val="005830A4"/>
    <w:rsid w:val="0058463A"/>
    <w:rsid w:val="00586109"/>
    <w:rsid w:val="00586FFF"/>
    <w:rsid w:val="00587780"/>
    <w:rsid w:val="00587918"/>
    <w:rsid w:val="00587C9E"/>
    <w:rsid w:val="00592BC5"/>
    <w:rsid w:val="005931F2"/>
    <w:rsid w:val="00593B36"/>
    <w:rsid w:val="00597EB4"/>
    <w:rsid w:val="005A00EB"/>
    <w:rsid w:val="005A072E"/>
    <w:rsid w:val="005A0CD7"/>
    <w:rsid w:val="005A1444"/>
    <w:rsid w:val="005A179C"/>
    <w:rsid w:val="005A1862"/>
    <w:rsid w:val="005A6D6E"/>
    <w:rsid w:val="005A7436"/>
    <w:rsid w:val="005A7C7D"/>
    <w:rsid w:val="005B1BB9"/>
    <w:rsid w:val="005B32D2"/>
    <w:rsid w:val="005B3618"/>
    <w:rsid w:val="005B3929"/>
    <w:rsid w:val="005B4400"/>
    <w:rsid w:val="005B4F2F"/>
    <w:rsid w:val="005B5FD8"/>
    <w:rsid w:val="005B66DA"/>
    <w:rsid w:val="005C000E"/>
    <w:rsid w:val="005C0329"/>
    <w:rsid w:val="005C0575"/>
    <w:rsid w:val="005C1BF2"/>
    <w:rsid w:val="005C1C5E"/>
    <w:rsid w:val="005C3B3B"/>
    <w:rsid w:val="005C4255"/>
    <w:rsid w:val="005C7402"/>
    <w:rsid w:val="005C7BFE"/>
    <w:rsid w:val="005D0383"/>
    <w:rsid w:val="005D19C2"/>
    <w:rsid w:val="005D30A3"/>
    <w:rsid w:val="005D4662"/>
    <w:rsid w:val="005D4829"/>
    <w:rsid w:val="005D4BEE"/>
    <w:rsid w:val="005D74D8"/>
    <w:rsid w:val="005E0A50"/>
    <w:rsid w:val="005E2040"/>
    <w:rsid w:val="005E23DC"/>
    <w:rsid w:val="005E240B"/>
    <w:rsid w:val="005E413D"/>
    <w:rsid w:val="005E4771"/>
    <w:rsid w:val="005F0F77"/>
    <w:rsid w:val="005F14DA"/>
    <w:rsid w:val="005F1C87"/>
    <w:rsid w:val="005F341F"/>
    <w:rsid w:val="005F3F79"/>
    <w:rsid w:val="005F500B"/>
    <w:rsid w:val="005F58AF"/>
    <w:rsid w:val="005F5C04"/>
    <w:rsid w:val="005F7A70"/>
    <w:rsid w:val="00601DB7"/>
    <w:rsid w:val="00603AF6"/>
    <w:rsid w:val="00604041"/>
    <w:rsid w:val="0060451B"/>
    <w:rsid w:val="00606137"/>
    <w:rsid w:val="00607035"/>
    <w:rsid w:val="0060798E"/>
    <w:rsid w:val="006111E3"/>
    <w:rsid w:val="00611249"/>
    <w:rsid w:val="00612CA0"/>
    <w:rsid w:val="00613BB7"/>
    <w:rsid w:val="0061589E"/>
    <w:rsid w:val="0061594A"/>
    <w:rsid w:val="00615B4C"/>
    <w:rsid w:val="00615C14"/>
    <w:rsid w:val="00617DF3"/>
    <w:rsid w:val="00620722"/>
    <w:rsid w:val="00621C9D"/>
    <w:rsid w:val="00622248"/>
    <w:rsid w:val="00622650"/>
    <w:rsid w:val="00623003"/>
    <w:rsid w:val="0062361A"/>
    <w:rsid w:val="006260B0"/>
    <w:rsid w:val="00626C17"/>
    <w:rsid w:val="006305F9"/>
    <w:rsid w:val="00630D27"/>
    <w:rsid w:val="006321C1"/>
    <w:rsid w:val="00632E19"/>
    <w:rsid w:val="0063430A"/>
    <w:rsid w:val="0063496E"/>
    <w:rsid w:val="00635613"/>
    <w:rsid w:val="00635D83"/>
    <w:rsid w:val="00641301"/>
    <w:rsid w:val="006431FD"/>
    <w:rsid w:val="0064676E"/>
    <w:rsid w:val="00646E3E"/>
    <w:rsid w:val="006478D3"/>
    <w:rsid w:val="00647FB1"/>
    <w:rsid w:val="00650B78"/>
    <w:rsid w:val="00651571"/>
    <w:rsid w:val="00653428"/>
    <w:rsid w:val="006556B3"/>
    <w:rsid w:val="00655802"/>
    <w:rsid w:val="00655CEB"/>
    <w:rsid w:val="006568D5"/>
    <w:rsid w:val="00657BF9"/>
    <w:rsid w:val="00660A37"/>
    <w:rsid w:val="00664959"/>
    <w:rsid w:val="006670D9"/>
    <w:rsid w:val="006718FC"/>
    <w:rsid w:val="00671FE3"/>
    <w:rsid w:val="00673084"/>
    <w:rsid w:val="00673153"/>
    <w:rsid w:val="006755ED"/>
    <w:rsid w:val="00676117"/>
    <w:rsid w:val="00676A5E"/>
    <w:rsid w:val="00680A66"/>
    <w:rsid w:val="0068345D"/>
    <w:rsid w:val="00683C67"/>
    <w:rsid w:val="00685DDC"/>
    <w:rsid w:val="00686E56"/>
    <w:rsid w:val="00687A0E"/>
    <w:rsid w:val="006912A3"/>
    <w:rsid w:val="00691841"/>
    <w:rsid w:val="00691B21"/>
    <w:rsid w:val="0069551A"/>
    <w:rsid w:val="006975A2"/>
    <w:rsid w:val="006975D5"/>
    <w:rsid w:val="006A1DD6"/>
    <w:rsid w:val="006A20D5"/>
    <w:rsid w:val="006A3262"/>
    <w:rsid w:val="006A4023"/>
    <w:rsid w:val="006A48AC"/>
    <w:rsid w:val="006A5528"/>
    <w:rsid w:val="006A56D8"/>
    <w:rsid w:val="006A6709"/>
    <w:rsid w:val="006B04D8"/>
    <w:rsid w:val="006B051B"/>
    <w:rsid w:val="006B24DF"/>
    <w:rsid w:val="006B265F"/>
    <w:rsid w:val="006B3908"/>
    <w:rsid w:val="006B73AD"/>
    <w:rsid w:val="006C0959"/>
    <w:rsid w:val="006C1DD0"/>
    <w:rsid w:val="006C4DE7"/>
    <w:rsid w:val="006C62DF"/>
    <w:rsid w:val="006C6A90"/>
    <w:rsid w:val="006C7E79"/>
    <w:rsid w:val="006D0754"/>
    <w:rsid w:val="006D1F11"/>
    <w:rsid w:val="006D54ED"/>
    <w:rsid w:val="006D6F6A"/>
    <w:rsid w:val="006D79D8"/>
    <w:rsid w:val="006E0ECC"/>
    <w:rsid w:val="006E128C"/>
    <w:rsid w:val="006E2EA1"/>
    <w:rsid w:val="006E3C7D"/>
    <w:rsid w:val="006E4826"/>
    <w:rsid w:val="006E57EE"/>
    <w:rsid w:val="006E5B49"/>
    <w:rsid w:val="006E67CE"/>
    <w:rsid w:val="006E6AC2"/>
    <w:rsid w:val="006F1539"/>
    <w:rsid w:val="006F1C8D"/>
    <w:rsid w:val="006F1CE4"/>
    <w:rsid w:val="006F27BF"/>
    <w:rsid w:val="006F4122"/>
    <w:rsid w:val="006F530E"/>
    <w:rsid w:val="006F53D9"/>
    <w:rsid w:val="006F559A"/>
    <w:rsid w:val="006F5789"/>
    <w:rsid w:val="006F5DE6"/>
    <w:rsid w:val="006F6424"/>
    <w:rsid w:val="006F7326"/>
    <w:rsid w:val="006F75D7"/>
    <w:rsid w:val="00701812"/>
    <w:rsid w:val="00701884"/>
    <w:rsid w:val="00701E8C"/>
    <w:rsid w:val="00702C6E"/>
    <w:rsid w:val="007032AF"/>
    <w:rsid w:val="007050F2"/>
    <w:rsid w:val="0070550B"/>
    <w:rsid w:val="007055B3"/>
    <w:rsid w:val="0071357A"/>
    <w:rsid w:val="007172B2"/>
    <w:rsid w:val="0071788E"/>
    <w:rsid w:val="007207D8"/>
    <w:rsid w:val="007232D1"/>
    <w:rsid w:val="007233BE"/>
    <w:rsid w:val="007247E7"/>
    <w:rsid w:val="007319B6"/>
    <w:rsid w:val="00731AD1"/>
    <w:rsid w:val="0073211E"/>
    <w:rsid w:val="007341CD"/>
    <w:rsid w:val="00735362"/>
    <w:rsid w:val="00735C2F"/>
    <w:rsid w:val="00736275"/>
    <w:rsid w:val="00736819"/>
    <w:rsid w:val="00740D30"/>
    <w:rsid w:val="00740D81"/>
    <w:rsid w:val="00743715"/>
    <w:rsid w:val="007438FD"/>
    <w:rsid w:val="007446BD"/>
    <w:rsid w:val="007448AA"/>
    <w:rsid w:val="00745372"/>
    <w:rsid w:val="007455A3"/>
    <w:rsid w:val="00746CF3"/>
    <w:rsid w:val="007470CC"/>
    <w:rsid w:val="00747CBD"/>
    <w:rsid w:val="007515B7"/>
    <w:rsid w:val="007516E5"/>
    <w:rsid w:val="00751BA2"/>
    <w:rsid w:val="007527A2"/>
    <w:rsid w:val="00752BE0"/>
    <w:rsid w:val="0075481D"/>
    <w:rsid w:val="007565B1"/>
    <w:rsid w:val="0076054D"/>
    <w:rsid w:val="00760B2E"/>
    <w:rsid w:val="007634B1"/>
    <w:rsid w:val="00763A9A"/>
    <w:rsid w:val="007641E2"/>
    <w:rsid w:val="00765071"/>
    <w:rsid w:val="0076561B"/>
    <w:rsid w:val="007659E3"/>
    <w:rsid w:val="0076617C"/>
    <w:rsid w:val="00770591"/>
    <w:rsid w:val="00770CC5"/>
    <w:rsid w:val="007728D4"/>
    <w:rsid w:val="00775263"/>
    <w:rsid w:val="00776D70"/>
    <w:rsid w:val="00780FAB"/>
    <w:rsid w:val="00781D9D"/>
    <w:rsid w:val="00783E2C"/>
    <w:rsid w:val="007841A5"/>
    <w:rsid w:val="00784BC5"/>
    <w:rsid w:val="00784DDA"/>
    <w:rsid w:val="0078547B"/>
    <w:rsid w:val="00785DC8"/>
    <w:rsid w:val="007863E7"/>
    <w:rsid w:val="0078728E"/>
    <w:rsid w:val="0079040A"/>
    <w:rsid w:val="00790D6D"/>
    <w:rsid w:val="00790E4B"/>
    <w:rsid w:val="007919DB"/>
    <w:rsid w:val="007934F1"/>
    <w:rsid w:val="007941BB"/>
    <w:rsid w:val="007955C7"/>
    <w:rsid w:val="00795643"/>
    <w:rsid w:val="0079699C"/>
    <w:rsid w:val="00796DD4"/>
    <w:rsid w:val="00797F70"/>
    <w:rsid w:val="007A02B1"/>
    <w:rsid w:val="007A13D1"/>
    <w:rsid w:val="007A1CD2"/>
    <w:rsid w:val="007A2ABC"/>
    <w:rsid w:val="007A30E0"/>
    <w:rsid w:val="007A540D"/>
    <w:rsid w:val="007A5835"/>
    <w:rsid w:val="007A68EA"/>
    <w:rsid w:val="007A7076"/>
    <w:rsid w:val="007B0577"/>
    <w:rsid w:val="007B164E"/>
    <w:rsid w:val="007B1B34"/>
    <w:rsid w:val="007B243C"/>
    <w:rsid w:val="007B7F63"/>
    <w:rsid w:val="007C08DF"/>
    <w:rsid w:val="007C0F2C"/>
    <w:rsid w:val="007C1E6E"/>
    <w:rsid w:val="007C36D5"/>
    <w:rsid w:val="007C3AFB"/>
    <w:rsid w:val="007C4F8A"/>
    <w:rsid w:val="007C6406"/>
    <w:rsid w:val="007C6C37"/>
    <w:rsid w:val="007C70D6"/>
    <w:rsid w:val="007C77E1"/>
    <w:rsid w:val="007D34F2"/>
    <w:rsid w:val="007D3C23"/>
    <w:rsid w:val="007D5D14"/>
    <w:rsid w:val="007D78C4"/>
    <w:rsid w:val="007D7909"/>
    <w:rsid w:val="007E372E"/>
    <w:rsid w:val="007E3A5C"/>
    <w:rsid w:val="007E5567"/>
    <w:rsid w:val="007E5DAD"/>
    <w:rsid w:val="007E6B59"/>
    <w:rsid w:val="007E740D"/>
    <w:rsid w:val="007F0602"/>
    <w:rsid w:val="007F0F6E"/>
    <w:rsid w:val="007F1263"/>
    <w:rsid w:val="007F1D00"/>
    <w:rsid w:val="007F2476"/>
    <w:rsid w:val="007F28DC"/>
    <w:rsid w:val="007F4673"/>
    <w:rsid w:val="007F48D0"/>
    <w:rsid w:val="007F52CB"/>
    <w:rsid w:val="0080032B"/>
    <w:rsid w:val="0080061E"/>
    <w:rsid w:val="008010BF"/>
    <w:rsid w:val="00801656"/>
    <w:rsid w:val="00801BDE"/>
    <w:rsid w:val="00803B7D"/>
    <w:rsid w:val="0080506C"/>
    <w:rsid w:val="00805685"/>
    <w:rsid w:val="00806ECF"/>
    <w:rsid w:val="008139B6"/>
    <w:rsid w:val="008164FB"/>
    <w:rsid w:val="00817345"/>
    <w:rsid w:val="00820B73"/>
    <w:rsid w:val="00823619"/>
    <w:rsid w:val="00823C21"/>
    <w:rsid w:val="00824963"/>
    <w:rsid w:val="00826B09"/>
    <w:rsid w:val="008271E7"/>
    <w:rsid w:val="00827AA7"/>
    <w:rsid w:val="00827F9A"/>
    <w:rsid w:val="00833D5C"/>
    <w:rsid w:val="00833F7D"/>
    <w:rsid w:val="0083560B"/>
    <w:rsid w:val="008409ED"/>
    <w:rsid w:val="008418C6"/>
    <w:rsid w:val="008420A5"/>
    <w:rsid w:val="00842DF8"/>
    <w:rsid w:val="00843711"/>
    <w:rsid w:val="00843D0E"/>
    <w:rsid w:val="00844D65"/>
    <w:rsid w:val="00845087"/>
    <w:rsid w:val="008508E1"/>
    <w:rsid w:val="008526C7"/>
    <w:rsid w:val="00853A3F"/>
    <w:rsid w:val="0085540F"/>
    <w:rsid w:val="0085595E"/>
    <w:rsid w:val="008566E1"/>
    <w:rsid w:val="008571EB"/>
    <w:rsid w:val="00860012"/>
    <w:rsid w:val="00860103"/>
    <w:rsid w:val="008608BA"/>
    <w:rsid w:val="00861679"/>
    <w:rsid w:val="00862014"/>
    <w:rsid w:val="00862F36"/>
    <w:rsid w:val="008632B2"/>
    <w:rsid w:val="0086442A"/>
    <w:rsid w:val="0086465D"/>
    <w:rsid w:val="008657AC"/>
    <w:rsid w:val="008670C0"/>
    <w:rsid w:val="008674B7"/>
    <w:rsid w:val="00867814"/>
    <w:rsid w:val="008714CD"/>
    <w:rsid w:val="00871559"/>
    <w:rsid w:val="008720D7"/>
    <w:rsid w:val="00872411"/>
    <w:rsid w:val="008730BF"/>
    <w:rsid w:val="00873418"/>
    <w:rsid w:val="00873D5D"/>
    <w:rsid w:val="00874F48"/>
    <w:rsid w:val="008769C2"/>
    <w:rsid w:val="008770FD"/>
    <w:rsid w:val="00877485"/>
    <w:rsid w:val="008777BE"/>
    <w:rsid w:val="00877C97"/>
    <w:rsid w:val="0088230F"/>
    <w:rsid w:val="0088298C"/>
    <w:rsid w:val="00883573"/>
    <w:rsid w:val="00886EBD"/>
    <w:rsid w:val="008910B6"/>
    <w:rsid w:val="00891DD3"/>
    <w:rsid w:val="00892973"/>
    <w:rsid w:val="008935E3"/>
    <w:rsid w:val="008945F6"/>
    <w:rsid w:val="00894C18"/>
    <w:rsid w:val="00895B1E"/>
    <w:rsid w:val="008A0842"/>
    <w:rsid w:val="008A2B33"/>
    <w:rsid w:val="008A2C8C"/>
    <w:rsid w:val="008A4966"/>
    <w:rsid w:val="008A5C2C"/>
    <w:rsid w:val="008A6BFE"/>
    <w:rsid w:val="008B069D"/>
    <w:rsid w:val="008B19A9"/>
    <w:rsid w:val="008B24C3"/>
    <w:rsid w:val="008B2A2C"/>
    <w:rsid w:val="008B34E6"/>
    <w:rsid w:val="008B42DA"/>
    <w:rsid w:val="008B5CDC"/>
    <w:rsid w:val="008B6A5B"/>
    <w:rsid w:val="008B7336"/>
    <w:rsid w:val="008B7F53"/>
    <w:rsid w:val="008C01BF"/>
    <w:rsid w:val="008C05B1"/>
    <w:rsid w:val="008C12A6"/>
    <w:rsid w:val="008C1826"/>
    <w:rsid w:val="008C1FC5"/>
    <w:rsid w:val="008C2BAE"/>
    <w:rsid w:val="008C440A"/>
    <w:rsid w:val="008C4ADF"/>
    <w:rsid w:val="008C5876"/>
    <w:rsid w:val="008D080C"/>
    <w:rsid w:val="008D0B4E"/>
    <w:rsid w:val="008D0D27"/>
    <w:rsid w:val="008D34D2"/>
    <w:rsid w:val="008D3834"/>
    <w:rsid w:val="008D3B8B"/>
    <w:rsid w:val="008D3E4D"/>
    <w:rsid w:val="008D523A"/>
    <w:rsid w:val="008D53CC"/>
    <w:rsid w:val="008D6F72"/>
    <w:rsid w:val="008D71AC"/>
    <w:rsid w:val="008D7358"/>
    <w:rsid w:val="008E04AD"/>
    <w:rsid w:val="008E070A"/>
    <w:rsid w:val="008E0DF0"/>
    <w:rsid w:val="008E2971"/>
    <w:rsid w:val="008E353C"/>
    <w:rsid w:val="008E3992"/>
    <w:rsid w:val="008E3CD1"/>
    <w:rsid w:val="008E5291"/>
    <w:rsid w:val="008E58A9"/>
    <w:rsid w:val="008E6519"/>
    <w:rsid w:val="008E737F"/>
    <w:rsid w:val="008F17C3"/>
    <w:rsid w:val="008F1BE9"/>
    <w:rsid w:val="008F2390"/>
    <w:rsid w:val="008F4188"/>
    <w:rsid w:val="009005C3"/>
    <w:rsid w:val="00900859"/>
    <w:rsid w:val="009011E5"/>
    <w:rsid w:val="00902019"/>
    <w:rsid w:val="00902CAC"/>
    <w:rsid w:val="00903E10"/>
    <w:rsid w:val="009045E7"/>
    <w:rsid w:val="0090677F"/>
    <w:rsid w:val="00907E4B"/>
    <w:rsid w:val="0091053B"/>
    <w:rsid w:val="009124C6"/>
    <w:rsid w:val="00912B76"/>
    <w:rsid w:val="00915888"/>
    <w:rsid w:val="00916CBF"/>
    <w:rsid w:val="009172A8"/>
    <w:rsid w:val="00917A52"/>
    <w:rsid w:val="0092093C"/>
    <w:rsid w:val="00922BED"/>
    <w:rsid w:val="009231AD"/>
    <w:rsid w:val="00927B6E"/>
    <w:rsid w:val="00931390"/>
    <w:rsid w:val="00931C39"/>
    <w:rsid w:val="00931C3E"/>
    <w:rsid w:val="0093278C"/>
    <w:rsid w:val="00934588"/>
    <w:rsid w:val="009346AB"/>
    <w:rsid w:val="0093476E"/>
    <w:rsid w:val="0093480E"/>
    <w:rsid w:val="00935914"/>
    <w:rsid w:val="00935940"/>
    <w:rsid w:val="00941BF1"/>
    <w:rsid w:val="00942606"/>
    <w:rsid w:val="00944FFF"/>
    <w:rsid w:val="00946EAA"/>
    <w:rsid w:val="00950EE0"/>
    <w:rsid w:val="00951974"/>
    <w:rsid w:val="00951A50"/>
    <w:rsid w:val="009528E7"/>
    <w:rsid w:val="00954FE5"/>
    <w:rsid w:val="00955315"/>
    <w:rsid w:val="00957CE8"/>
    <w:rsid w:val="009625F8"/>
    <w:rsid w:val="0096263F"/>
    <w:rsid w:val="00963802"/>
    <w:rsid w:val="00965BE2"/>
    <w:rsid w:val="0097104B"/>
    <w:rsid w:val="00971B61"/>
    <w:rsid w:val="00973BF0"/>
    <w:rsid w:val="0097460E"/>
    <w:rsid w:val="00974CEE"/>
    <w:rsid w:val="00975233"/>
    <w:rsid w:val="00975689"/>
    <w:rsid w:val="00975ED4"/>
    <w:rsid w:val="00976405"/>
    <w:rsid w:val="00980117"/>
    <w:rsid w:val="00983AE2"/>
    <w:rsid w:val="00983E73"/>
    <w:rsid w:val="0098472D"/>
    <w:rsid w:val="0098636C"/>
    <w:rsid w:val="00986CC2"/>
    <w:rsid w:val="00990CA0"/>
    <w:rsid w:val="0099186D"/>
    <w:rsid w:val="0099243A"/>
    <w:rsid w:val="00992520"/>
    <w:rsid w:val="009932A5"/>
    <w:rsid w:val="009939A9"/>
    <w:rsid w:val="00995784"/>
    <w:rsid w:val="0099765D"/>
    <w:rsid w:val="009A052C"/>
    <w:rsid w:val="009A088D"/>
    <w:rsid w:val="009A0ACE"/>
    <w:rsid w:val="009A0F5B"/>
    <w:rsid w:val="009A1E7B"/>
    <w:rsid w:val="009A33FF"/>
    <w:rsid w:val="009A5C34"/>
    <w:rsid w:val="009A7885"/>
    <w:rsid w:val="009B0556"/>
    <w:rsid w:val="009B13D8"/>
    <w:rsid w:val="009B2CA0"/>
    <w:rsid w:val="009B2CD9"/>
    <w:rsid w:val="009B3BCA"/>
    <w:rsid w:val="009B49EE"/>
    <w:rsid w:val="009B4A2A"/>
    <w:rsid w:val="009B5132"/>
    <w:rsid w:val="009B5D58"/>
    <w:rsid w:val="009B6344"/>
    <w:rsid w:val="009B63FB"/>
    <w:rsid w:val="009B781F"/>
    <w:rsid w:val="009C1B82"/>
    <w:rsid w:val="009C2C7B"/>
    <w:rsid w:val="009C5826"/>
    <w:rsid w:val="009C6164"/>
    <w:rsid w:val="009C6D02"/>
    <w:rsid w:val="009C6E41"/>
    <w:rsid w:val="009C7C15"/>
    <w:rsid w:val="009D0413"/>
    <w:rsid w:val="009D226B"/>
    <w:rsid w:val="009D2BEB"/>
    <w:rsid w:val="009D40A5"/>
    <w:rsid w:val="009D4E25"/>
    <w:rsid w:val="009D586E"/>
    <w:rsid w:val="009D6EB8"/>
    <w:rsid w:val="009D7164"/>
    <w:rsid w:val="009D79E7"/>
    <w:rsid w:val="009D7D5F"/>
    <w:rsid w:val="009E0898"/>
    <w:rsid w:val="009E0E27"/>
    <w:rsid w:val="009E267E"/>
    <w:rsid w:val="009E3636"/>
    <w:rsid w:val="009E3DF1"/>
    <w:rsid w:val="009E40C4"/>
    <w:rsid w:val="009E4818"/>
    <w:rsid w:val="009E4D13"/>
    <w:rsid w:val="009E4DDF"/>
    <w:rsid w:val="009E4F8A"/>
    <w:rsid w:val="009E6712"/>
    <w:rsid w:val="009E6F7C"/>
    <w:rsid w:val="009F3809"/>
    <w:rsid w:val="009F3B4B"/>
    <w:rsid w:val="009F5873"/>
    <w:rsid w:val="009F5AE7"/>
    <w:rsid w:val="009F61F9"/>
    <w:rsid w:val="00A00A40"/>
    <w:rsid w:val="00A026B6"/>
    <w:rsid w:val="00A035CA"/>
    <w:rsid w:val="00A05176"/>
    <w:rsid w:val="00A1002D"/>
    <w:rsid w:val="00A10DA5"/>
    <w:rsid w:val="00A1446C"/>
    <w:rsid w:val="00A172A9"/>
    <w:rsid w:val="00A2033C"/>
    <w:rsid w:val="00A24655"/>
    <w:rsid w:val="00A25509"/>
    <w:rsid w:val="00A3148B"/>
    <w:rsid w:val="00A337A8"/>
    <w:rsid w:val="00A3413F"/>
    <w:rsid w:val="00A34F97"/>
    <w:rsid w:val="00A35CA5"/>
    <w:rsid w:val="00A367DF"/>
    <w:rsid w:val="00A368C2"/>
    <w:rsid w:val="00A36FA6"/>
    <w:rsid w:val="00A377EB"/>
    <w:rsid w:val="00A4107C"/>
    <w:rsid w:val="00A4122D"/>
    <w:rsid w:val="00A43E08"/>
    <w:rsid w:val="00A44F14"/>
    <w:rsid w:val="00A44F3D"/>
    <w:rsid w:val="00A4504B"/>
    <w:rsid w:val="00A46A5F"/>
    <w:rsid w:val="00A47735"/>
    <w:rsid w:val="00A50FDA"/>
    <w:rsid w:val="00A51CAA"/>
    <w:rsid w:val="00A52CF7"/>
    <w:rsid w:val="00A531F6"/>
    <w:rsid w:val="00A5653D"/>
    <w:rsid w:val="00A57301"/>
    <w:rsid w:val="00A62B9F"/>
    <w:rsid w:val="00A64E3A"/>
    <w:rsid w:val="00A65022"/>
    <w:rsid w:val="00A65622"/>
    <w:rsid w:val="00A65AA7"/>
    <w:rsid w:val="00A733FA"/>
    <w:rsid w:val="00A738EC"/>
    <w:rsid w:val="00A746BB"/>
    <w:rsid w:val="00A77727"/>
    <w:rsid w:val="00A77E97"/>
    <w:rsid w:val="00A806D5"/>
    <w:rsid w:val="00A84086"/>
    <w:rsid w:val="00A850D2"/>
    <w:rsid w:val="00A8545B"/>
    <w:rsid w:val="00A86CF9"/>
    <w:rsid w:val="00A87B6B"/>
    <w:rsid w:val="00A90479"/>
    <w:rsid w:val="00A93B34"/>
    <w:rsid w:val="00A957A5"/>
    <w:rsid w:val="00A95A2F"/>
    <w:rsid w:val="00A97414"/>
    <w:rsid w:val="00AA0AE3"/>
    <w:rsid w:val="00AA1831"/>
    <w:rsid w:val="00AA1D12"/>
    <w:rsid w:val="00AA2899"/>
    <w:rsid w:val="00AA3051"/>
    <w:rsid w:val="00AA3398"/>
    <w:rsid w:val="00AA3E7C"/>
    <w:rsid w:val="00AA3EF3"/>
    <w:rsid w:val="00AA47B1"/>
    <w:rsid w:val="00AA4827"/>
    <w:rsid w:val="00AA58E7"/>
    <w:rsid w:val="00AA67A4"/>
    <w:rsid w:val="00AA68FD"/>
    <w:rsid w:val="00AB12F7"/>
    <w:rsid w:val="00AB2A54"/>
    <w:rsid w:val="00AB3595"/>
    <w:rsid w:val="00AB5F08"/>
    <w:rsid w:val="00AB5FF0"/>
    <w:rsid w:val="00AB67F9"/>
    <w:rsid w:val="00AC237D"/>
    <w:rsid w:val="00AC4B4C"/>
    <w:rsid w:val="00AC4FD8"/>
    <w:rsid w:val="00AC57D7"/>
    <w:rsid w:val="00AC611E"/>
    <w:rsid w:val="00AD01D9"/>
    <w:rsid w:val="00AD01F2"/>
    <w:rsid w:val="00AD04C7"/>
    <w:rsid w:val="00AD0AF9"/>
    <w:rsid w:val="00AD14EE"/>
    <w:rsid w:val="00AD1687"/>
    <w:rsid w:val="00AD1FC5"/>
    <w:rsid w:val="00AD4BA0"/>
    <w:rsid w:val="00AD65CF"/>
    <w:rsid w:val="00AD7BF1"/>
    <w:rsid w:val="00AD7FE8"/>
    <w:rsid w:val="00AE2685"/>
    <w:rsid w:val="00AE29E1"/>
    <w:rsid w:val="00AE67B4"/>
    <w:rsid w:val="00AF2AF2"/>
    <w:rsid w:val="00AF411B"/>
    <w:rsid w:val="00AF4230"/>
    <w:rsid w:val="00AF44E0"/>
    <w:rsid w:val="00AF4F25"/>
    <w:rsid w:val="00AF6CA3"/>
    <w:rsid w:val="00AF7B00"/>
    <w:rsid w:val="00AF7F58"/>
    <w:rsid w:val="00B0162F"/>
    <w:rsid w:val="00B01FC4"/>
    <w:rsid w:val="00B01FF2"/>
    <w:rsid w:val="00B044B7"/>
    <w:rsid w:val="00B053FC"/>
    <w:rsid w:val="00B05A2E"/>
    <w:rsid w:val="00B0667F"/>
    <w:rsid w:val="00B073F0"/>
    <w:rsid w:val="00B1023A"/>
    <w:rsid w:val="00B10ABE"/>
    <w:rsid w:val="00B10C36"/>
    <w:rsid w:val="00B13F1C"/>
    <w:rsid w:val="00B143A6"/>
    <w:rsid w:val="00B15141"/>
    <w:rsid w:val="00B160BA"/>
    <w:rsid w:val="00B161A7"/>
    <w:rsid w:val="00B16272"/>
    <w:rsid w:val="00B16D09"/>
    <w:rsid w:val="00B16DDC"/>
    <w:rsid w:val="00B20228"/>
    <w:rsid w:val="00B2313B"/>
    <w:rsid w:val="00B265A2"/>
    <w:rsid w:val="00B26627"/>
    <w:rsid w:val="00B277BF"/>
    <w:rsid w:val="00B279CF"/>
    <w:rsid w:val="00B30349"/>
    <w:rsid w:val="00B31315"/>
    <w:rsid w:val="00B325E8"/>
    <w:rsid w:val="00B330D2"/>
    <w:rsid w:val="00B33181"/>
    <w:rsid w:val="00B33260"/>
    <w:rsid w:val="00B33913"/>
    <w:rsid w:val="00B34170"/>
    <w:rsid w:val="00B344C4"/>
    <w:rsid w:val="00B347AC"/>
    <w:rsid w:val="00B356CC"/>
    <w:rsid w:val="00B35991"/>
    <w:rsid w:val="00B41D69"/>
    <w:rsid w:val="00B42B79"/>
    <w:rsid w:val="00B43EFD"/>
    <w:rsid w:val="00B446D1"/>
    <w:rsid w:val="00B44E6F"/>
    <w:rsid w:val="00B455DF"/>
    <w:rsid w:val="00B456C0"/>
    <w:rsid w:val="00B465E7"/>
    <w:rsid w:val="00B476E0"/>
    <w:rsid w:val="00B516F7"/>
    <w:rsid w:val="00B51922"/>
    <w:rsid w:val="00B5260F"/>
    <w:rsid w:val="00B5266D"/>
    <w:rsid w:val="00B53A86"/>
    <w:rsid w:val="00B55134"/>
    <w:rsid w:val="00B57873"/>
    <w:rsid w:val="00B57DBA"/>
    <w:rsid w:val="00B57FB2"/>
    <w:rsid w:val="00B61E5B"/>
    <w:rsid w:val="00B623D1"/>
    <w:rsid w:val="00B62B0B"/>
    <w:rsid w:val="00B62FA1"/>
    <w:rsid w:val="00B6351B"/>
    <w:rsid w:val="00B63B69"/>
    <w:rsid w:val="00B63DF6"/>
    <w:rsid w:val="00B641EA"/>
    <w:rsid w:val="00B705A8"/>
    <w:rsid w:val="00B734FB"/>
    <w:rsid w:val="00B75950"/>
    <w:rsid w:val="00B809F0"/>
    <w:rsid w:val="00B8139A"/>
    <w:rsid w:val="00B816E8"/>
    <w:rsid w:val="00B82033"/>
    <w:rsid w:val="00B851EC"/>
    <w:rsid w:val="00B85CE8"/>
    <w:rsid w:val="00B91339"/>
    <w:rsid w:val="00B930D5"/>
    <w:rsid w:val="00B9516E"/>
    <w:rsid w:val="00B959AC"/>
    <w:rsid w:val="00B95BF3"/>
    <w:rsid w:val="00B95C03"/>
    <w:rsid w:val="00B9606C"/>
    <w:rsid w:val="00BA07CB"/>
    <w:rsid w:val="00BA1A7B"/>
    <w:rsid w:val="00BA2521"/>
    <w:rsid w:val="00BA2F09"/>
    <w:rsid w:val="00BA7CB5"/>
    <w:rsid w:val="00BB2688"/>
    <w:rsid w:val="00BB3022"/>
    <w:rsid w:val="00BB4DB3"/>
    <w:rsid w:val="00BC1441"/>
    <w:rsid w:val="00BC227F"/>
    <w:rsid w:val="00BC292E"/>
    <w:rsid w:val="00BC5390"/>
    <w:rsid w:val="00BC58F9"/>
    <w:rsid w:val="00BC5D3C"/>
    <w:rsid w:val="00BD09B7"/>
    <w:rsid w:val="00BD09D3"/>
    <w:rsid w:val="00BD2B63"/>
    <w:rsid w:val="00BD3D89"/>
    <w:rsid w:val="00BD433A"/>
    <w:rsid w:val="00BD43B1"/>
    <w:rsid w:val="00BD5EB1"/>
    <w:rsid w:val="00BD5FCF"/>
    <w:rsid w:val="00BD75DC"/>
    <w:rsid w:val="00BE059F"/>
    <w:rsid w:val="00BE15F4"/>
    <w:rsid w:val="00BE3925"/>
    <w:rsid w:val="00BE4B09"/>
    <w:rsid w:val="00BE4F77"/>
    <w:rsid w:val="00BE600C"/>
    <w:rsid w:val="00BE76E5"/>
    <w:rsid w:val="00BF0528"/>
    <w:rsid w:val="00BF128B"/>
    <w:rsid w:val="00BF1A2E"/>
    <w:rsid w:val="00BF28A2"/>
    <w:rsid w:val="00BF2B1C"/>
    <w:rsid w:val="00BF3330"/>
    <w:rsid w:val="00BF489E"/>
    <w:rsid w:val="00BF5FB5"/>
    <w:rsid w:val="00BF6051"/>
    <w:rsid w:val="00BF7216"/>
    <w:rsid w:val="00BF7747"/>
    <w:rsid w:val="00BF7DBC"/>
    <w:rsid w:val="00C00A06"/>
    <w:rsid w:val="00C025EE"/>
    <w:rsid w:val="00C04700"/>
    <w:rsid w:val="00C0695B"/>
    <w:rsid w:val="00C10183"/>
    <w:rsid w:val="00C12222"/>
    <w:rsid w:val="00C14299"/>
    <w:rsid w:val="00C14C20"/>
    <w:rsid w:val="00C20FBB"/>
    <w:rsid w:val="00C227EA"/>
    <w:rsid w:val="00C23713"/>
    <w:rsid w:val="00C23E6D"/>
    <w:rsid w:val="00C26D78"/>
    <w:rsid w:val="00C26E06"/>
    <w:rsid w:val="00C27502"/>
    <w:rsid w:val="00C365EB"/>
    <w:rsid w:val="00C366B9"/>
    <w:rsid w:val="00C36C3B"/>
    <w:rsid w:val="00C36DDE"/>
    <w:rsid w:val="00C41970"/>
    <w:rsid w:val="00C43B4A"/>
    <w:rsid w:val="00C43E08"/>
    <w:rsid w:val="00C44694"/>
    <w:rsid w:val="00C44807"/>
    <w:rsid w:val="00C44E06"/>
    <w:rsid w:val="00C503A4"/>
    <w:rsid w:val="00C50FB6"/>
    <w:rsid w:val="00C5162A"/>
    <w:rsid w:val="00C52415"/>
    <w:rsid w:val="00C53B9C"/>
    <w:rsid w:val="00C540FD"/>
    <w:rsid w:val="00C5449B"/>
    <w:rsid w:val="00C55313"/>
    <w:rsid w:val="00C61D21"/>
    <w:rsid w:val="00C62299"/>
    <w:rsid w:val="00C63141"/>
    <w:rsid w:val="00C636F1"/>
    <w:rsid w:val="00C640E6"/>
    <w:rsid w:val="00C6438E"/>
    <w:rsid w:val="00C64C0F"/>
    <w:rsid w:val="00C65314"/>
    <w:rsid w:val="00C66E9D"/>
    <w:rsid w:val="00C70684"/>
    <w:rsid w:val="00C708FF"/>
    <w:rsid w:val="00C71C2B"/>
    <w:rsid w:val="00C774D3"/>
    <w:rsid w:val="00C77677"/>
    <w:rsid w:val="00C80DCC"/>
    <w:rsid w:val="00C8181A"/>
    <w:rsid w:val="00C84511"/>
    <w:rsid w:val="00C847C0"/>
    <w:rsid w:val="00C847E3"/>
    <w:rsid w:val="00C85FA4"/>
    <w:rsid w:val="00C87427"/>
    <w:rsid w:val="00C9026E"/>
    <w:rsid w:val="00C91F31"/>
    <w:rsid w:val="00C920D4"/>
    <w:rsid w:val="00C92172"/>
    <w:rsid w:val="00C92578"/>
    <w:rsid w:val="00C94056"/>
    <w:rsid w:val="00C9657B"/>
    <w:rsid w:val="00C965FD"/>
    <w:rsid w:val="00CA1DAA"/>
    <w:rsid w:val="00CA2A2C"/>
    <w:rsid w:val="00CA3CB8"/>
    <w:rsid w:val="00CA76A6"/>
    <w:rsid w:val="00CB0410"/>
    <w:rsid w:val="00CB1464"/>
    <w:rsid w:val="00CB565E"/>
    <w:rsid w:val="00CB72A9"/>
    <w:rsid w:val="00CC0B26"/>
    <w:rsid w:val="00CC1897"/>
    <w:rsid w:val="00CC5651"/>
    <w:rsid w:val="00CC5693"/>
    <w:rsid w:val="00CD0BEE"/>
    <w:rsid w:val="00CD497E"/>
    <w:rsid w:val="00CD66E9"/>
    <w:rsid w:val="00CD7143"/>
    <w:rsid w:val="00CE0B6E"/>
    <w:rsid w:val="00CE0E63"/>
    <w:rsid w:val="00CE533F"/>
    <w:rsid w:val="00CE5723"/>
    <w:rsid w:val="00CE725B"/>
    <w:rsid w:val="00CF018F"/>
    <w:rsid w:val="00CF1CB8"/>
    <w:rsid w:val="00CF1F70"/>
    <w:rsid w:val="00CF26AC"/>
    <w:rsid w:val="00CF331B"/>
    <w:rsid w:val="00CF35F4"/>
    <w:rsid w:val="00CF43E2"/>
    <w:rsid w:val="00CF4CAB"/>
    <w:rsid w:val="00CF5C63"/>
    <w:rsid w:val="00CF5E33"/>
    <w:rsid w:val="00CF6993"/>
    <w:rsid w:val="00D013BA"/>
    <w:rsid w:val="00D045C5"/>
    <w:rsid w:val="00D04AE0"/>
    <w:rsid w:val="00D0512C"/>
    <w:rsid w:val="00D05230"/>
    <w:rsid w:val="00D11F9F"/>
    <w:rsid w:val="00D122F6"/>
    <w:rsid w:val="00D132D2"/>
    <w:rsid w:val="00D13FFA"/>
    <w:rsid w:val="00D15C27"/>
    <w:rsid w:val="00D165A3"/>
    <w:rsid w:val="00D16E72"/>
    <w:rsid w:val="00D207AD"/>
    <w:rsid w:val="00D209E0"/>
    <w:rsid w:val="00D24867"/>
    <w:rsid w:val="00D25864"/>
    <w:rsid w:val="00D25E2C"/>
    <w:rsid w:val="00D306DD"/>
    <w:rsid w:val="00D30710"/>
    <w:rsid w:val="00D32A70"/>
    <w:rsid w:val="00D3396A"/>
    <w:rsid w:val="00D33CD9"/>
    <w:rsid w:val="00D3457C"/>
    <w:rsid w:val="00D35574"/>
    <w:rsid w:val="00D35A45"/>
    <w:rsid w:val="00D35F17"/>
    <w:rsid w:val="00D40ACF"/>
    <w:rsid w:val="00D424FD"/>
    <w:rsid w:val="00D427BB"/>
    <w:rsid w:val="00D44994"/>
    <w:rsid w:val="00D449FC"/>
    <w:rsid w:val="00D44CAA"/>
    <w:rsid w:val="00D44D4A"/>
    <w:rsid w:val="00D4547D"/>
    <w:rsid w:val="00D47E8F"/>
    <w:rsid w:val="00D50520"/>
    <w:rsid w:val="00D507ED"/>
    <w:rsid w:val="00D50BB2"/>
    <w:rsid w:val="00D523E4"/>
    <w:rsid w:val="00D5313C"/>
    <w:rsid w:val="00D5603D"/>
    <w:rsid w:val="00D57CBA"/>
    <w:rsid w:val="00D6063C"/>
    <w:rsid w:val="00D61A1B"/>
    <w:rsid w:val="00D63F7C"/>
    <w:rsid w:val="00D6407D"/>
    <w:rsid w:val="00D642C8"/>
    <w:rsid w:val="00D66582"/>
    <w:rsid w:val="00D67184"/>
    <w:rsid w:val="00D74A81"/>
    <w:rsid w:val="00D754EC"/>
    <w:rsid w:val="00D760D5"/>
    <w:rsid w:val="00D768ED"/>
    <w:rsid w:val="00D773A5"/>
    <w:rsid w:val="00D80D64"/>
    <w:rsid w:val="00D821C1"/>
    <w:rsid w:val="00D82B76"/>
    <w:rsid w:val="00D83070"/>
    <w:rsid w:val="00D8395A"/>
    <w:rsid w:val="00D83B69"/>
    <w:rsid w:val="00D84002"/>
    <w:rsid w:val="00D86BD5"/>
    <w:rsid w:val="00D90960"/>
    <w:rsid w:val="00D9195B"/>
    <w:rsid w:val="00D92119"/>
    <w:rsid w:val="00D936F2"/>
    <w:rsid w:val="00D93FB5"/>
    <w:rsid w:val="00D94575"/>
    <w:rsid w:val="00D97A0D"/>
    <w:rsid w:val="00DA0311"/>
    <w:rsid w:val="00DA0897"/>
    <w:rsid w:val="00DA3A40"/>
    <w:rsid w:val="00DB102D"/>
    <w:rsid w:val="00DB2309"/>
    <w:rsid w:val="00DB4887"/>
    <w:rsid w:val="00DB4FDB"/>
    <w:rsid w:val="00DB77A6"/>
    <w:rsid w:val="00DC6CEC"/>
    <w:rsid w:val="00DD125B"/>
    <w:rsid w:val="00DD18EF"/>
    <w:rsid w:val="00DD1F05"/>
    <w:rsid w:val="00DD23B3"/>
    <w:rsid w:val="00DD439B"/>
    <w:rsid w:val="00DD47C7"/>
    <w:rsid w:val="00DD4B25"/>
    <w:rsid w:val="00DD6DAC"/>
    <w:rsid w:val="00DE0224"/>
    <w:rsid w:val="00DE1777"/>
    <w:rsid w:val="00DE2179"/>
    <w:rsid w:val="00DE3855"/>
    <w:rsid w:val="00DE52F6"/>
    <w:rsid w:val="00DE5C97"/>
    <w:rsid w:val="00DE6CE5"/>
    <w:rsid w:val="00DF083B"/>
    <w:rsid w:val="00DF0AA6"/>
    <w:rsid w:val="00DF5F11"/>
    <w:rsid w:val="00DF6FDE"/>
    <w:rsid w:val="00DF78AB"/>
    <w:rsid w:val="00E0047E"/>
    <w:rsid w:val="00E03143"/>
    <w:rsid w:val="00E03859"/>
    <w:rsid w:val="00E05772"/>
    <w:rsid w:val="00E11FE7"/>
    <w:rsid w:val="00E12F0A"/>
    <w:rsid w:val="00E1549B"/>
    <w:rsid w:val="00E157A9"/>
    <w:rsid w:val="00E159AE"/>
    <w:rsid w:val="00E16D5F"/>
    <w:rsid w:val="00E17F87"/>
    <w:rsid w:val="00E20A40"/>
    <w:rsid w:val="00E21772"/>
    <w:rsid w:val="00E228AE"/>
    <w:rsid w:val="00E248A1"/>
    <w:rsid w:val="00E25496"/>
    <w:rsid w:val="00E25530"/>
    <w:rsid w:val="00E268FD"/>
    <w:rsid w:val="00E270BE"/>
    <w:rsid w:val="00E27599"/>
    <w:rsid w:val="00E27F29"/>
    <w:rsid w:val="00E302BD"/>
    <w:rsid w:val="00E30F20"/>
    <w:rsid w:val="00E31728"/>
    <w:rsid w:val="00E34417"/>
    <w:rsid w:val="00E35AAF"/>
    <w:rsid w:val="00E368AA"/>
    <w:rsid w:val="00E37623"/>
    <w:rsid w:val="00E37DC3"/>
    <w:rsid w:val="00E41339"/>
    <w:rsid w:val="00E43D25"/>
    <w:rsid w:val="00E45C3E"/>
    <w:rsid w:val="00E461EE"/>
    <w:rsid w:val="00E47920"/>
    <w:rsid w:val="00E479F5"/>
    <w:rsid w:val="00E47A76"/>
    <w:rsid w:val="00E5045C"/>
    <w:rsid w:val="00E507FB"/>
    <w:rsid w:val="00E51F6B"/>
    <w:rsid w:val="00E540FC"/>
    <w:rsid w:val="00E54465"/>
    <w:rsid w:val="00E54E40"/>
    <w:rsid w:val="00E55459"/>
    <w:rsid w:val="00E55F34"/>
    <w:rsid w:val="00E56FB8"/>
    <w:rsid w:val="00E6319F"/>
    <w:rsid w:val="00E63AF4"/>
    <w:rsid w:val="00E63C11"/>
    <w:rsid w:val="00E64500"/>
    <w:rsid w:val="00E6493D"/>
    <w:rsid w:val="00E64A93"/>
    <w:rsid w:val="00E64F97"/>
    <w:rsid w:val="00E661FE"/>
    <w:rsid w:val="00E6659B"/>
    <w:rsid w:val="00E67464"/>
    <w:rsid w:val="00E7180B"/>
    <w:rsid w:val="00E72198"/>
    <w:rsid w:val="00E722CF"/>
    <w:rsid w:val="00E73179"/>
    <w:rsid w:val="00E7396B"/>
    <w:rsid w:val="00E74C93"/>
    <w:rsid w:val="00E74E2F"/>
    <w:rsid w:val="00E75DA5"/>
    <w:rsid w:val="00E75F2A"/>
    <w:rsid w:val="00E76876"/>
    <w:rsid w:val="00E76B8B"/>
    <w:rsid w:val="00E80107"/>
    <w:rsid w:val="00E80615"/>
    <w:rsid w:val="00E806BB"/>
    <w:rsid w:val="00E81FB0"/>
    <w:rsid w:val="00E821E7"/>
    <w:rsid w:val="00E826C9"/>
    <w:rsid w:val="00E829E7"/>
    <w:rsid w:val="00E85476"/>
    <w:rsid w:val="00E86CF7"/>
    <w:rsid w:val="00E87290"/>
    <w:rsid w:val="00E90744"/>
    <w:rsid w:val="00E90C2B"/>
    <w:rsid w:val="00E91278"/>
    <w:rsid w:val="00E92082"/>
    <w:rsid w:val="00E924EC"/>
    <w:rsid w:val="00E929FA"/>
    <w:rsid w:val="00E9380F"/>
    <w:rsid w:val="00E97911"/>
    <w:rsid w:val="00E97E45"/>
    <w:rsid w:val="00EA0BBB"/>
    <w:rsid w:val="00EA152F"/>
    <w:rsid w:val="00EA15D5"/>
    <w:rsid w:val="00EA2CEE"/>
    <w:rsid w:val="00EA44BE"/>
    <w:rsid w:val="00EA4B2C"/>
    <w:rsid w:val="00EA4C0F"/>
    <w:rsid w:val="00EA639B"/>
    <w:rsid w:val="00EA6D09"/>
    <w:rsid w:val="00EB128C"/>
    <w:rsid w:val="00EB16F5"/>
    <w:rsid w:val="00EB48AE"/>
    <w:rsid w:val="00EB4DB0"/>
    <w:rsid w:val="00EB5070"/>
    <w:rsid w:val="00EB6A35"/>
    <w:rsid w:val="00EB79C9"/>
    <w:rsid w:val="00EB79FE"/>
    <w:rsid w:val="00EC03A0"/>
    <w:rsid w:val="00EC39AE"/>
    <w:rsid w:val="00EC57A4"/>
    <w:rsid w:val="00ED140B"/>
    <w:rsid w:val="00ED16EA"/>
    <w:rsid w:val="00ED1A58"/>
    <w:rsid w:val="00ED1ACD"/>
    <w:rsid w:val="00ED23E1"/>
    <w:rsid w:val="00ED4195"/>
    <w:rsid w:val="00ED5C21"/>
    <w:rsid w:val="00ED625F"/>
    <w:rsid w:val="00ED6CB1"/>
    <w:rsid w:val="00ED70B6"/>
    <w:rsid w:val="00EE0F44"/>
    <w:rsid w:val="00EE2FE3"/>
    <w:rsid w:val="00EE3077"/>
    <w:rsid w:val="00EE3248"/>
    <w:rsid w:val="00EE3C89"/>
    <w:rsid w:val="00EE568F"/>
    <w:rsid w:val="00EE7EFD"/>
    <w:rsid w:val="00EF28A1"/>
    <w:rsid w:val="00EF394E"/>
    <w:rsid w:val="00EF4E70"/>
    <w:rsid w:val="00EF55B8"/>
    <w:rsid w:val="00EF584A"/>
    <w:rsid w:val="00EF60E1"/>
    <w:rsid w:val="00EF7FC0"/>
    <w:rsid w:val="00F01096"/>
    <w:rsid w:val="00F030E8"/>
    <w:rsid w:val="00F03D77"/>
    <w:rsid w:val="00F0560A"/>
    <w:rsid w:val="00F05879"/>
    <w:rsid w:val="00F07773"/>
    <w:rsid w:val="00F11BF5"/>
    <w:rsid w:val="00F11C71"/>
    <w:rsid w:val="00F1366B"/>
    <w:rsid w:val="00F13EA7"/>
    <w:rsid w:val="00F1718F"/>
    <w:rsid w:val="00F2129E"/>
    <w:rsid w:val="00F27B97"/>
    <w:rsid w:val="00F30721"/>
    <w:rsid w:val="00F311F3"/>
    <w:rsid w:val="00F3178A"/>
    <w:rsid w:val="00F3221C"/>
    <w:rsid w:val="00F32637"/>
    <w:rsid w:val="00F32660"/>
    <w:rsid w:val="00F3457D"/>
    <w:rsid w:val="00F36A92"/>
    <w:rsid w:val="00F36DB5"/>
    <w:rsid w:val="00F37BEA"/>
    <w:rsid w:val="00F426FB"/>
    <w:rsid w:val="00F4276F"/>
    <w:rsid w:val="00F42DAF"/>
    <w:rsid w:val="00F463DD"/>
    <w:rsid w:val="00F46CBF"/>
    <w:rsid w:val="00F46EC2"/>
    <w:rsid w:val="00F46F02"/>
    <w:rsid w:val="00F502FA"/>
    <w:rsid w:val="00F50C3F"/>
    <w:rsid w:val="00F510FE"/>
    <w:rsid w:val="00F5411D"/>
    <w:rsid w:val="00F5441C"/>
    <w:rsid w:val="00F54843"/>
    <w:rsid w:val="00F57DDF"/>
    <w:rsid w:val="00F610A8"/>
    <w:rsid w:val="00F632FA"/>
    <w:rsid w:val="00F645A6"/>
    <w:rsid w:val="00F670F4"/>
    <w:rsid w:val="00F73AEF"/>
    <w:rsid w:val="00F73E00"/>
    <w:rsid w:val="00F743A9"/>
    <w:rsid w:val="00F753D5"/>
    <w:rsid w:val="00F75BA5"/>
    <w:rsid w:val="00F81BFA"/>
    <w:rsid w:val="00F827B4"/>
    <w:rsid w:val="00F848E7"/>
    <w:rsid w:val="00F907FB"/>
    <w:rsid w:val="00F930DB"/>
    <w:rsid w:val="00F93587"/>
    <w:rsid w:val="00F94D40"/>
    <w:rsid w:val="00F954AC"/>
    <w:rsid w:val="00F95A5B"/>
    <w:rsid w:val="00F97984"/>
    <w:rsid w:val="00F97C91"/>
    <w:rsid w:val="00FA0871"/>
    <w:rsid w:val="00FA2B7E"/>
    <w:rsid w:val="00FA39C9"/>
    <w:rsid w:val="00FA660C"/>
    <w:rsid w:val="00FB16B1"/>
    <w:rsid w:val="00FB2A2A"/>
    <w:rsid w:val="00FB33D2"/>
    <w:rsid w:val="00FB686C"/>
    <w:rsid w:val="00FC0CC4"/>
    <w:rsid w:val="00FC1390"/>
    <w:rsid w:val="00FC29DB"/>
    <w:rsid w:val="00FC4ED0"/>
    <w:rsid w:val="00FC54A4"/>
    <w:rsid w:val="00FD00EE"/>
    <w:rsid w:val="00FD0D8F"/>
    <w:rsid w:val="00FD14D2"/>
    <w:rsid w:val="00FD2D30"/>
    <w:rsid w:val="00FD3CF6"/>
    <w:rsid w:val="00FD44CB"/>
    <w:rsid w:val="00FD5D14"/>
    <w:rsid w:val="00FD6180"/>
    <w:rsid w:val="00FD62BB"/>
    <w:rsid w:val="00FD7355"/>
    <w:rsid w:val="00FE0378"/>
    <w:rsid w:val="00FE0BF5"/>
    <w:rsid w:val="00FE2560"/>
    <w:rsid w:val="00FE35D0"/>
    <w:rsid w:val="00FE3B82"/>
    <w:rsid w:val="00FE3C41"/>
    <w:rsid w:val="00FE51A5"/>
    <w:rsid w:val="00FF02FC"/>
    <w:rsid w:val="00FF173A"/>
    <w:rsid w:val="00FF3782"/>
    <w:rsid w:val="00FF5B45"/>
    <w:rsid w:val="00FF7E3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color="white" strokecolor="#378956">
      <v:fill color="white"/>
      <v:stroke dashstyle="1 1" color="#378956" weight="1.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link w:val="Ttulo1Char"/>
    <w:uiPriority w:val="9"/>
    <w:rsid w:val="00CC1897"/>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Ttulo3">
    <w:name w:val="heading 3"/>
    <w:basedOn w:val="Normal"/>
    <w:next w:val="Normal"/>
    <w:link w:val="Ttulo3Char"/>
    <w:uiPriority w:val="9"/>
    <w:semiHidden/>
    <w:unhideWhenUsed/>
    <w:qFormat/>
    <w:rsid w:val="00784BC5"/>
    <w:pPr>
      <w:keepNext/>
      <w:keepLines/>
      <w:spacing w:before="200" w:after="0"/>
      <w:outlineLvl w:val="2"/>
    </w:pPr>
    <w:rPr>
      <w:rFonts w:asciiTheme="majorHAnsi" w:eastAsiaTheme="majorEastAsia" w:hAnsiTheme="majorHAnsi" w:cstheme="majorBidi"/>
      <w:b/>
      <w:bCs/>
      <w:color w:val="DDDDDD" w:themeColor="accent1"/>
    </w:rPr>
  </w:style>
  <w:style w:type="paragraph" w:styleId="Ttulo4">
    <w:name w:val="heading 4"/>
    <w:basedOn w:val="Normal"/>
    <w:link w:val="Ttulo4Char"/>
    <w:uiPriority w:val="9"/>
    <w:qFormat/>
    <w:rsid w:val="009005C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173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7345"/>
    <w:rPr>
      <w:rFonts w:ascii="Tahoma" w:hAnsi="Tahoma" w:cs="Tahoma"/>
      <w:sz w:val="16"/>
      <w:szCs w:val="16"/>
    </w:rPr>
  </w:style>
  <w:style w:type="paragraph" w:customStyle="1" w:styleId="Datacapa">
    <w:name w:val="Data_capa"/>
    <w:basedOn w:val="Normal"/>
    <w:link w:val="DatacapaChar"/>
    <w:rsid w:val="00817345"/>
    <w:rPr>
      <w:rFonts w:ascii="Zurich Lt BT" w:hAnsi="Zurich Lt BT"/>
      <w:color w:val="7F7F7F" w:themeColor="text1" w:themeTint="80"/>
      <w:sz w:val="16"/>
      <w:szCs w:val="16"/>
    </w:rPr>
  </w:style>
  <w:style w:type="paragraph" w:customStyle="1" w:styleId="Capatitulo">
    <w:name w:val="Capa_titulo"/>
    <w:basedOn w:val="Normal"/>
    <w:link w:val="CapatituloChar"/>
    <w:rsid w:val="00817345"/>
    <w:pPr>
      <w:jc w:val="center"/>
    </w:pPr>
    <w:rPr>
      <w:rFonts w:ascii="Futura Md BT" w:hAnsi="Futura Md BT"/>
      <w:color w:val="DDDDDD" w:themeColor="accent1"/>
      <w:sz w:val="56"/>
    </w:rPr>
  </w:style>
  <w:style w:type="character" w:customStyle="1" w:styleId="DatacapaChar">
    <w:name w:val="Data_capa Char"/>
    <w:basedOn w:val="Fontepargpadro"/>
    <w:link w:val="Datacapa"/>
    <w:rsid w:val="00817345"/>
    <w:rPr>
      <w:rFonts w:ascii="Zurich Lt BT" w:hAnsi="Zurich Lt BT"/>
      <w:color w:val="7F7F7F" w:themeColor="text1" w:themeTint="80"/>
      <w:sz w:val="16"/>
      <w:szCs w:val="16"/>
    </w:rPr>
  </w:style>
  <w:style w:type="paragraph" w:customStyle="1" w:styleId="Capasubtitulo">
    <w:name w:val="Capa_subtitulo"/>
    <w:basedOn w:val="Normal"/>
    <w:link w:val="CapasubtituloChar"/>
    <w:rsid w:val="00817345"/>
    <w:pPr>
      <w:spacing w:after="0"/>
      <w:jc w:val="center"/>
    </w:pPr>
    <w:rPr>
      <w:rFonts w:ascii="Futura Lt BT" w:hAnsi="Futura Lt BT"/>
      <w:color w:val="EAEAEA" w:themeColor="accent1" w:themeTint="99"/>
      <w:sz w:val="44"/>
    </w:rPr>
  </w:style>
  <w:style w:type="character" w:customStyle="1" w:styleId="CapatituloChar">
    <w:name w:val="Capa_titulo Char"/>
    <w:basedOn w:val="Fontepargpadro"/>
    <w:link w:val="Capatitulo"/>
    <w:rsid w:val="00817345"/>
    <w:rPr>
      <w:rFonts w:ascii="Futura Md BT" w:hAnsi="Futura Md BT"/>
      <w:color w:val="DDDDDD" w:themeColor="accent1"/>
      <w:sz w:val="56"/>
    </w:rPr>
  </w:style>
  <w:style w:type="paragraph" w:customStyle="1" w:styleId="Capaindice">
    <w:name w:val="Capa_indice"/>
    <w:basedOn w:val="Normal"/>
    <w:link w:val="CapaindiceChar"/>
    <w:rsid w:val="005D30A3"/>
    <w:rPr>
      <w:rFonts w:ascii="Futura Md BT" w:hAnsi="Futura Md BT"/>
      <w:color w:val="DDDDDD" w:themeColor="accent1"/>
    </w:rPr>
  </w:style>
  <w:style w:type="character" w:customStyle="1" w:styleId="CapasubtituloChar">
    <w:name w:val="Capa_subtitulo Char"/>
    <w:basedOn w:val="Fontepargpadro"/>
    <w:link w:val="Capasubtitulo"/>
    <w:rsid w:val="00817345"/>
    <w:rPr>
      <w:rFonts w:ascii="Futura Lt BT" w:hAnsi="Futura Lt BT"/>
      <w:color w:val="EAEAEA" w:themeColor="accent1" w:themeTint="99"/>
      <w:sz w:val="44"/>
    </w:rPr>
  </w:style>
  <w:style w:type="paragraph" w:customStyle="1" w:styleId="Capatemas">
    <w:name w:val="Capa_temas"/>
    <w:basedOn w:val="Capaindice"/>
    <w:link w:val="CapatemasChar"/>
    <w:rsid w:val="008D71AC"/>
    <w:pPr>
      <w:spacing w:after="100"/>
      <w:jc w:val="both"/>
    </w:pPr>
    <w:rPr>
      <w:rFonts w:ascii="Futura Lt BT" w:hAnsi="Futura Lt BT"/>
      <w:color w:val="A6A6A6" w:themeColor="background1" w:themeShade="A6"/>
      <w:sz w:val="20"/>
    </w:rPr>
  </w:style>
  <w:style w:type="character" w:customStyle="1" w:styleId="CapaindiceChar">
    <w:name w:val="Capa_indice Char"/>
    <w:basedOn w:val="Fontepargpadro"/>
    <w:link w:val="Capaindice"/>
    <w:rsid w:val="005D30A3"/>
    <w:rPr>
      <w:rFonts w:ascii="Futura Md BT" w:hAnsi="Futura Md BT"/>
      <w:color w:val="DDDDDD" w:themeColor="accent1"/>
    </w:rPr>
  </w:style>
  <w:style w:type="character" w:customStyle="1" w:styleId="CapatemasChar">
    <w:name w:val="Capa_temas Char"/>
    <w:basedOn w:val="CapaindiceChar"/>
    <w:link w:val="Capatemas"/>
    <w:rsid w:val="008D71AC"/>
    <w:rPr>
      <w:rFonts w:ascii="Futura Lt BT" w:hAnsi="Futura Lt BT"/>
      <w:color w:val="A6A6A6" w:themeColor="background1" w:themeShade="A6"/>
      <w:sz w:val="20"/>
    </w:rPr>
  </w:style>
  <w:style w:type="paragraph" w:styleId="Cabealho">
    <w:name w:val="header"/>
    <w:basedOn w:val="Normal"/>
    <w:link w:val="CabealhoChar"/>
    <w:uiPriority w:val="99"/>
    <w:unhideWhenUsed/>
    <w:rsid w:val="001F36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F3683"/>
  </w:style>
  <w:style w:type="paragraph" w:styleId="Rodap">
    <w:name w:val="footer"/>
    <w:basedOn w:val="Normal"/>
    <w:link w:val="RodapChar"/>
    <w:uiPriority w:val="99"/>
    <w:unhideWhenUsed/>
    <w:rsid w:val="001F3683"/>
    <w:pPr>
      <w:tabs>
        <w:tab w:val="center" w:pos="4252"/>
        <w:tab w:val="right" w:pos="8504"/>
      </w:tabs>
      <w:spacing w:after="0" w:line="240" w:lineRule="auto"/>
    </w:pPr>
  </w:style>
  <w:style w:type="character" w:customStyle="1" w:styleId="RodapChar">
    <w:name w:val="Rodapé Char"/>
    <w:basedOn w:val="Fontepargpadro"/>
    <w:link w:val="Rodap"/>
    <w:uiPriority w:val="99"/>
    <w:rsid w:val="001F3683"/>
  </w:style>
  <w:style w:type="paragraph" w:customStyle="1" w:styleId="Titulo">
    <w:name w:val="Titulo"/>
    <w:basedOn w:val="Capatitulo"/>
    <w:link w:val="TituloChar"/>
    <w:qFormat/>
    <w:rsid w:val="00DE3855"/>
    <w:pPr>
      <w:spacing w:after="40" w:line="240" w:lineRule="auto"/>
    </w:pPr>
    <w:rPr>
      <w:color w:val="FFC000"/>
      <w:sz w:val="50"/>
    </w:rPr>
  </w:style>
  <w:style w:type="paragraph" w:customStyle="1" w:styleId="Subtitulocorpo">
    <w:name w:val="Subtitulo_corpo"/>
    <w:basedOn w:val="Normal"/>
    <w:link w:val="SubtitulocorpoChar"/>
    <w:qFormat/>
    <w:rsid w:val="009E0E27"/>
    <w:pPr>
      <w:spacing w:after="0" w:line="240" w:lineRule="auto"/>
      <w:jc w:val="center"/>
    </w:pPr>
    <w:rPr>
      <w:rFonts w:ascii="Futura Lt BT" w:hAnsi="Futura Lt BT"/>
      <w:b/>
      <w:color w:val="378956"/>
      <w:sz w:val="40"/>
    </w:rPr>
  </w:style>
  <w:style w:type="character" w:customStyle="1" w:styleId="TituloChar">
    <w:name w:val="Titulo Char"/>
    <w:basedOn w:val="CapatituloChar"/>
    <w:link w:val="Titulo"/>
    <w:rsid w:val="00DE3855"/>
    <w:rPr>
      <w:rFonts w:ascii="Futura Md BT" w:hAnsi="Futura Md BT"/>
      <w:color w:val="FFC000"/>
      <w:sz w:val="50"/>
    </w:rPr>
  </w:style>
  <w:style w:type="paragraph" w:customStyle="1" w:styleId="Corpo">
    <w:name w:val="Corpo"/>
    <w:basedOn w:val="Capaindice"/>
    <w:link w:val="CorpoChar"/>
    <w:qFormat/>
    <w:rsid w:val="009D6EB8"/>
    <w:pPr>
      <w:spacing w:after="20" w:line="240" w:lineRule="auto"/>
      <w:jc w:val="both"/>
    </w:pPr>
    <w:rPr>
      <w:rFonts w:ascii="Futura Lt BT" w:hAnsi="Futura Lt BT"/>
      <w:color w:val="808080" w:themeColor="background1" w:themeShade="80"/>
      <w:szCs w:val="24"/>
    </w:rPr>
  </w:style>
  <w:style w:type="character" w:customStyle="1" w:styleId="SubtitulocorpoChar">
    <w:name w:val="Subtitulo_corpo Char"/>
    <w:basedOn w:val="Fontepargpadro"/>
    <w:link w:val="Subtitulocorpo"/>
    <w:rsid w:val="009E0E27"/>
    <w:rPr>
      <w:rFonts w:ascii="Futura Lt BT" w:hAnsi="Futura Lt BT"/>
      <w:b/>
      <w:color w:val="378956"/>
      <w:sz w:val="40"/>
    </w:rPr>
  </w:style>
  <w:style w:type="paragraph" w:customStyle="1" w:styleId="Sub-subtitulocorpo">
    <w:name w:val="Sub-subtitulo_corpo"/>
    <w:basedOn w:val="Capaindice"/>
    <w:link w:val="Sub-subtitulocorpoChar"/>
    <w:rsid w:val="003B604E"/>
    <w:pPr>
      <w:spacing w:before="200" w:after="20"/>
      <w:jc w:val="center"/>
    </w:pPr>
    <w:rPr>
      <w:sz w:val="28"/>
      <w:szCs w:val="28"/>
    </w:rPr>
  </w:style>
  <w:style w:type="character" w:customStyle="1" w:styleId="CorpoChar">
    <w:name w:val="Corpo Char"/>
    <w:basedOn w:val="CapaindiceChar"/>
    <w:link w:val="Corpo"/>
    <w:rsid w:val="009D6EB8"/>
    <w:rPr>
      <w:rFonts w:ascii="Futura Lt BT" w:hAnsi="Futura Lt BT"/>
      <w:color w:val="808080" w:themeColor="background1" w:themeShade="80"/>
      <w:szCs w:val="24"/>
    </w:rPr>
  </w:style>
  <w:style w:type="paragraph" w:customStyle="1" w:styleId="Corpobold">
    <w:name w:val="Corpo_bold"/>
    <w:basedOn w:val="Corpo"/>
    <w:link w:val="CorpoboldChar"/>
    <w:rsid w:val="003B604E"/>
    <w:rPr>
      <w:rFonts w:ascii="Futura Md BT" w:hAnsi="Futura Md BT"/>
    </w:rPr>
  </w:style>
  <w:style w:type="character" w:customStyle="1" w:styleId="Sub-subtitulocorpoChar">
    <w:name w:val="Sub-subtitulo_corpo Char"/>
    <w:basedOn w:val="CapaindiceChar"/>
    <w:link w:val="Sub-subtitulocorpo"/>
    <w:rsid w:val="003B604E"/>
    <w:rPr>
      <w:rFonts w:ascii="Futura Md BT" w:hAnsi="Futura Md BT"/>
      <w:color w:val="DDDDDD" w:themeColor="accent1"/>
      <w:sz w:val="28"/>
      <w:szCs w:val="28"/>
    </w:rPr>
  </w:style>
  <w:style w:type="paragraph" w:customStyle="1" w:styleId="Formulastitulo">
    <w:name w:val="Formulas_titulo"/>
    <w:basedOn w:val="Sub-subtitulocorpo"/>
    <w:link w:val="FormulastituloChar"/>
    <w:rsid w:val="00A746BB"/>
    <w:pPr>
      <w:spacing w:before="0" w:after="0"/>
    </w:pPr>
    <w:rPr>
      <w:sz w:val="24"/>
    </w:rPr>
  </w:style>
  <w:style w:type="character" w:customStyle="1" w:styleId="CorpoboldChar">
    <w:name w:val="Corpo_bold Char"/>
    <w:basedOn w:val="CorpoChar"/>
    <w:link w:val="Corpobold"/>
    <w:rsid w:val="003B604E"/>
    <w:rPr>
      <w:rFonts w:ascii="Futura Md BT" w:hAnsi="Futura Md BT"/>
      <w:color w:val="808080" w:themeColor="background1" w:themeShade="80"/>
      <w:sz w:val="24"/>
      <w:szCs w:val="24"/>
    </w:rPr>
  </w:style>
  <w:style w:type="character" w:customStyle="1" w:styleId="FormulastituloChar">
    <w:name w:val="Formulas_titulo Char"/>
    <w:basedOn w:val="Sub-subtitulocorpoChar"/>
    <w:link w:val="Formulastitulo"/>
    <w:rsid w:val="00A746BB"/>
    <w:rPr>
      <w:rFonts w:ascii="Futura Md BT" w:hAnsi="Futura Md BT"/>
      <w:color w:val="DDDDDD" w:themeColor="accent1"/>
      <w:sz w:val="24"/>
      <w:szCs w:val="28"/>
    </w:rPr>
  </w:style>
  <w:style w:type="character" w:styleId="RefernciaSutil">
    <w:name w:val="Subtle Reference"/>
    <w:basedOn w:val="Fontepargpadro"/>
    <w:uiPriority w:val="31"/>
    <w:rsid w:val="00BD3D89"/>
    <w:rPr>
      <w:smallCaps/>
      <w:color w:val="B2B2B2" w:themeColor="accent2"/>
      <w:u w:val="single"/>
    </w:rPr>
  </w:style>
  <w:style w:type="paragraph" w:customStyle="1" w:styleId="referencias">
    <w:name w:val="referencias"/>
    <w:basedOn w:val="Normal"/>
    <w:link w:val="referenciasChar"/>
    <w:qFormat/>
    <w:rsid w:val="003F4ADA"/>
    <w:pPr>
      <w:jc w:val="right"/>
    </w:pPr>
    <w:rPr>
      <w:i/>
      <w:color w:val="808080" w:themeColor="background1" w:themeShade="80"/>
      <w:sz w:val="12"/>
      <w:szCs w:val="12"/>
    </w:rPr>
  </w:style>
  <w:style w:type="character" w:styleId="Forte">
    <w:name w:val="Strong"/>
    <w:basedOn w:val="Fontepargpadro"/>
    <w:uiPriority w:val="22"/>
    <w:qFormat/>
    <w:rsid w:val="003F4ADA"/>
    <w:rPr>
      <w:b/>
      <w:bCs/>
    </w:rPr>
  </w:style>
  <w:style w:type="character" w:customStyle="1" w:styleId="referenciasChar">
    <w:name w:val="referencias Char"/>
    <w:basedOn w:val="Fontepargpadro"/>
    <w:link w:val="referencias"/>
    <w:rsid w:val="003F4ADA"/>
    <w:rPr>
      <w:i/>
      <w:color w:val="808080" w:themeColor="background1" w:themeShade="80"/>
      <w:sz w:val="12"/>
      <w:szCs w:val="12"/>
    </w:rPr>
  </w:style>
  <w:style w:type="paragraph" w:styleId="Subttulo">
    <w:name w:val="Subtitle"/>
    <w:basedOn w:val="Normal"/>
    <w:next w:val="Normal"/>
    <w:link w:val="SubttuloChar"/>
    <w:uiPriority w:val="11"/>
    <w:qFormat/>
    <w:rsid w:val="00DE3855"/>
    <w:pPr>
      <w:numPr>
        <w:ilvl w:val="1"/>
      </w:numPr>
    </w:pPr>
    <w:rPr>
      <w:rFonts w:ascii="Futura Md BT" w:eastAsiaTheme="majorEastAsia" w:hAnsi="Futura Md BT" w:cstheme="majorBidi"/>
      <w:b/>
      <w:iCs/>
      <w:color w:val="FFC000"/>
      <w:spacing w:val="15"/>
      <w:sz w:val="24"/>
      <w:szCs w:val="24"/>
    </w:rPr>
  </w:style>
  <w:style w:type="character" w:customStyle="1" w:styleId="SubttuloChar">
    <w:name w:val="Subtítulo Char"/>
    <w:basedOn w:val="Fontepargpadro"/>
    <w:link w:val="Subttulo"/>
    <w:uiPriority w:val="11"/>
    <w:rsid w:val="00DE3855"/>
    <w:rPr>
      <w:rFonts w:ascii="Futura Md BT" w:eastAsiaTheme="majorEastAsia" w:hAnsi="Futura Md BT" w:cstheme="majorBidi"/>
      <w:b/>
      <w:iCs/>
      <w:color w:val="FFC000"/>
      <w:spacing w:val="15"/>
      <w:sz w:val="24"/>
      <w:szCs w:val="24"/>
    </w:rPr>
  </w:style>
  <w:style w:type="paragraph" w:styleId="Ttulo">
    <w:name w:val="Title"/>
    <w:basedOn w:val="Normal"/>
    <w:next w:val="Normal"/>
    <w:link w:val="TtuloChar"/>
    <w:uiPriority w:val="10"/>
    <w:rsid w:val="00E75F2A"/>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tuloChar">
    <w:name w:val="Título Char"/>
    <w:basedOn w:val="Fontepargpadro"/>
    <w:link w:val="Ttulo"/>
    <w:uiPriority w:val="10"/>
    <w:rsid w:val="00E75F2A"/>
    <w:rPr>
      <w:rFonts w:asciiTheme="majorHAnsi" w:eastAsiaTheme="majorEastAsia" w:hAnsiTheme="majorHAnsi" w:cstheme="majorBidi"/>
      <w:color w:val="000000" w:themeColor="text2" w:themeShade="BF"/>
      <w:spacing w:val="5"/>
      <w:kern w:val="28"/>
      <w:sz w:val="52"/>
      <w:szCs w:val="52"/>
    </w:rPr>
  </w:style>
  <w:style w:type="paragraph" w:customStyle="1" w:styleId="Corpo2">
    <w:name w:val="Corpo 2"/>
    <w:basedOn w:val="Corpo"/>
    <w:link w:val="Corpo2Char"/>
    <w:rsid w:val="00193EFC"/>
    <w:pPr>
      <w:ind w:left="567" w:hanging="567"/>
    </w:pPr>
  </w:style>
  <w:style w:type="table" w:styleId="Tabelacomgrade">
    <w:name w:val="Table Grid"/>
    <w:basedOn w:val="Tabelanormal"/>
    <w:uiPriority w:val="59"/>
    <w:rsid w:val="006A32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2Char">
    <w:name w:val="Corpo 2 Char"/>
    <w:basedOn w:val="CorpoChar"/>
    <w:link w:val="Corpo2"/>
    <w:rsid w:val="00193EFC"/>
    <w:rPr>
      <w:rFonts w:ascii="Futura Lt BT" w:hAnsi="Futura Lt BT"/>
      <w:color w:val="808080" w:themeColor="background1" w:themeShade="80"/>
      <w:sz w:val="24"/>
      <w:szCs w:val="24"/>
    </w:rPr>
  </w:style>
  <w:style w:type="paragraph" w:customStyle="1" w:styleId="subsubtitulo">
    <w:name w:val="sub subtitulo"/>
    <w:basedOn w:val="Normal"/>
    <w:link w:val="subsubtituloChar"/>
    <w:qFormat/>
    <w:rsid w:val="00944FFF"/>
    <w:rPr>
      <w:color w:val="457B57"/>
    </w:rPr>
  </w:style>
  <w:style w:type="paragraph" w:customStyle="1" w:styleId="frmulas">
    <w:name w:val="fórmulas"/>
    <w:basedOn w:val="Normal"/>
    <w:link w:val="frmulasChar"/>
    <w:rsid w:val="005F0F77"/>
  </w:style>
  <w:style w:type="character" w:customStyle="1" w:styleId="subsubtituloChar">
    <w:name w:val="sub subtitulo Char"/>
    <w:basedOn w:val="Fontepargpadro"/>
    <w:link w:val="subsubtitulo"/>
    <w:rsid w:val="00944FFF"/>
    <w:rPr>
      <w:color w:val="457B57"/>
    </w:rPr>
  </w:style>
  <w:style w:type="paragraph" w:customStyle="1" w:styleId="formulas">
    <w:name w:val="formulas"/>
    <w:basedOn w:val="Corpobold"/>
    <w:link w:val="formulasChar"/>
    <w:qFormat/>
    <w:rsid w:val="005F0F77"/>
    <w:pPr>
      <w:tabs>
        <w:tab w:val="right" w:leader="dot" w:pos="3715"/>
      </w:tabs>
    </w:pPr>
  </w:style>
  <w:style w:type="character" w:customStyle="1" w:styleId="frmulasChar">
    <w:name w:val="fórmulas Char"/>
    <w:basedOn w:val="Fontepargpadro"/>
    <w:link w:val="frmulas"/>
    <w:rsid w:val="005F0F77"/>
  </w:style>
  <w:style w:type="character" w:customStyle="1" w:styleId="formulasChar">
    <w:name w:val="formulas Char"/>
    <w:basedOn w:val="CorpoboldChar"/>
    <w:link w:val="formulas"/>
    <w:rsid w:val="005F0F77"/>
    <w:rPr>
      <w:rFonts w:ascii="Futura Md BT" w:hAnsi="Futura Md BT"/>
      <w:color w:val="808080" w:themeColor="background1" w:themeShade="80"/>
      <w:sz w:val="24"/>
      <w:szCs w:val="24"/>
    </w:rPr>
  </w:style>
  <w:style w:type="character" w:customStyle="1" w:styleId="apple-converted-space">
    <w:name w:val="apple-converted-space"/>
    <w:basedOn w:val="Fontepargpadro"/>
    <w:rsid w:val="009005C3"/>
  </w:style>
  <w:style w:type="character" w:customStyle="1" w:styleId="Ttulo4Char">
    <w:name w:val="Título 4 Char"/>
    <w:basedOn w:val="Fontepargpadro"/>
    <w:link w:val="Ttulo4"/>
    <w:uiPriority w:val="9"/>
    <w:rsid w:val="009005C3"/>
    <w:rPr>
      <w:rFonts w:ascii="Times New Roman" w:eastAsia="Times New Roman" w:hAnsi="Times New Roman" w:cs="Times New Roman"/>
      <w:b/>
      <w:bCs/>
      <w:sz w:val="24"/>
      <w:szCs w:val="24"/>
      <w:lang w:eastAsia="pt-BR"/>
    </w:rPr>
  </w:style>
  <w:style w:type="paragraph" w:customStyle="1" w:styleId="bibliografia">
    <w:name w:val="bibliografia"/>
    <w:basedOn w:val="formulas"/>
    <w:link w:val="bibliografiaChar"/>
    <w:qFormat/>
    <w:rsid w:val="0086442A"/>
    <w:rPr>
      <w:sz w:val="16"/>
      <w:szCs w:val="16"/>
      <w:lang w:val="en-US"/>
    </w:rPr>
  </w:style>
  <w:style w:type="character" w:customStyle="1" w:styleId="bibliografiaChar">
    <w:name w:val="bibliografia Char"/>
    <w:basedOn w:val="formulasChar"/>
    <w:link w:val="bibliografia"/>
    <w:rsid w:val="0086442A"/>
    <w:rPr>
      <w:rFonts w:ascii="Futura Md BT" w:hAnsi="Futura Md BT"/>
      <w:color w:val="808080" w:themeColor="background1" w:themeShade="80"/>
      <w:sz w:val="16"/>
      <w:szCs w:val="16"/>
      <w:lang w:val="en-US"/>
    </w:rPr>
  </w:style>
  <w:style w:type="paragraph" w:styleId="PargrafodaLista">
    <w:name w:val="List Paragraph"/>
    <w:basedOn w:val="Normal"/>
    <w:uiPriority w:val="34"/>
    <w:qFormat/>
    <w:rsid w:val="00C23713"/>
    <w:pPr>
      <w:ind w:left="720"/>
      <w:contextualSpacing/>
    </w:pPr>
  </w:style>
  <w:style w:type="paragraph" w:styleId="Legenda">
    <w:name w:val="caption"/>
    <w:basedOn w:val="Normal"/>
    <w:next w:val="Normal"/>
    <w:qFormat/>
    <w:rsid w:val="007F0F6E"/>
    <w:pPr>
      <w:spacing w:after="0" w:line="240" w:lineRule="auto"/>
      <w:jc w:val="both"/>
    </w:pPr>
    <w:rPr>
      <w:rFonts w:ascii="Arial" w:eastAsia="Times New Roman" w:hAnsi="Arial" w:cs="Times New Roman"/>
      <w:b/>
      <w:bCs/>
      <w:sz w:val="20"/>
      <w:szCs w:val="24"/>
    </w:rPr>
  </w:style>
  <w:style w:type="table" w:customStyle="1" w:styleId="SombreamentoClaro1">
    <w:name w:val="Sombreamento Claro1"/>
    <w:basedOn w:val="Tabelanormal"/>
    <w:uiPriority w:val="60"/>
    <w:rsid w:val="001C799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elanormal"/>
    <w:uiPriority w:val="61"/>
    <w:rsid w:val="001C799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5">
    <w:name w:val="Light List Accent 5"/>
    <w:basedOn w:val="Tabelanormal"/>
    <w:uiPriority w:val="61"/>
    <w:rsid w:val="001C7991"/>
    <w:pPr>
      <w:spacing w:after="0" w:line="240" w:lineRule="auto"/>
    </w:p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staClara-nfase4">
    <w:name w:val="Light List Accent 4"/>
    <w:basedOn w:val="Tabelanormal"/>
    <w:uiPriority w:val="61"/>
    <w:rsid w:val="001C7991"/>
    <w:pPr>
      <w:spacing w:after="0" w:line="240" w:lineRule="auto"/>
    </w:pPr>
    <w:tblPr>
      <w:tblStyleRowBandSize w:val="1"/>
      <w:tblStyleColBandSize w:val="1"/>
      <w:tblInd w:w="0" w:type="dxa"/>
      <w:tblBorders>
        <w:top w:val="single" w:sz="8" w:space="0" w:color="808080" w:themeColor="accent4"/>
        <w:left w:val="single" w:sz="8" w:space="0" w:color="808080" w:themeColor="accent4"/>
        <w:bottom w:val="single" w:sz="8" w:space="0" w:color="808080" w:themeColor="accent4"/>
        <w:right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GradeMdia3-nfase1">
    <w:name w:val="Medium Grid 3 Accent 1"/>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SombreamentoClaro-nfase3">
    <w:name w:val="Light Shading Accent 3"/>
    <w:basedOn w:val="Tabelanormal"/>
    <w:uiPriority w:val="60"/>
    <w:rsid w:val="003B26A1"/>
    <w:pPr>
      <w:spacing w:after="0" w:line="240" w:lineRule="auto"/>
    </w:pPr>
    <w:rPr>
      <w:color w:val="707070" w:themeColor="accent3" w:themeShade="BF"/>
    </w:rPr>
    <w:tblPr>
      <w:tblStyleRowBandSize w:val="1"/>
      <w:tblStyleColBandSize w:val="1"/>
      <w:tblInd w:w="0" w:type="dxa"/>
      <w:tblBorders>
        <w:top w:val="single" w:sz="8" w:space="0" w:color="969696" w:themeColor="accent3"/>
        <w:bottom w:val="single" w:sz="8" w:space="0" w:color="969696"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SombreamentoClaro-nfase2">
    <w:name w:val="Light Shading Accent 2"/>
    <w:basedOn w:val="Tabelanormal"/>
    <w:uiPriority w:val="60"/>
    <w:rsid w:val="003B26A1"/>
    <w:pPr>
      <w:spacing w:after="0" w:line="240" w:lineRule="auto"/>
    </w:pPr>
    <w:rPr>
      <w:color w:val="858585" w:themeColor="accent2" w:themeShade="BF"/>
    </w:rPr>
    <w:tblPr>
      <w:tblStyleRowBandSize w:val="1"/>
      <w:tblStyleColBandSize w:val="1"/>
      <w:tblInd w:w="0" w:type="dxa"/>
      <w:tblBorders>
        <w:top w:val="single" w:sz="8" w:space="0" w:color="B2B2B2" w:themeColor="accent2"/>
        <w:bottom w:val="single" w:sz="8" w:space="0" w:color="B2B2B2"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customStyle="1" w:styleId="SombreamentoClaro-nfase11">
    <w:name w:val="Sombreamento Claro - Ênfase 11"/>
    <w:basedOn w:val="Tabelanormal"/>
    <w:uiPriority w:val="60"/>
    <w:rsid w:val="003B26A1"/>
    <w:pPr>
      <w:spacing w:after="0" w:line="240" w:lineRule="auto"/>
    </w:pPr>
    <w:rPr>
      <w:color w:val="A5A5A5" w:themeColor="accent1" w:themeShade="BF"/>
    </w:rPr>
    <w:tblPr>
      <w:tblStyleRowBandSize w:val="1"/>
      <w:tblStyleColBandSize w:val="1"/>
      <w:tblInd w:w="0" w:type="dxa"/>
      <w:tblBorders>
        <w:top w:val="single" w:sz="8" w:space="0" w:color="DDDDDD" w:themeColor="accent1"/>
        <w:bottom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GradeMdia3-nfase2">
    <w:name w:val="Medium Grid 3 Accent 2"/>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GradeMdia3-nfase5">
    <w:name w:val="Medium Grid 3 Accent 5"/>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GradeColorida-nfase1">
    <w:name w:val="Colorful Grid Accent 1"/>
    <w:basedOn w:val="Tabelanormal"/>
    <w:uiPriority w:val="73"/>
    <w:rsid w:val="003B26A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SombreamentoClaro-nfase4">
    <w:name w:val="Light Shading Accent 4"/>
    <w:basedOn w:val="Tabelanormal"/>
    <w:uiPriority w:val="60"/>
    <w:rsid w:val="003B26A1"/>
    <w:pPr>
      <w:spacing w:after="0" w:line="240" w:lineRule="auto"/>
    </w:pPr>
    <w:rPr>
      <w:color w:val="5F5F5F" w:themeColor="accent4" w:themeShade="BF"/>
    </w:rPr>
    <w:tblPr>
      <w:tblStyleRowBandSize w:val="1"/>
      <w:tblStyleColBandSize w:val="1"/>
      <w:tblInd w:w="0" w:type="dxa"/>
      <w:tblBorders>
        <w:top w:val="single" w:sz="8" w:space="0" w:color="808080" w:themeColor="accent4"/>
        <w:bottom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customStyle="1" w:styleId="GradeClara-nfase11">
    <w:name w:val="Grade Clara - Ênfase 11"/>
    <w:basedOn w:val="Tabelanormal"/>
    <w:uiPriority w:val="62"/>
    <w:rsid w:val="003B26A1"/>
    <w:pPr>
      <w:spacing w:after="0" w:line="240" w:lineRule="auto"/>
    </w:p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GradeClara-nfase2">
    <w:name w:val="Light Grid Accent 2"/>
    <w:basedOn w:val="Tabelanormal"/>
    <w:uiPriority w:val="62"/>
    <w:rsid w:val="003B26A1"/>
    <w:pPr>
      <w:spacing w:after="0" w:line="240" w:lineRule="auto"/>
    </w:pPr>
    <w:tblPr>
      <w:tblStyleRowBandSize w:val="1"/>
      <w:tblStyleColBandSize w:val="1"/>
      <w:tblInd w:w="0" w:type="dxa"/>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SombreamentoEscuro-nfase1">
    <w:name w:val="Colorful Shading Accent 1"/>
    <w:basedOn w:val="Tabelanormal"/>
    <w:uiPriority w:val="71"/>
    <w:rsid w:val="003B26A1"/>
    <w:pPr>
      <w:spacing w:after="0" w:line="240" w:lineRule="auto"/>
    </w:pPr>
    <w:rPr>
      <w:color w:val="000000" w:themeColor="text1"/>
    </w:rPr>
    <w:tblPr>
      <w:tblStyleRowBandSize w:val="1"/>
      <w:tblStyleColBandSize w:val="1"/>
      <w:tblInd w:w="0" w:type="dxa"/>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ListaColorida-nfase1">
    <w:name w:val="Colorful List Accent 1"/>
    <w:basedOn w:val="Tabelanormal"/>
    <w:uiPriority w:val="72"/>
    <w:rsid w:val="003B26A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GradeClara-nfase3">
    <w:name w:val="Light Grid Accent 3"/>
    <w:basedOn w:val="Tabelanormal"/>
    <w:uiPriority w:val="62"/>
    <w:rsid w:val="003B26A1"/>
    <w:pPr>
      <w:spacing w:after="0" w:line="240" w:lineRule="auto"/>
    </w:pPr>
    <w:tblPr>
      <w:tblStyleRowBandSize w:val="1"/>
      <w:tblStyleColBandSize w:val="1"/>
      <w:tblInd w:w="0" w:type="dxa"/>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character" w:styleId="Hyperlink">
    <w:name w:val="Hyperlink"/>
    <w:basedOn w:val="Fontepargpadro"/>
    <w:uiPriority w:val="99"/>
    <w:unhideWhenUsed/>
    <w:rsid w:val="00950EE0"/>
    <w:rPr>
      <w:color w:val="5F5F5F" w:themeColor="hyperlink"/>
      <w:u w:val="single"/>
    </w:rPr>
  </w:style>
  <w:style w:type="character" w:customStyle="1" w:styleId="Ttulo1Char">
    <w:name w:val="Título 1 Char"/>
    <w:basedOn w:val="Fontepargpadro"/>
    <w:link w:val="Ttulo1"/>
    <w:uiPriority w:val="9"/>
    <w:rsid w:val="00CC1897"/>
    <w:rPr>
      <w:rFonts w:asciiTheme="majorHAnsi" w:eastAsiaTheme="majorEastAsia" w:hAnsiTheme="majorHAnsi" w:cstheme="majorBidi"/>
      <w:b/>
      <w:bCs/>
      <w:color w:val="A5A5A5" w:themeColor="accent1" w:themeShade="BF"/>
      <w:sz w:val="28"/>
      <w:szCs w:val="28"/>
    </w:rPr>
  </w:style>
  <w:style w:type="character" w:customStyle="1" w:styleId="highlight">
    <w:name w:val="highlight"/>
    <w:basedOn w:val="Fontepargpadro"/>
    <w:rsid w:val="00397AB0"/>
  </w:style>
  <w:style w:type="character" w:customStyle="1" w:styleId="source">
    <w:name w:val="source"/>
    <w:basedOn w:val="Fontepargpadro"/>
    <w:rsid w:val="00397AB0"/>
  </w:style>
  <w:style w:type="character" w:styleId="nfase">
    <w:name w:val="Emphasis"/>
    <w:basedOn w:val="Fontepargpadro"/>
    <w:qFormat/>
    <w:rsid w:val="00397AB0"/>
    <w:rPr>
      <w:i/>
      <w:iCs/>
    </w:rPr>
  </w:style>
  <w:style w:type="character" w:customStyle="1" w:styleId="Ttulo3Char">
    <w:name w:val="Título 3 Char"/>
    <w:basedOn w:val="Fontepargpadro"/>
    <w:link w:val="Ttulo3"/>
    <w:uiPriority w:val="9"/>
    <w:semiHidden/>
    <w:rsid w:val="00784BC5"/>
    <w:rPr>
      <w:rFonts w:asciiTheme="majorHAnsi" w:eastAsiaTheme="majorEastAsia" w:hAnsiTheme="majorHAnsi" w:cstheme="majorBidi"/>
      <w:b/>
      <w:bCs/>
      <w:color w:val="DDDDDD" w:themeColor="accent1"/>
    </w:rPr>
  </w:style>
  <w:style w:type="paragraph" w:styleId="NormalWeb">
    <w:name w:val="Normal (Web)"/>
    <w:basedOn w:val="Normal"/>
    <w:uiPriority w:val="99"/>
    <w:unhideWhenUsed/>
    <w:rsid w:val="00784B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ource3">
    <w:name w:val="source3"/>
    <w:basedOn w:val="Fontepargpadro"/>
    <w:rsid w:val="00833F7D"/>
  </w:style>
  <w:style w:type="paragraph" w:styleId="Corpodetexto2">
    <w:name w:val="Body Text 2"/>
    <w:basedOn w:val="Normal"/>
    <w:link w:val="Corpodetexto2Char"/>
    <w:rsid w:val="0085595E"/>
    <w:pPr>
      <w:spacing w:after="0" w:line="240" w:lineRule="auto"/>
      <w:jc w:val="both"/>
    </w:pPr>
    <w:rPr>
      <w:rFonts w:ascii="Verdana" w:eastAsia="MS Mincho" w:hAnsi="Verdana" w:cs="Times New Roman"/>
      <w:szCs w:val="20"/>
      <w:lang w:eastAsia="ja-JP"/>
    </w:rPr>
  </w:style>
  <w:style w:type="character" w:customStyle="1" w:styleId="Corpodetexto2Char">
    <w:name w:val="Corpo de texto 2 Char"/>
    <w:basedOn w:val="Fontepargpadro"/>
    <w:link w:val="Corpodetexto2"/>
    <w:rsid w:val="0085595E"/>
    <w:rPr>
      <w:rFonts w:ascii="Verdana" w:eastAsia="MS Mincho" w:hAnsi="Verdana" w:cs="Times New Roman"/>
      <w:szCs w:val="20"/>
      <w:lang w:eastAsia="ja-JP"/>
    </w:rPr>
  </w:style>
  <w:style w:type="character" w:customStyle="1" w:styleId="longtext">
    <w:name w:val="long_text"/>
    <w:basedOn w:val="Fontepargpadro"/>
    <w:rsid w:val="00D122F6"/>
  </w:style>
  <w:style w:type="character" w:customStyle="1" w:styleId="normaltext">
    <w:name w:val="normaltext"/>
    <w:basedOn w:val="Fontepargpadro"/>
    <w:rsid w:val="00D122F6"/>
  </w:style>
  <w:style w:type="character" w:customStyle="1" w:styleId="mediumtext">
    <w:name w:val="medium_text"/>
    <w:basedOn w:val="Fontepargpadro"/>
    <w:rsid w:val="00D122F6"/>
  </w:style>
  <w:style w:type="character" w:customStyle="1" w:styleId="ti2">
    <w:name w:val="ti2"/>
    <w:basedOn w:val="Fontepargpadro"/>
    <w:rsid w:val="00DF6FDE"/>
    <w:rPr>
      <w:sz w:val="22"/>
      <w:szCs w:val="22"/>
    </w:rPr>
  </w:style>
  <w:style w:type="character" w:customStyle="1" w:styleId="ui-ncbitoggler-master-text">
    <w:name w:val="ui-ncbitoggler-master-text"/>
    <w:basedOn w:val="Fontepargpadro"/>
    <w:rsid w:val="003C2235"/>
  </w:style>
  <w:style w:type="table" w:customStyle="1" w:styleId="ListaClara-nfase11">
    <w:name w:val="Lista Clara - Ênfase 11"/>
    <w:basedOn w:val="Tabelanormal"/>
    <w:uiPriority w:val="61"/>
    <w:rsid w:val="00975689"/>
    <w:pPr>
      <w:spacing w:after="0" w:line="240" w:lineRule="auto"/>
    </w:p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character" w:customStyle="1" w:styleId="highlight1">
    <w:name w:val="highlight1"/>
    <w:basedOn w:val="Fontepargpadro"/>
    <w:rsid w:val="00975689"/>
    <w:rPr>
      <w:shd w:val="clear" w:color="auto" w:fill="F2F5F8"/>
    </w:rPr>
  </w:style>
  <w:style w:type="character" w:customStyle="1" w:styleId="hps">
    <w:name w:val="hps"/>
    <w:basedOn w:val="Fontepargpadro"/>
    <w:rsid w:val="00975689"/>
  </w:style>
  <w:style w:type="table" w:customStyle="1" w:styleId="SombreamentoMdio1-nfase11">
    <w:name w:val="Sombreamento Médio 1 - Ênfase 11"/>
    <w:basedOn w:val="Tabelanormal"/>
    <w:uiPriority w:val="63"/>
    <w:rsid w:val="00975689"/>
    <w:pPr>
      <w:spacing w:after="0" w:line="240" w:lineRule="auto"/>
    </w:pPr>
    <w:tblPr>
      <w:tblStyleRowBandSize w:val="1"/>
      <w:tblStyleColBandSize w:val="1"/>
      <w:tblInd w:w="0" w:type="dxa"/>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shd w:val="clear" w:color="auto" w:fill="DDDDDD" w:themeFill="accent1"/>
      </w:tcPr>
    </w:tblStylePr>
    <w:tblStylePr w:type="lastRow">
      <w:pPr>
        <w:spacing w:before="0" w:after="0" w:line="240" w:lineRule="auto"/>
      </w:pPr>
      <w:rPr>
        <w:b/>
        <w:bCs/>
      </w:rPr>
      <w:tblPr/>
      <w:tcPr>
        <w:tcBorders>
          <w:top w:val="double" w:sz="6"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1" w:themeFillTint="3F"/>
      </w:tcPr>
    </w:tblStylePr>
    <w:tblStylePr w:type="band1Horz">
      <w:tblPr/>
      <w:tcPr>
        <w:tcBorders>
          <w:insideH w:val="nil"/>
          <w:insideV w:val="nil"/>
        </w:tcBorders>
        <w:shd w:val="clear" w:color="auto" w:fill="F6F6F6"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975689"/>
    <w:pPr>
      <w:spacing w:after="0" w:line="240" w:lineRule="auto"/>
    </w:pPr>
    <w:tblPr>
      <w:tblStyleRowBandSize w:val="1"/>
      <w:tblStyleColBandSize w:val="1"/>
      <w:tblInd w:w="0" w:type="dxa"/>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ListaClara-nfase2">
    <w:name w:val="Light List Accent 2"/>
    <w:basedOn w:val="Tabelanormal"/>
    <w:uiPriority w:val="61"/>
    <w:rsid w:val="00975689"/>
    <w:pPr>
      <w:spacing w:after="0" w:line="240" w:lineRule="auto"/>
    </w:pPr>
    <w:tblPr>
      <w:tblStyleRowBandSize w:val="1"/>
      <w:tblStyleColBandSize w:val="1"/>
      <w:tblInd w:w="0" w:type="dxa"/>
      <w:tblBorders>
        <w:top w:val="single" w:sz="8" w:space="0" w:color="B2B2B2" w:themeColor="accent2"/>
        <w:left w:val="single" w:sz="8" w:space="0" w:color="B2B2B2" w:themeColor="accent2"/>
        <w:bottom w:val="single" w:sz="8" w:space="0" w:color="B2B2B2" w:themeColor="accent2"/>
        <w:right w:val="single" w:sz="8" w:space="0" w:color="B2B2B2"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ListaColorida-nfase2">
    <w:name w:val="Colorful List Accent 2"/>
    <w:basedOn w:val="Tabelanormal"/>
    <w:uiPriority w:val="72"/>
    <w:rsid w:val="0097568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link w:val="Ttulo1Char"/>
    <w:uiPriority w:val="9"/>
    <w:rsid w:val="00CC1897"/>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Ttulo3">
    <w:name w:val="heading 3"/>
    <w:basedOn w:val="Normal"/>
    <w:next w:val="Normal"/>
    <w:link w:val="Ttulo3Char"/>
    <w:uiPriority w:val="9"/>
    <w:semiHidden/>
    <w:unhideWhenUsed/>
    <w:qFormat/>
    <w:rsid w:val="00784BC5"/>
    <w:pPr>
      <w:keepNext/>
      <w:keepLines/>
      <w:spacing w:before="200" w:after="0"/>
      <w:outlineLvl w:val="2"/>
    </w:pPr>
    <w:rPr>
      <w:rFonts w:asciiTheme="majorHAnsi" w:eastAsiaTheme="majorEastAsia" w:hAnsiTheme="majorHAnsi" w:cstheme="majorBidi"/>
      <w:b/>
      <w:bCs/>
      <w:color w:val="DDDDDD" w:themeColor="accent1"/>
    </w:rPr>
  </w:style>
  <w:style w:type="paragraph" w:styleId="Ttulo4">
    <w:name w:val="heading 4"/>
    <w:basedOn w:val="Normal"/>
    <w:link w:val="Ttulo4Char"/>
    <w:uiPriority w:val="9"/>
    <w:qFormat/>
    <w:rsid w:val="009005C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173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7345"/>
    <w:rPr>
      <w:rFonts w:ascii="Tahoma" w:hAnsi="Tahoma" w:cs="Tahoma"/>
      <w:sz w:val="16"/>
      <w:szCs w:val="16"/>
    </w:rPr>
  </w:style>
  <w:style w:type="paragraph" w:customStyle="1" w:styleId="Datacapa">
    <w:name w:val="Data_capa"/>
    <w:basedOn w:val="Normal"/>
    <w:link w:val="DatacapaChar"/>
    <w:rsid w:val="00817345"/>
    <w:rPr>
      <w:rFonts w:ascii="Zurich Lt BT" w:hAnsi="Zurich Lt BT"/>
      <w:color w:val="7F7F7F" w:themeColor="text1" w:themeTint="80"/>
      <w:sz w:val="16"/>
      <w:szCs w:val="16"/>
    </w:rPr>
  </w:style>
  <w:style w:type="paragraph" w:customStyle="1" w:styleId="Capatitulo">
    <w:name w:val="Capa_titulo"/>
    <w:basedOn w:val="Normal"/>
    <w:link w:val="CapatituloChar"/>
    <w:rsid w:val="00817345"/>
    <w:pPr>
      <w:jc w:val="center"/>
    </w:pPr>
    <w:rPr>
      <w:rFonts w:ascii="Futura Md BT" w:hAnsi="Futura Md BT"/>
      <w:color w:val="DDDDDD" w:themeColor="accent1"/>
      <w:sz w:val="56"/>
    </w:rPr>
  </w:style>
  <w:style w:type="character" w:customStyle="1" w:styleId="DatacapaChar">
    <w:name w:val="Data_capa Char"/>
    <w:basedOn w:val="Fontepargpadro"/>
    <w:link w:val="Datacapa"/>
    <w:rsid w:val="00817345"/>
    <w:rPr>
      <w:rFonts w:ascii="Zurich Lt BT" w:hAnsi="Zurich Lt BT"/>
      <w:color w:val="7F7F7F" w:themeColor="text1" w:themeTint="80"/>
      <w:sz w:val="16"/>
      <w:szCs w:val="16"/>
    </w:rPr>
  </w:style>
  <w:style w:type="paragraph" w:customStyle="1" w:styleId="Capasubtitulo">
    <w:name w:val="Capa_subtitulo"/>
    <w:basedOn w:val="Normal"/>
    <w:link w:val="CapasubtituloChar"/>
    <w:rsid w:val="00817345"/>
    <w:pPr>
      <w:spacing w:after="0"/>
      <w:jc w:val="center"/>
    </w:pPr>
    <w:rPr>
      <w:rFonts w:ascii="Futura Lt BT" w:hAnsi="Futura Lt BT"/>
      <w:color w:val="EAEAEA" w:themeColor="accent1" w:themeTint="99"/>
      <w:sz w:val="44"/>
    </w:rPr>
  </w:style>
  <w:style w:type="character" w:customStyle="1" w:styleId="CapatituloChar">
    <w:name w:val="Capa_titulo Char"/>
    <w:basedOn w:val="Fontepargpadro"/>
    <w:link w:val="Capatitulo"/>
    <w:rsid w:val="00817345"/>
    <w:rPr>
      <w:rFonts w:ascii="Futura Md BT" w:hAnsi="Futura Md BT"/>
      <w:color w:val="DDDDDD" w:themeColor="accent1"/>
      <w:sz w:val="56"/>
    </w:rPr>
  </w:style>
  <w:style w:type="paragraph" w:customStyle="1" w:styleId="Capaindice">
    <w:name w:val="Capa_indice"/>
    <w:basedOn w:val="Normal"/>
    <w:link w:val="CapaindiceChar"/>
    <w:rsid w:val="005D30A3"/>
    <w:rPr>
      <w:rFonts w:ascii="Futura Md BT" w:hAnsi="Futura Md BT"/>
      <w:color w:val="DDDDDD" w:themeColor="accent1"/>
    </w:rPr>
  </w:style>
  <w:style w:type="character" w:customStyle="1" w:styleId="CapasubtituloChar">
    <w:name w:val="Capa_subtitulo Char"/>
    <w:basedOn w:val="Fontepargpadro"/>
    <w:link w:val="Capasubtitulo"/>
    <w:rsid w:val="00817345"/>
    <w:rPr>
      <w:rFonts w:ascii="Futura Lt BT" w:hAnsi="Futura Lt BT"/>
      <w:color w:val="EAEAEA" w:themeColor="accent1" w:themeTint="99"/>
      <w:sz w:val="44"/>
    </w:rPr>
  </w:style>
  <w:style w:type="paragraph" w:customStyle="1" w:styleId="Capatemas">
    <w:name w:val="Capa_temas"/>
    <w:basedOn w:val="Capaindice"/>
    <w:link w:val="CapatemasChar"/>
    <w:rsid w:val="008D71AC"/>
    <w:pPr>
      <w:spacing w:after="100"/>
      <w:jc w:val="both"/>
    </w:pPr>
    <w:rPr>
      <w:rFonts w:ascii="Futura Lt BT" w:hAnsi="Futura Lt BT"/>
      <w:color w:val="A6A6A6" w:themeColor="background1" w:themeShade="A6"/>
      <w:sz w:val="20"/>
    </w:rPr>
  </w:style>
  <w:style w:type="character" w:customStyle="1" w:styleId="CapaindiceChar">
    <w:name w:val="Capa_indice Char"/>
    <w:basedOn w:val="Fontepargpadro"/>
    <w:link w:val="Capaindice"/>
    <w:rsid w:val="005D30A3"/>
    <w:rPr>
      <w:rFonts w:ascii="Futura Md BT" w:hAnsi="Futura Md BT"/>
      <w:color w:val="DDDDDD" w:themeColor="accent1"/>
    </w:rPr>
  </w:style>
  <w:style w:type="character" w:customStyle="1" w:styleId="CapatemasChar">
    <w:name w:val="Capa_temas Char"/>
    <w:basedOn w:val="CapaindiceChar"/>
    <w:link w:val="Capatemas"/>
    <w:rsid w:val="008D71AC"/>
    <w:rPr>
      <w:rFonts w:ascii="Futura Lt BT" w:hAnsi="Futura Lt BT"/>
      <w:color w:val="A6A6A6" w:themeColor="background1" w:themeShade="A6"/>
      <w:sz w:val="20"/>
    </w:rPr>
  </w:style>
  <w:style w:type="paragraph" w:styleId="Cabealho">
    <w:name w:val="header"/>
    <w:basedOn w:val="Normal"/>
    <w:link w:val="CabealhoChar"/>
    <w:uiPriority w:val="99"/>
    <w:unhideWhenUsed/>
    <w:rsid w:val="001F36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F3683"/>
  </w:style>
  <w:style w:type="paragraph" w:styleId="Rodap">
    <w:name w:val="footer"/>
    <w:basedOn w:val="Normal"/>
    <w:link w:val="RodapChar"/>
    <w:uiPriority w:val="99"/>
    <w:unhideWhenUsed/>
    <w:rsid w:val="001F3683"/>
    <w:pPr>
      <w:tabs>
        <w:tab w:val="center" w:pos="4252"/>
        <w:tab w:val="right" w:pos="8504"/>
      </w:tabs>
      <w:spacing w:after="0" w:line="240" w:lineRule="auto"/>
    </w:pPr>
  </w:style>
  <w:style w:type="character" w:customStyle="1" w:styleId="RodapChar">
    <w:name w:val="Rodapé Char"/>
    <w:basedOn w:val="Fontepargpadro"/>
    <w:link w:val="Rodap"/>
    <w:uiPriority w:val="99"/>
    <w:rsid w:val="001F3683"/>
  </w:style>
  <w:style w:type="paragraph" w:customStyle="1" w:styleId="Titulo">
    <w:name w:val="Titulo"/>
    <w:basedOn w:val="Capatitulo"/>
    <w:link w:val="TituloChar"/>
    <w:qFormat/>
    <w:rsid w:val="00DE3855"/>
    <w:pPr>
      <w:spacing w:after="40" w:line="240" w:lineRule="auto"/>
    </w:pPr>
    <w:rPr>
      <w:color w:val="FFC000"/>
      <w:sz w:val="50"/>
    </w:rPr>
  </w:style>
  <w:style w:type="paragraph" w:customStyle="1" w:styleId="Subtitulocorpo">
    <w:name w:val="Subtitulo_corpo"/>
    <w:basedOn w:val="Normal"/>
    <w:link w:val="SubtitulocorpoChar"/>
    <w:qFormat/>
    <w:rsid w:val="009E0E27"/>
    <w:pPr>
      <w:spacing w:after="0" w:line="240" w:lineRule="auto"/>
      <w:jc w:val="center"/>
    </w:pPr>
    <w:rPr>
      <w:rFonts w:ascii="Futura Lt BT" w:hAnsi="Futura Lt BT"/>
      <w:b/>
      <w:color w:val="378956"/>
      <w:sz w:val="40"/>
    </w:rPr>
  </w:style>
  <w:style w:type="character" w:customStyle="1" w:styleId="TituloChar">
    <w:name w:val="Titulo Char"/>
    <w:basedOn w:val="CapatituloChar"/>
    <w:link w:val="Titulo"/>
    <w:rsid w:val="00DE3855"/>
    <w:rPr>
      <w:rFonts w:ascii="Futura Md BT" w:hAnsi="Futura Md BT"/>
      <w:color w:val="FFC000"/>
      <w:sz w:val="50"/>
    </w:rPr>
  </w:style>
  <w:style w:type="paragraph" w:customStyle="1" w:styleId="Corpo">
    <w:name w:val="Corpo"/>
    <w:basedOn w:val="Capaindice"/>
    <w:link w:val="CorpoChar"/>
    <w:qFormat/>
    <w:rsid w:val="009D6EB8"/>
    <w:pPr>
      <w:spacing w:after="20" w:line="240" w:lineRule="auto"/>
      <w:jc w:val="both"/>
    </w:pPr>
    <w:rPr>
      <w:rFonts w:ascii="Futura Lt BT" w:hAnsi="Futura Lt BT"/>
      <w:color w:val="808080" w:themeColor="background1" w:themeShade="80"/>
      <w:szCs w:val="24"/>
    </w:rPr>
  </w:style>
  <w:style w:type="character" w:customStyle="1" w:styleId="SubtitulocorpoChar">
    <w:name w:val="Subtitulo_corpo Char"/>
    <w:basedOn w:val="Fontepargpadro"/>
    <w:link w:val="Subtitulocorpo"/>
    <w:rsid w:val="009E0E27"/>
    <w:rPr>
      <w:rFonts w:ascii="Futura Lt BT" w:hAnsi="Futura Lt BT"/>
      <w:b/>
      <w:color w:val="378956"/>
      <w:sz w:val="40"/>
    </w:rPr>
  </w:style>
  <w:style w:type="paragraph" w:customStyle="1" w:styleId="Sub-subtitulocorpo">
    <w:name w:val="Sub-subtitulo_corpo"/>
    <w:basedOn w:val="Capaindice"/>
    <w:link w:val="Sub-subtitulocorpoChar"/>
    <w:rsid w:val="003B604E"/>
    <w:pPr>
      <w:spacing w:before="200" w:after="20"/>
      <w:jc w:val="center"/>
    </w:pPr>
    <w:rPr>
      <w:sz w:val="28"/>
      <w:szCs w:val="28"/>
    </w:rPr>
  </w:style>
  <w:style w:type="character" w:customStyle="1" w:styleId="CorpoChar">
    <w:name w:val="Corpo Char"/>
    <w:basedOn w:val="CapaindiceChar"/>
    <w:link w:val="Corpo"/>
    <w:rsid w:val="009D6EB8"/>
    <w:rPr>
      <w:rFonts w:ascii="Futura Lt BT" w:hAnsi="Futura Lt BT"/>
      <w:color w:val="808080" w:themeColor="background1" w:themeShade="80"/>
      <w:szCs w:val="24"/>
    </w:rPr>
  </w:style>
  <w:style w:type="paragraph" w:customStyle="1" w:styleId="Corpobold">
    <w:name w:val="Corpo_bold"/>
    <w:basedOn w:val="Corpo"/>
    <w:link w:val="CorpoboldChar"/>
    <w:rsid w:val="003B604E"/>
    <w:rPr>
      <w:rFonts w:ascii="Futura Md BT" w:hAnsi="Futura Md BT"/>
    </w:rPr>
  </w:style>
  <w:style w:type="character" w:customStyle="1" w:styleId="Sub-subtitulocorpoChar">
    <w:name w:val="Sub-subtitulo_corpo Char"/>
    <w:basedOn w:val="CapaindiceChar"/>
    <w:link w:val="Sub-subtitulocorpo"/>
    <w:rsid w:val="003B604E"/>
    <w:rPr>
      <w:rFonts w:ascii="Futura Md BT" w:hAnsi="Futura Md BT"/>
      <w:color w:val="DDDDDD" w:themeColor="accent1"/>
      <w:sz w:val="28"/>
      <w:szCs w:val="28"/>
    </w:rPr>
  </w:style>
  <w:style w:type="paragraph" w:customStyle="1" w:styleId="Formulastitulo">
    <w:name w:val="Formulas_titulo"/>
    <w:basedOn w:val="Sub-subtitulocorpo"/>
    <w:link w:val="FormulastituloChar"/>
    <w:rsid w:val="00A746BB"/>
    <w:pPr>
      <w:spacing w:before="0" w:after="0"/>
    </w:pPr>
    <w:rPr>
      <w:sz w:val="24"/>
    </w:rPr>
  </w:style>
  <w:style w:type="character" w:customStyle="1" w:styleId="CorpoboldChar">
    <w:name w:val="Corpo_bold Char"/>
    <w:basedOn w:val="CorpoChar"/>
    <w:link w:val="Corpobold"/>
    <w:rsid w:val="003B604E"/>
    <w:rPr>
      <w:rFonts w:ascii="Futura Md BT" w:hAnsi="Futura Md BT"/>
      <w:color w:val="808080" w:themeColor="background1" w:themeShade="80"/>
      <w:sz w:val="24"/>
      <w:szCs w:val="24"/>
    </w:rPr>
  </w:style>
  <w:style w:type="character" w:customStyle="1" w:styleId="FormulastituloChar">
    <w:name w:val="Formulas_titulo Char"/>
    <w:basedOn w:val="Sub-subtitulocorpoChar"/>
    <w:link w:val="Formulastitulo"/>
    <w:rsid w:val="00A746BB"/>
    <w:rPr>
      <w:rFonts w:ascii="Futura Md BT" w:hAnsi="Futura Md BT"/>
      <w:color w:val="DDDDDD" w:themeColor="accent1"/>
      <w:sz w:val="24"/>
      <w:szCs w:val="28"/>
    </w:rPr>
  </w:style>
  <w:style w:type="character" w:styleId="RefernciaSutil">
    <w:name w:val="Subtle Reference"/>
    <w:basedOn w:val="Fontepargpadro"/>
    <w:uiPriority w:val="31"/>
    <w:rsid w:val="00BD3D89"/>
    <w:rPr>
      <w:smallCaps/>
      <w:color w:val="B2B2B2" w:themeColor="accent2"/>
      <w:u w:val="single"/>
    </w:rPr>
  </w:style>
  <w:style w:type="paragraph" w:customStyle="1" w:styleId="referencias">
    <w:name w:val="referencias"/>
    <w:basedOn w:val="Normal"/>
    <w:link w:val="referenciasChar"/>
    <w:qFormat/>
    <w:rsid w:val="003F4ADA"/>
    <w:pPr>
      <w:jc w:val="right"/>
    </w:pPr>
    <w:rPr>
      <w:i/>
      <w:color w:val="808080" w:themeColor="background1" w:themeShade="80"/>
      <w:sz w:val="12"/>
      <w:szCs w:val="12"/>
    </w:rPr>
  </w:style>
  <w:style w:type="character" w:styleId="Forte">
    <w:name w:val="Strong"/>
    <w:basedOn w:val="Fontepargpadro"/>
    <w:uiPriority w:val="22"/>
    <w:qFormat/>
    <w:rsid w:val="003F4ADA"/>
    <w:rPr>
      <w:b/>
      <w:bCs/>
    </w:rPr>
  </w:style>
  <w:style w:type="character" w:customStyle="1" w:styleId="referenciasChar">
    <w:name w:val="referencias Char"/>
    <w:basedOn w:val="Fontepargpadro"/>
    <w:link w:val="referencias"/>
    <w:rsid w:val="003F4ADA"/>
    <w:rPr>
      <w:i/>
      <w:color w:val="808080" w:themeColor="background1" w:themeShade="80"/>
      <w:sz w:val="12"/>
      <w:szCs w:val="12"/>
    </w:rPr>
  </w:style>
  <w:style w:type="paragraph" w:styleId="Subttulo">
    <w:name w:val="Subtitle"/>
    <w:basedOn w:val="Normal"/>
    <w:next w:val="Normal"/>
    <w:link w:val="SubttuloChar"/>
    <w:uiPriority w:val="11"/>
    <w:qFormat/>
    <w:rsid w:val="00DE3855"/>
    <w:pPr>
      <w:numPr>
        <w:ilvl w:val="1"/>
      </w:numPr>
    </w:pPr>
    <w:rPr>
      <w:rFonts w:ascii="Futura Md BT" w:eastAsiaTheme="majorEastAsia" w:hAnsi="Futura Md BT" w:cstheme="majorBidi"/>
      <w:b/>
      <w:iCs/>
      <w:color w:val="FFC000"/>
      <w:spacing w:val="15"/>
      <w:sz w:val="24"/>
      <w:szCs w:val="24"/>
    </w:rPr>
  </w:style>
  <w:style w:type="character" w:customStyle="1" w:styleId="SubttuloChar">
    <w:name w:val="Subtítulo Char"/>
    <w:basedOn w:val="Fontepargpadro"/>
    <w:link w:val="Subttulo"/>
    <w:uiPriority w:val="11"/>
    <w:rsid w:val="00DE3855"/>
    <w:rPr>
      <w:rFonts w:ascii="Futura Md BT" w:eastAsiaTheme="majorEastAsia" w:hAnsi="Futura Md BT" w:cstheme="majorBidi"/>
      <w:b/>
      <w:iCs/>
      <w:color w:val="FFC000"/>
      <w:spacing w:val="15"/>
      <w:sz w:val="24"/>
      <w:szCs w:val="24"/>
    </w:rPr>
  </w:style>
  <w:style w:type="paragraph" w:styleId="Ttulo">
    <w:name w:val="Title"/>
    <w:basedOn w:val="Normal"/>
    <w:next w:val="Normal"/>
    <w:link w:val="TtuloChar"/>
    <w:uiPriority w:val="10"/>
    <w:rsid w:val="00E75F2A"/>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tuloChar">
    <w:name w:val="Título Char"/>
    <w:basedOn w:val="Fontepargpadro"/>
    <w:link w:val="Ttulo"/>
    <w:uiPriority w:val="10"/>
    <w:rsid w:val="00E75F2A"/>
    <w:rPr>
      <w:rFonts w:asciiTheme="majorHAnsi" w:eastAsiaTheme="majorEastAsia" w:hAnsiTheme="majorHAnsi" w:cstheme="majorBidi"/>
      <w:color w:val="000000" w:themeColor="text2" w:themeShade="BF"/>
      <w:spacing w:val="5"/>
      <w:kern w:val="28"/>
      <w:sz w:val="52"/>
      <w:szCs w:val="52"/>
    </w:rPr>
  </w:style>
  <w:style w:type="paragraph" w:customStyle="1" w:styleId="Corpo2">
    <w:name w:val="Corpo 2"/>
    <w:basedOn w:val="Corpo"/>
    <w:link w:val="Corpo2Char"/>
    <w:rsid w:val="00193EFC"/>
    <w:pPr>
      <w:ind w:left="567" w:hanging="567"/>
    </w:pPr>
  </w:style>
  <w:style w:type="table" w:styleId="Tabelacomgrade">
    <w:name w:val="Table Grid"/>
    <w:basedOn w:val="Tabelanormal"/>
    <w:uiPriority w:val="59"/>
    <w:rsid w:val="006A32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2Char">
    <w:name w:val="Corpo 2 Char"/>
    <w:basedOn w:val="CorpoChar"/>
    <w:link w:val="Corpo2"/>
    <w:rsid w:val="00193EFC"/>
    <w:rPr>
      <w:rFonts w:ascii="Futura Lt BT" w:hAnsi="Futura Lt BT"/>
      <w:color w:val="808080" w:themeColor="background1" w:themeShade="80"/>
      <w:sz w:val="24"/>
      <w:szCs w:val="24"/>
    </w:rPr>
  </w:style>
  <w:style w:type="paragraph" w:customStyle="1" w:styleId="subsubtitulo">
    <w:name w:val="sub subtitulo"/>
    <w:basedOn w:val="Normal"/>
    <w:link w:val="subsubtituloChar"/>
    <w:qFormat/>
    <w:rsid w:val="00944FFF"/>
    <w:rPr>
      <w:color w:val="457B57"/>
    </w:rPr>
  </w:style>
  <w:style w:type="paragraph" w:customStyle="1" w:styleId="frmulas">
    <w:name w:val="fórmulas"/>
    <w:basedOn w:val="Normal"/>
    <w:link w:val="frmulasChar"/>
    <w:rsid w:val="005F0F77"/>
  </w:style>
  <w:style w:type="character" w:customStyle="1" w:styleId="subsubtituloChar">
    <w:name w:val="sub subtitulo Char"/>
    <w:basedOn w:val="Fontepargpadro"/>
    <w:link w:val="subsubtitulo"/>
    <w:rsid w:val="00944FFF"/>
    <w:rPr>
      <w:color w:val="457B57"/>
    </w:rPr>
  </w:style>
  <w:style w:type="paragraph" w:customStyle="1" w:styleId="formulas">
    <w:name w:val="formulas"/>
    <w:basedOn w:val="Corpobold"/>
    <w:link w:val="formulasChar"/>
    <w:qFormat/>
    <w:rsid w:val="005F0F77"/>
    <w:pPr>
      <w:tabs>
        <w:tab w:val="right" w:leader="dot" w:pos="3715"/>
      </w:tabs>
    </w:pPr>
  </w:style>
  <w:style w:type="character" w:customStyle="1" w:styleId="frmulasChar">
    <w:name w:val="fórmulas Char"/>
    <w:basedOn w:val="Fontepargpadro"/>
    <w:link w:val="frmulas"/>
    <w:rsid w:val="005F0F77"/>
  </w:style>
  <w:style w:type="character" w:customStyle="1" w:styleId="formulasChar">
    <w:name w:val="formulas Char"/>
    <w:basedOn w:val="CorpoboldChar"/>
    <w:link w:val="formulas"/>
    <w:rsid w:val="005F0F77"/>
    <w:rPr>
      <w:rFonts w:ascii="Futura Md BT" w:hAnsi="Futura Md BT"/>
      <w:color w:val="808080" w:themeColor="background1" w:themeShade="80"/>
      <w:sz w:val="24"/>
      <w:szCs w:val="24"/>
    </w:rPr>
  </w:style>
  <w:style w:type="character" w:customStyle="1" w:styleId="apple-converted-space">
    <w:name w:val="apple-converted-space"/>
    <w:basedOn w:val="Fontepargpadro"/>
    <w:rsid w:val="009005C3"/>
  </w:style>
  <w:style w:type="character" w:customStyle="1" w:styleId="Ttulo4Char">
    <w:name w:val="Título 4 Char"/>
    <w:basedOn w:val="Fontepargpadro"/>
    <w:link w:val="Ttulo4"/>
    <w:uiPriority w:val="9"/>
    <w:rsid w:val="009005C3"/>
    <w:rPr>
      <w:rFonts w:ascii="Times New Roman" w:eastAsia="Times New Roman" w:hAnsi="Times New Roman" w:cs="Times New Roman"/>
      <w:b/>
      <w:bCs/>
      <w:sz w:val="24"/>
      <w:szCs w:val="24"/>
      <w:lang w:eastAsia="pt-BR"/>
    </w:rPr>
  </w:style>
  <w:style w:type="paragraph" w:customStyle="1" w:styleId="bibliografia">
    <w:name w:val="bibliografia"/>
    <w:basedOn w:val="formulas"/>
    <w:link w:val="bibliografiaChar"/>
    <w:qFormat/>
    <w:rsid w:val="0086442A"/>
    <w:rPr>
      <w:sz w:val="16"/>
      <w:szCs w:val="16"/>
      <w:lang w:val="en-US"/>
    </w:rPr>
  </w:style>
  <w:style w:type="character" w:customStyle="1" w:styleId="bibliografiaChar">
    <w:name w:val="bibliografia Char"/>
    <w:basedOn w:val="formulasChar"/>
    <w:link w:val="bibliografia"/>
    <w:rsid w:val="0086442A"/>
    <w:rPr>
      <w:rFonts w:ascii="Futura Md BT" w:hAnsi="Futura Md BT"/>
      <w:color w:val="808080" w:themeColor="background1" w:themeShade="80"/>
      <w:sz w:val="16"/>
      <w:szCs w:val="16"/>
      <w:lang w:val="en-US"/>
    </w:rPr>
  </w:style>
  <w:style w:type="paragraph" w:styleId="PargrafodaLista">
    <w:name w:val="List Paragraph"/>
    <w:basedOn w:val="Normal"/>
    <w:uiPriority w:val="34"/>
    <w:qFormat/>
    <w:rsid w:val="00C23713"/>
    <w:pPr>
      <w:ind w:left="720"/>
      <w:contextualSpacing/>
    </w:pPr>
  </w:style>
  <w:style w:type="paragraph" w:styleId="Legenda">
    <w:name w:val="caption"/>
    <w:basedOn w:val="Normal"/>
    <w:next w:val="Normal"/>
    <w:qFormat/>
    <w:rsid w:val="007F0F6E"/>
    <w:pPr>
      <w:spacing w:after="0" w:line="240" w:lineRule="auto"/>
      <w:jc w:val="both"/>
    </w:pPr>
    <w:rPr>
      <w:rFonts w:ascii="Arial" w:eastAsia="Times New Roman" w:hAnsi="Arial" w:cs="Times New Roman"/>
      <w:b/>
      <w:bCs/>
      <w:sz w:val="20"/>
      <w:szCs w:val="24"/>
    </w:rPr>
  </w:style>
  <w:style w:type="table" w:customStyle="1" w:styleId="SombreamentoClaro1">
    <w:name w:val="Sombreamento Claro1"/>
    <w:basedOn w:val="Tabelanormal"/>
    <w:uiPriority w:val="60"/>
    <w:rsid w:val="001C799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elanormal"/>
    <w:uiPriority w:val="61"/>
    <w:rsid w:val="001C799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5">
    <w:name w:val="Light List Accent 5"/>
    <w:basedOn w:val="Tabelanormal"/>
    <w:uiPriority w:val="61"/>
    <w:rsid w:val="001C7991"/>
    <w:pPr>
      <w:spacing w:after="0" w:line="240" w:lineRule="auto"/>
    </w:p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staClara-nfase4">
    <w:name w:val="Light List Accent 4"/>
    <w:basedOn w:val="Tabelanormal"/>
    <w:uiPriority w:val="61"/>
    <w:rsid w:val="001C7991"/>
    <w:pPr>
      <w:spacing w:after="0" w:line="240" w:lineRule="auto"/>
    </w:pPr>
    <w:tblPr>
      <w:tblStyleRowBandSize w:val="1"/>
      <w:tblStyleColBandSize w:val="1"/>
      <w:tblInd w:w="0" w:type="dxa"/>
      <w:tblBorders>
        <w:top w:val="single" w:sz="8" w:space="0" w:color="808080" w:themeColor="accent4"/>
        <w:left w:val="single" w:sz="8" w:space="0" w:color="808080" w:themeColor="accent4"/>
        <w:bottom w:val="single" w:sz="8" w:space="0" w:color="808080" w:themeColor="accent4"/>
        <w:right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GradeMdia3-nfase1">
    <w:name w:val="Medium Grid 3 Accent 1"/>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SombreamentoClaro-nfase3">
    <w:name w:val="Light Shading Accent 3"/>
    <w:basedOn w:val="Tabelanormal"/>
    <w:uiPriority w:val="60"/>
    <w:rsid w:val="003B26A1"/>
    <w:pPr>
      <w:spacing w:after="0" w:line="240" w:lineRule="auto"/>
    </w:pPr>
    <w:rPr>
      <w:color w:val="707070" w:themeColor="accent3" w:themeShade="BF"/>
    </w:rPr>
    <w:tblPr>
      <w:tblStyleRowBandSize w:val="1"/>
      <w:tblStyleColBandSize w:val="1"/>
      <w:tblInd w:w="0" w:type="dxa"/>
      <w:tblBorders>
        <w:top w:val="single" w:sz="8" w:space="0" w:color="969696" w:themeColor="accent3"/>
        <w:bottom w:val="single" w:sz="8" w:space="0" w:color="969696"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SombreamentoClaro-nfase2">
    <w:name w:val="Light Shading Accent 2"/>
    <w:basedOn w:val="Tabelanormal"/>
    <w:uiPriority w:val="60"/>
    <w:rsid w:val="003B26A1"/>
    <w:pPr>
      <w:spacing w:after="0" w:line="240" w:lineRule="auto"/>
    </w:pPr>
    <w:rPr>
      <w:color w:val="858585" w:themeColor="accent2" w:themeShade="BF"/>
    </w:rPr>
    <w:tblPr>
      <w:tblStyleRowBandSize w:val="1"/>
      <w:tblStyleColBandSize w:val="1"/>
      <w:tblInd w:w="0" w:type="dxa"/>
      <w:tblBorders>
        <w:top w:val="single" w:sz="8" w:space="0" w:color="B2B2B2" w:themeColor="accent2"/>
        <w:bottom w:val="single" w:sz="8" w:space="0" w:color="B2B2B2"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customStyle="1" w:styleId="SombreamentoClaro-nfase11">
    <w:name w:val="Sombreamento Claro - Ênfase 11"/>
    <w:basedOn w:val="Tabelanormal"/>
    <w:uiPriority w:val="60"/>
    <w:rsid w:val="003B26A1"/>
    <w:pPr>
      <w:spacing w:after="0" w:line="240" w:lineRule="auto"/>
    </w:pPr>
    <w:rPr>
      <w:color w:val="A5A5A5" w:themeColor="accent1" w:themeShade="BF"/>
    </w:rPr>
    <w:tblPr>
      <w:tblStyleRowBandSize w:val="1"/>
      <w:tblStyleColBandSize w:val="1"/>
      <w:tblInd w:w="0" w:type="dxa"/>
      <w:tblBorders>
        <w:top w:val="single" w:sz="8" w:space="0" w:color="DDDDDD" w:themeColor="accent1"/>
        <w:bottom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GradeMdia3-nfase2">
    <w:name w:val="Medium Grid 3 Accent 2"/>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GradeMdia3-nfase5">
    <w:name w:val="Medium Grid 3 Accent 5"/>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GradeColorida-nfase1">
    <w:name w:val="Colorful Grid Accent 1"/>
    <w:basedOn w:val="Tabelanormal"/>
    <w:uiPriority w:val="73"/>
    <w:rsid w:val="003B26A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SombreamentoClaro-nfase4">
    <w:name w:val="Light Shading Accent 4"/>
    <w:basedOn w:val="Tabelanormal"/>
    <w:uiPriority w:val="60"/>
    <w:rsid w:val="003B26A1"/>
    <w:pPr>
      <w:spacing w:after="0" w:line="240" w:lineRule="auto"/>
    </w:pPr>
    <w:rPr>
      <w:color w:val="5F5F5F" w:themeColor="accent4" w:themeShade="BF"/>
    </w:rPr>
    <w:tblPr>
      <w:tblStyleRowBandSize w:val="1"/>
      <w:tblStyleColBandSize w:val="1"/>
      <w:tblInd w:w="0" w:type="dxa"/>
      <w:tblBorders>
        <w:top w:val="single" w:sz="8" w:space="0" w:color="808080" w:themeColor="accent4"/>
        <w:bottom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customStyle="1" w:styleId="GradeClara-nfase11">
    <w:name w:val="Grade Clara - Ênfase 11"/>
    <w:basedOn w:val="Tabelanormal"/>
    <w:uiPriority w:val="62"/>
    <w:rsid w:val="003B26A1"/>
    <w:pPr>
      <w:spacing w:after="0" w:line="240" w:lineRule="auto"/>
    </w:p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GradeClara-nfase2">
    <w:name w:val="Light Grid Accent 2"/>
    <w:basedOn w:val="Tabelanormal"/>
    <w:uiPriority w:val="62"/>
    <w:rsid w:val="003B26A1"/>
    <w:pPr>
      <w:spacing w:after="0" w:line="240" w:lineRule="auto"/>
    </w:pPr>
    <w:tblPr>
      <w:tblStyleRowBandSize w:val="1"/>
      <w:tblStyleColBandSize w:val="1"/>
      <w:tblInd w:w="0" w:type="dxa"/>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SombreamentoEscuro-nfase1">
    <w:name w:val="Colorful Shading Accent 1"/>
    <w:basedOn w:val="Tabelanormal"/>
    <w:uiPriority w:val="71"/>
    <w:rsid w:val="003B26A1"/>
    <w:pPr>
      <w:spacing w:after="0" w:line="240" w:lineRule="auto"/>
    </w:pPr>
    <w:rPr>
      <w:color w:val="000000" w:themeColor="text1"/>
    </w:rPr>
    <w:tblPr>
      <w:tblStyleRowBandSize w:val="1"/>
      <w:tblStyleColBandSize w:val="1"/>
      <w:tblInd w:w="0" w:type="dxa"/>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ListaColorida-nfase1">
    <w:name w:val="Colorful List Accent 1"/>
    <w:basedOn w:val="Tabelanormal"/>
    <w:uiPriority w:val="72"/>
    <w:rsid w:val="003B26A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GradeClara-nfase3">
    <w:name w:val="Light Grid Accent 3"/>
    <w:basedOn w:val="Tabelanormal"/>
    <w:uiPriority w:val="62"/>
    <w:rsid w:val="003B26A1"/>
    <w:pPr>
      <w:spacing w:after="0" w:line="240" w:lineRule="auto"/>
    </w:pPr>
    <w:tblPr>
      <w:tblStyleRowBandSize w:val="1"/>
      <w:tblStyleColBandSize w:val="1"/>
      <w:tblInd w:w="0" w:type="dxa"/>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character" w:styleId="Hyperlink">
    <w:name w:val="Hyperlink"/>
    <w:basedOn w:val="Fontepargpadro"/>
    <w:uiPriority w:val="99"/>
    <w:unhideWhenUsed/>
    <w:rsid w:val="00950EE0"/>
    <w:rPr>
      <w:color w:val="5F5F5F" w:themeColor="hyperlink"/>
      <w:u w:val="single"/>
    </w:rPr>
  </w:style>
  <w:style w:type="character" w:customStyle="1" w:styleId="Ttulo1Char">
    <w:name w:val="Título 1 Char"/>
    <w:basedOn w:val="Fontepargpadro"/>
    <w:link w:val="Ttulo1"/>
    <w:uiPriority w:val="9"/>
    <w:rsid w:val="00CC1897"/>
    <w:rPr>
      <w:rFonts w:asciiTheme="majorHAnsi" w:eastAsiaTheme="majorEastAsia" w:hAnsiTheme="majorHAnsi" w:cstheme="majorBidi"/>
      <w:b/>
      <w:bCs/>
      <w:color w:val="A5A5A5" w:themeColor="accent1" w:themeShade="BF"/>
      <w:sz w:val="28"/>
      <w:szCs w:val="28"/>
    </w:rPr>
  </w:style>
  <w:style w:type="character" w:customStyle="1" w:styleId="highlight">
    <w:name w:val="highlight"/>
    <w:basedOn w:val="Fontepargpadro"/>
    <w:rsid w:val="00397AB0"/>
  </w:style>
  <w:style w:type="character" w:customStyle="1" w:styleId="source">
    <w:name w:val="source"/>
    <w:basedOn w:val="Fontepargpadro"/>
    <w:rsid w:val="00397AB0"/>
  </w:style>
  <w:style w:type="character" w:styleId="nfase">
    <w:name w:val="Emphasis"/>
    <w:basedOn w:val="Fontepargpadro"/>
    <w:qFormat/>
    <w:rsid w:val="00397AB0"/>
    <w:rPr>
      <w:i/>
      <w:iCs/>
    </w:rPr>
  </w:style>
  <w:style w:type="character" w:customStyle="1" w:styleId="Ttulo3Char">
    <w:name w:val="Título 3 Char"/>
    <w:basedOn w:val="Fontepargpadro"/>
    <w:link w:val="Ttulo3"/>
    <w:uiPriority w:val="9"/>
    <w:semiHidden/>
    <w:rsid w:val="00784BC5"/>
    <w:rPr>
      <w:rFonts w:asciiTheme="majorHAnsi" w:eastAsiaTheme="majorEastAsia" w:hAnsiTheme="majorHAnsi" w:cstheme="majorBidi"/>
      <w:b/>
      <w:bCs/>
      <w:color w:val="DDDDDD" w:themeColor="accent1"/>
    </w:rPr>
  </w:style>
  <w:style w:type="paragraph" w:styleId="NormalWeb">
    <w:name w:val="Normal (Web)"/>
    <w:basedOn w:val="Normal"/>
    <w:uiPriority w:val="99"/>
    <w:unhideWhenUsed/>
    <w:rsid w:val="00784B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ource3">
    <w:name w:val="source3"/>
    <w:basedOn w:val="Fontepargpadro"/>
    <w:rsid w:val="00833F7D"/>
  </w:style>
  <w:style w:type="paragraph" w:styleId="Corpodetexto2">
    <w:name w:val="Body Text 2"/>
    <w:basedOn w:val="Normal"/>
    <w:link w:val="Corpodetexto2Char"/>
    <w:rsid w:val="0085595E"/>
    <w:pPr>
      <w:spacing w:after="0" w:line="240" w:lineRule="auto"/>
      <w:jc w:val="both"/>
    </w:pPr>
    <w:rPr>
      <w:rFonts w:ascii="Verdana" w:eastAsia="MS Mincho" w:hAnsi="Verdana" w:cs="Times New Roman"/>
      <w:szCs w:val="20"/>
      <w:lang w:eastAsia="ja-JP"/>
    </w:rPr>
  </w:style>
  <w:style w:type="character" w:customStyle="1" w:styleId="Corpodetexto2Char">
    <w:name w:val="Corpo de texto 2 Char"/>
    <w:basedOn w:val="Fontepargpadro"/>
    <w:link w:val="Corpodetexto2"/>
    <w:rsid w:val="0085595E"/>
    <w:rPr>
      <w:rFonts w:ascii="Verdana" w:eastAsia="MS Mincho" w:hAnsi="Verdana" w:cs="Times New Roman"/>
      <w:szCs w:val="20"/>
      <w:lang w:eastAsia="ja-JP"/>
    </w:rPr>
  </w:style>
  <w:style w:type="character" w:customStyle="1" w:styleId="longtext">
    <w:name w:val="long_text"/>
    <w:basedOn w:val="Fontepargpadro"/>
    <w:rsid w:val="00D122F6"/>
  </w:style>
  <w:style w:type="character" w:customStyle="1" w:styleId="normaltext">
    <w:name w:val="normaltext"/>
    <w:basedOn w:val="Fontepargpadro"/>
    <w:rsid w:val="00D122F6"/>
  </w:style>
  <w:style w:type="character" w:customStyle="1" w:styleId="mediumtext">
    <w:name w:val="medium_text"/>
    <w:basedOn w:val="Fontepargpadro"/>
    <w:rsid w:val="00D122F6"/>
  </w:style>
  <w:style w:type="character" w:customStyle="1" w:styleId="ti2">
    <w:name w:val="ti2"/>
    <w:basedOn w:val="Fontepargpadro"/>
    <w:rsid w:val="00DF6FDE"/>
    <w:rPr>
      <w:sz w:val="22"/>
      <w:szCs w:val="22"/>
    </w:rPr>
  </w:style>
  <w:style w:type="character" w:customStyle="1" w:styleId="ui-ncbitoggler-master-text">
    <w:name w:val="ui-ncbitoggler-master-text"/>
    <w:basedOn w:val="Fontepargpadro"/>
    <w:rsid w:val="003C2235"/>
  </w:style>
  <w:style w:type="table" w:customStyle="1" w:styleId="ListaClara-nfase11">
    <w:name w:val="Lista Clara - Ênfase 11"/>
    <w:basedOn w:val="Tabelanormal"/>
    <w:uiPriority w:val="61"/>
    <w:rsid w:val="00975689"/>
    <w:pPr>
      <w:spacing w:after="0" w:line="240" w:lineRule="auto"/>
    </w:p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character" w:customStyle="1" w:styleId="highlight1">
    <w:name w:val="highlight1"/>
    <w:basedOn w:val="Fontepargpadro"/>
    <w:rsid w:val="00975689"/>
    <w:rPr>
      <w:shd w:val="clear" w:color="auto" w:fill="F2F5F8"/>
    </w:rPr>
  </w:style>
  <w:style w:type="character" w:customStyle="1" w:styleId="hps">
    <w:name w:val="hps"/>
    <w:basedOn w:val="Fontepargpadro"/>
    <w:rsid w:val="00975689"/>
  </w:style>
  <w:style w:type="table" w:customStyle="1" w:styleId="SombreamentoMdio1-nfase11">
    <w:name w:val="Sombreamento Médio 1 - Ênfase 11"/>
    <w:basedOn w:val="Tabelanormal"/>
    <w:uiPriority w:val="63"/>
    <w:rsid w:val="00975689"/>
    <w:pPr>
      <w:spacing w:after="0" w:line="240" w:lineRule="auto"/>
    </w:pPr>
    <w:tblPr>
      <w:tblStyleRowBandSize w:val="1"/>
      <w:tblStyleColBandSize w:val="1"/>
      <w:tblInd w:w="0" w:type="dxa"/>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shd w:val="clear" w:color="auto" w:fill="DDDDDD" w:themeFill="accent1"/>
      </w:tcPr>
    </w:tblStylePr>
    <w:tblStylePr w:type="lastRow">
      <w:pPr>
        <w:spacing w:before="0" w:after="0" w:line="240" w:lineRule="auto"/>
      </w:pPr>
      <w:rPr>
        <w:b/>
        <w:bCs/>
      </w:rPr>
      <w:tblPr/>
      <w:tcPr>
        <w:tcBorders>
          <w:top w:val="double" w:sz="6"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1" w:themeFillTint="3F"/>
      </w:tcPr>
    </w:tblStylePr>
    <w:tblStylePr w:type="band1Horz">
      <w:tblPr/>
      <w:tcPr>
        <w:tcBorders>
          <w:insideH w:val="nil"/>
          <w:insideV w:val="nil"/>
        </w:tcBorders>
        <w:shd w:val="clear" w:color="auto" w:fill="F6F6F6"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975689"/>
    <w:pPr>
      <w:spacing w:after="0" w:line="240" w:lineRule="auto"/>
    </w:pPr>
    <w:tblPr>
      <w:tblStyleRowBandSize w:val="1"/>
      <w:tblStyleColBandSize w:val="1"/>
      <w:tblInd w:w="0" w:type="dxa"/>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ListaClara-nfase2">
    <w:name w:val="Light List Accent 2"/>
    <w:basedOn w:val="Tabelanormal"/>
    <w:uiPriority w:val="61"/>
    <w:rsid w:val="00975689"/>
    <w:pPr>
      <w:spacing w:after="0" w:line="240" w:lineRule="auto"/>
    </w:pPr>
    <w:tblPr>
      <w:tblStyleRowBandSize w:val="1"/>
      <w:tblStyleColBandSize w:val="1"/>
      <w:tblInd w:w="0" w:type="dxa"/>
      <w:tblBorders>
        <w:top w:val="single" w:sz="8" w:space="0" w:color="B2B2B2" w:themeColor="accent2"/>
        <w:left w:val="single" w:sz="8" w:space="0" w:color="B2B2B2" w:themeColor="accent2"/>
        <w:bottom w:val="single" w:sz="8" w:space="0" w:color="B2B2B2" w:themeColor="accent2"/>
        <w:right w:val="single" w:sz="8" w:space="0" w:color="B2B2B2"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ListaColorida-nfase2">
    <w:name w:val="Colorful List Accent 2"/>
    <w:basedOn w:val="Tabelanormal"/>
    <w:uiPriority w:val="72"/>
    <w:rsid w:val="0097568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9493">
      <w:bodyDiv w:val="1"/>
      <w:marLeft w:val="0"/>
      <w:marRight w:val="0"/>
      <w:marTop w:val="0"/>
      <w:marBottom w:val="0"/>
      <w:divBdr>
        <w:top w:val="none" w:sz="0" w:space="0" w:color="auto"/>
        <w:left w:val="none" w:sz="0" w:space="0" w:color="auto"/>
        <w:bottom w:val="none" w:sz="0" w:space="0" w:color="auto"/>
        <w:right w:val="none" w:sz="0" w:space="0" w:color="auto"/>
      </w:divBdr>
      <w:divsChild>
        <w:div w:id="1798336900">
          <w:marLeft w:val="0"/>
          <w:marRight w:val="1"/>
          <w:marTop w:val="0"/>
          <w:marBottom w:val="0"/>
          <w:divBdr>
            <w:top w:val="none" w:sz="0" w:space="0" w:color="auto"/>
            <w:left w:val="none" w:sz="0" w:space="0" w:color="auto"/>
            <w:bottom w:val="none" w:sz="0" w:space="0" w:color="auto"/>
            <w:right w:val="none" w:sz="0" w:space="0" w:color="auto"/>
          </w:divBdr>
          <w:divsChild>
            <w:div w:id="274137711">
              <w:marLeft w:val="0"/>
              <w:marRight w:val="0"/>
              <w:marTop w:val="0"/>
              <w:marBottom w:val="0"/>
              <w:divBdr>
                <w:top w:val="none" w:sz="0" w:space="0" w:color="auto"/>
                <w:left w:val="none" w:sz="0" w:space="0" w:color="auto"/>
                <w:bottom w:val="none" w:sz="0" w:space="0" w:color="auto"/>
                <w:right w:val="none" w:sz="0" w:space="0" w:color="auto"/>
              </w:divBdr>
              <w:divsChild>
                <w:div w:id="844593531">
                  <w:marLeft w:val="0"/>
                  <w:marRight w:val="1"/>
                  <w:marTop w:val="0"/>
                  <w:marBottom w:val="0"/>
                  <w:divBdr>
                    <w:top w:val="none" w:sz="0" w:space="0" w:color="auto"/>
                    <w:left w:val="none" w:sz="0" w:space="0" w:color="auto"/>
                    <w:bottom w:val="none" w:sz="0" w:space="0" w:color="auto"/>
                    <w:right w:val="none" w:sz="0" w:space="0" w:color="auto"/>
                  </w:divBdr>
                  <w:divsChild>
                    <w:div w:id="1720402229">
                      <w:marLeft w:val="0"/>
                      <w:marRight w:val="0"/>
                      <w:marTop w:val="0"/>
                      <w:marBottom w:val="0"/>
                      <w:divBdr>
                        <w:top w:val="none" w:sz="0" w:space="0" w:color="auto"/>
                        <w:left w:val="none" w:sz="0" w:space="0" w:color="auto"/>
                        <w:bottom w:val="none" w:sz="0" w:space="0" w:color="auto"/>
                        <w:right w:val="none" w:sz="0" w:space="0" w:color="auto"/>
                      </w:divBdr>
                      <w:divsChild>
                        <w:div w:id="613172695">
                          <w:marLeft w:val="0"/>
                          <w:marRight w:val="0"/>
                          <w:marTop w:val="0"/>
                          <w:marBottom w:val="0"/>
                          <w:divBdr>
                            <w:top w:val="none" w:sz="0" w:space="0" w:color="auto"/>
                            <w:left w:val="none" w:sz="0" w:space="0" w:color="auto"/>
                            <w:bottom w:val="none" w:sz="0" w:space="0" w:color="auto"/>
                            <w:right w:val="none" w:sz="0" w:space="0" w:color="auto"/>
                          </w:divBdr>
                          <w:divsChild>
                            <w:div w:id="1559977007">
                              <w:marLeft w:val="0"/>
                              <w:marRight w:val="0"/>
                              <w:marTop w:val="120"/>
                              <w:marBottom w:val="360"/>
                              <w:divBdr>
                                <w:top w:val="none" w:sz="0" w:space="0" w:color="auto"/>
                                <w:left w:val="none" w:sz="0" w:space="0" w:color="auto"/>
                                <w:bottom w:val="none" w:sz="0" w:space="0" w:color="auto"/>
                                <w:right w:val="none" w:sz="0" w:space="0" w:color="auto"/>
                              </w:divBdr>
                              <w:divsChild>
                                <w:div w:id="236716098">
                                  <w:marLeft w:val="0"/>
                                  <w:marRight w:val="0"/>
                                  <w:marTop w:val="0"/>
                                  <w:marBottom w:val="0"/>
                                  <w:divBdr>
                                    <w:top w:val="none" w:sz="0" w:space="0" w:color="auto"/>
                                    <w:left w:val="none" w:sz="0" w:space="0" w:color="auto"/>
                                    <w:bottom w:val="none" w:sz="0" w:space="0" w:color="auto"/>
                                    <w:right w:val="none" w:sz="0" w:space="0" w:color="auto"/>
                                  </w:divBdr>
                                </w:div>
                                <w:div w:id="705762414">
                                  <w:marLeft w:val="0"/>
                                  <w:marRight w:val="0"/>
                                  <w:marTop w:val="0"/>
                                  <w:marBottom w:val="0"/>
                                  <w:divBdr>
                                    <w:top w:val="none" w:sz="0" w:space="0" w:color="auto"/>
                                    <w:left w:val="none" w:sz="0" w:space="0" w:color="auto"/>
                                    <w:bottom w:val="none" w:sz="0" w:space="0" w:color="auto"/>
                                    <w:right w:val="none" w:sz="0" w:space="0" w:color="auto"/>
                                  </w:divBdr>
                                  <w:divsChild>
                                    <w:div w:id="162017014">
                                      <w:marLeft w:val="0"/>
                                      <w:marRight w:val="0"/>
                                      <w:marTop w:val="0"/>
                                      <w:marBottom w:val="0"/>
                                      <w:divBdr>
                                        <w:top w:val="none" w:sz="0" w:space="0" w:color="auto"/>
                                        <w:left w:val="none" w:sz="0" w:space="0" w:color="auto"/>
                                        <w:bottom w:val="none" w:sz="0" w:space="0" w:color="auto"/>
                                        <w:right w:val="none" w:sz="0" w:space="0" w:color="auto"/>
                                      </w:divBdr>
                                    </w:div>
                                  </w:divsChild>
                                </w:div>
                                <w:div w:id="721102816">
                                  <w:marLeft w:val="0"/>
                                  <w:marRight w:val="0"/>
                                  <w:marTop w:val="0"/>
                                  <w:marBottom w:val="0"/>
                                  <w:divBdr>
                                    <w:top w:val="none" w:sz="0" w:space="0" w:color="auto"/>
                                    <w:left w:val="none" w:sz="0" w:space="0" w:color="auto"/>
                                    <w:bottom w:val="none" w:sz="0" w:space="0" w:color="auto"/>
                                    <w:right w:val="none" w:sz="0" w:space="0" w:color="auto"/>
                                  </w:divBdr>
                                  <w:divsChild>
                                    <w:div w:id="1891114631">
                                      <w:marLeft w:val="0"/>
                                      <w:marRight w:val="0"/>
                                      <w:marTop w:val="0"/>
                                      <w:marBottom w:val="0"/>
                                      <w:divBdr>
                                        <w:top w:val="none" w:sz="0" w:space="0" w:color="auto"/>
                                        <w:left w:val="none" w:sz="0" w:space="0" w:color="auto"/>
                                        <w:bottom w:val="none" w:sz="0" w:space="0" w:color="auto"/>
                                        <w:right w:val="none" w:sz="0" w:space="0" w:color="auto"/>
                                      </w:divBdr>
                                    </w:div>
                                  </w:divsChild>
                                </w:div>
                                <w:div w:id="1511947976">
                                  <w:marLeft w:val="0"/>
                                  <w:marRight w:val="0"/>
                                  <w:marTop w:val="0"/>
                                  <w:marBottom w:val="0"/>
                                  <w:divBdr>
                                    <w:top w:val="none" w:sz="0" w:space="0" w:color="auto"/>
                                    <w:left w:val="none" w:sz="0" w:space="0" w:color="auto"/>
                                    <w:bottom w:val="none" w:sz="0" w:space="0" w:color="auto"/>
                                    <w:right w:val="none" w:sz="0" w:space="0" w:color="auto"/>
                                  </w:divBdr>
                                </w:div>
                                <w:div w:id="1991246768">
                                  <w:marLeft w:val="0"/>
                                  <w:marRight w:val="0"/>
                                  <w:marTop w:val="0"/>
                                  <w:marBottom w:val="0"/>
                                  <w:divBdr>
                                    <w:top w:val="none" w:sz="0" w:space="0" w:color="auto"/>
                                    <w:left w:val="none" w:sz="0" w:space="0" w:color="auto"/>
                                    <w:bottom w:val="none" w:sz="0" w:space="0" w:color="auto"/>
                                    <w:right w:val="none" w:sz="0" w:space="0" w:color="auto"/>
                                  </w:divBdr>
                                </w:div>
                                <w:div w:id="2005932473">
                                  <w:marLeft w:val="0"/>
                                  <w:marRight w:val="0"/>
                                  <w:marTop w:val="0"/>
                                  <w:marBottom w:val="0"/>
                                  <w:divBdr>
                                    <w:top w:val="none" w:sz="0" w:space="0" w:color="auto"/>
                                    <w:left w:val="none" w:sz="0" w:space="0" w:color="auto"/>
                                    <w:bottom w:val="none" w:sz="0" w:space="0" w:color="auto"/>
                                    <w:right w:val="none" w:sz="0" w:space="0" w:color="auto"/>
                                  </w:divBdr>
                                  <w:divsChild>
                                    <w:div w:id="1348292143">
                                      <w:marLeft w:val="0"/>
                                      <w:marRight w:val="0"/>
                                      <w:marTop w:val="0"/>
                                      <w:marBottom w:val="0"/>
                                      <w:divBdr>
                                        <w:top w:val="none" w:sz="0" w:space="0" w:color="auto"/>
                                        <w:left w:val="none" w:sz="0" w:space="0" w:color="auto"/>
                                        <w:bottom w:val="none" w:sz="0" w:space="0" w:color="auto"/>
                                        <w:right w:val="none" w:sz="0" w:space="0" w:color="auto"/>
                                      </w:divBdr>
                                    </w:div>
                                    <w:div w:id="188686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96158">
      <w:bodyDiv w:val="1"/>
      <w:marLeft w:val="0"/>
      <w:marRight w:val="0"/>
      <w:marTop w:val="0"/>
      <w:marBottom w:val="0"/>
      <w:divBdr>
        <w:top w:val="none" w:sz="0" w:space="0" w:color="auto"/>
        <w:left w:val="none" w:sz="0" w:space="0" w:color="auto"/>
        <w:bottom w:val="none" w:sz="0" w:space="0" w:color="auto"/>
        <w:right w:val="none" w:sz="0" w:space="0" w:color="auto"/>
      </w:divBdr>
    </w:div>
    <w:div w:id="46683193">
      <w:bodyDiv w:val="1"/>
      <w:marLeft w:val="0"/>
      <w:marRight w:val="0"/>
      <w:marTop w:val="0"/>
      <w:marBottom w:val="0"/>
      <w:divBdr>
        <w:top w:val="none" w:sz="0" w:space="0" w:color="auto"/>
        <w:left w:val="none" w:sz="0" w:space="0" w:color="auto"/>
        <w:bottom w:val="none" w:sz="0" w:space="0" w:color="auto"/>
        <w:right w:val="none" w:sz="0" w:space="0" w:color="auto"/>
      </w:divBdr>
      <w:divsChild>
        <w:div w:id="1915355595">
          <w:marLeft w:val="0"/>
          <w:marRight w:val="0"/>
          <w:marTop w:val="288"/>
          <w:marBottom w:val="100"/>
          <w:divBdr>
            <w:top w:val="none" w:sz="0" w:space="0" w:color="auto"/>
            <w:left w:val="none" w:sz="0" w:space="0" w:color="auto"/>
            <w:bottom w:val="none" w:sz="0" w:space="0" w:color="auto"/>
            <w:right w:val="none" w:sz="0" w:space="0" w:color="auto"/>
          </w:divBdr>
          <w:divsChild>
            <w:div w:id="1564219280">
              <w:marLeft w:val="0"/>
              <w:marRight w:val="0"/>
              <w:marTop w:val="0"/>
              <w:marBottom w:val="0"/>
              <w:divBdr>
                <w:top w:val="none" w:sz="0" w:space="0" w:color="auto"/>
                <w:left w:val="none" w:sz="0" w:space="0" w:color="auto"/>
                <w:bottom w:val="none" w:sz="0" w:space="0" w:color="auto"/>
                <w:right w:val="none" w:sz="0" w:space="0" w:color="auto"/>
              </w:divBdr>
            </w:div>
          </w:divsChild>
        </w:div>
        <w:div w:id="2131431038">
          <w:marLeft w:val="0"/>
          <w:marRight w:val="0"/>
          <w:marTop w:val="288"/>
          <w:marBottom w:val="100"/>
          <w:divBdr>
            <w:top w:val="none" w:sz="0" w:space="0" w:color="auto"/>
            <w:left w:val="none" w:sz="0" w:space="0" w:color="auto"/>
            <w:bottom w:val="none" w:sz="0" w:space="0" w:color="auto"/>
            <w:right w:val="none" w:sz="0" w:space="0" w:color="auto"/>
          </w:divBdr>
          <w:divsChild>
            <w:div w:id="122541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8681">
      <w:bodyDiv w:val="1"/>
      <w:marLeft w:val="0"/>
      <w:marRight w:val="0"/>
      <w:marTop w:val="0"/>
      <w:marBottom w:val="0"/>
      <w:divBdr>
        <w:top w:val="none" w:sz="0" w:space="0" w:color="auto"/>
        <w:left w:val="none" w:sz="0" w:space="0" w:color="auto"/>
        <w:bottom w:val="none" w:sz="0" w:space="0" w:color="auto"/>
        <w:right w:val="none" w:sz="0" w:space="0" w:color="auto"/>
      </w:divBdr>
    </w:div>
    <w:div w:id="174541474">
      <w:bodyDiv w:val="1"/>
      <w:marLeft w:val="0"/>
      <w:marRight w:val="0"/>
      <w:marTop w:val="0"/>
      <w:marBottom w:val="0"/>
      <w:divBdr>
        <w:top w:val="none" w:sz="0" w:space="0" w:color="auto"/>
        <w:left w:val="none" w:sz="0" w:space="0" w:color="auto"/>
        <w:bottom w:val="none" w:sz="0" w:space="0" w:color="auto"/>
        <w:right w:val="none" w:sz="0" w:space="0" w:color="auto"/>
      </w:divBdr>
      <w:divsChild>
        <w:div w:id="1074625842">
          <w:marLeft w:val="0"/>
          <w:marRight w:val="1"/>
          <w:marTop w:val="0"/>
          <w:marBottom w:val="0"/>
          <w:divBdr>
            <w:top w:val="none" w:sz="0" w:space="0" w:color="auto"/>
            <w:left w:val="none" w:sz="0" w:space="0" w:color="auto"/>
            <w:bottom w:val="none" w:sz="0" w:space="0" w:color="auto"/>
            <w:right w:val="none" w:sz="0" w:space="0" w:color="auto"/>
          </w:divBdr>
          <w:divsChild>
            <w:div w:id="1655913311">
              <w:marLeft w:val="0"/>
              <w:marRight w:val="0"/>
              <w:marTop w:val="0"/>
              <w:marBottom w:val="0"/>
              <w:divBdr>
                <w:top w:val="none" w:sz="0" w:space="0" w:color="auto"/>
                <w:left w:val="none" w:sz="0" w:space="0" w:color="auto"/>
                <w:bottom w:val="none" w:sz="0" w:space="0" w:color="auto"/>
                <w:right w:val="none" w:sz="0" w:space="0" w:color="auto"/>
              </w:divBdr>
              <w:divsChild>
                <w:div w:id="1722551953">
                  <w:marLeft w:val="0"/>
                  <w:marRight w:val="1"/>
                  <w:marTop w:val="0"/>
                  <w:marBottom w:val="0"/>
                  <w:divBdr>
                    <w:top w:val="none" w:sz="0" w:space="0" w:color="auto"/>
                    <w:left w:val="none" w:sz="0" w:space="0" w:color="auto"/>
                    <w:bottom w:val="none" w:sz="0" w:space="0" w:color="auto"/>
                    <w:right w:val="none" w:sz="0" w:space="0" w:color="auto"/>
                  </w:divBdr>
                  <w:divsChild>
                    <w:div w:id="1300837419">
                      <w:marLeft w:val="0"/>
                      <w:marRight w:val="0"/>
                      <w:marTop w:val="0"/>
                      <w:marBottom w:val="0"/>
                      <w:divBdr>
                        <w:top w:val="none" w:sz="0" w:space="0" w:color="auto"/>
                        <w:left w:val="none" w:sz="0" w:space="0" w:color="auto"/>
                        <w:bottom w:val="none" w:sz="0" w:space="0" w:color="auto"/>
                        <w:right w:val="none" w:sz="0" w:space="0" w:color="auto"/>
                      </w:divBdr>
                      <w:divsChild>
                        <w:div w:id="46418431">
                          <w:marLeft w:val="0"/>
                          <w:marRight w:val="0"/>
                          <w:marTop w:val="0"/>
                          <w:marBottom w:val="0"/>
                          <w:divBdr>
                            <w:top w:val="none" w:sz="0" w:space="0" w:color="auto"/>
                            <w:left w:val="none" w:sz="0" w:space="0" w:color="auto"/>
                            <w:bottom w:val="none" w:sz="0" w:space="0" w:color="auto"/>
                            <w:right w:val="none" w:sz="0" w:space="0" w:color="auto"/>
                          </w:divBdr>
                          <w:divsChild>
                            <w:div w:id="1239247663">
                              <w:marLeft w:val="0"/>
                              <w:marRight w:val="0"/>
                              <w:marTop w:val="120"/>
                              <w:marBottom w:val="360"/>
                              <w:divBdr>
                                <w:top w:val="none" w:sz="0" w:space="0" w:color="auto"/>
                                <w:left w:val="none" w:sz="0" w:space="0" w:color="auto"/>
                                <w:bottom w:val="none" w:sz="0" w:space="0" w:color="auto"/>
                                <w:right w:val="none" w:sz="0" w:space="0" w:color="auto"/>
                              </w:divBdr>
                              <w:divsChild>
                                <w:div w:id="111871287">
                                  <w:marLeft w:val="0"/>
                                  <w:marRight w:val="0"/>
                                  <w:marTop w:val="0"/>
                                  <w:marBottom w:val="0"/>
                                  <w:divBdr>
                                    <w:top w:val="none" w:sz="0" w:space="0" w:color="auto"/>
                                    <w:left w:val="none" w:sz="0" w:space="0" w:color="auto"/>
                                    <w:bottom w:val="none" w:sz="0" w:space="0" w:color="auto"/>
                                    <w:right w:val="none" w:sz="0" w:space="0" w:color="auto"/>
                                  </w:divBdr>
                                </w:div>
                                <w:div w:id="222251899">
                                  <w:marLeft w:val="0"/>
                                  <w:marRight w:val="0"/>
                                  <w:marTop w:val="0"/>
                                  <w:marBottom w:val="0"/>
                                  <w:divBdr>
                                    <w:top w:val="none" w:sz="0" w:space="0" w:color="auto"/>
                                    <w:left w:val="none" w:sz="0" w:space="0" w:color="auto"/>
                                    <w:bottom w:val="none" w:sz="0" w:space="0" w:color="auto"/>
                                    <w:right w:val="none" w:sz="0" w:space="0" w:color="auto"/>
                                  </w:divBdr>
                                  <w:divsChild>
                                    <w:div w:id="362023657">
                                      <w:marLeft w:val="0"/>
                                      <w:marRight w:val="0"/>
                                      <w:marTop w:val="0"/>
                                      <w:marBottom w:val="0"/>
                                      <w:divBdr>
                                        <w:top w:val="none" w:sz="0" w:space="0" w:color="auto"/>
                                        <w:left w:val="none" w:sz="0" w:space="0" w:color="auto"/>
                                        <w:bottom w:val="none" w:sz="0" w:space="0" w:color="auto"/>
                                        <w:right w:val="none" w:sz="0" w:space="0" w:color="auto"/>
                                      </w:divBdr>
                                    </w:div>
                                  </w:divsChild>
                                </w:div>
                                <w:div w:id="1008143599">
                                  <w:marLeft w:val="0"/>
                                  <w:marRight w:val="0"/>
                                  <w:marTop w:val="0"/>
                                  <w:marBottom w:val="0"/>
                                  <w:divBdr>
                                    <w:top w:val="none" w:sz="0" w:space="0" w:color="auto"/>
                                    <w:left w:val="none" w:sz="0" w:space="0" w:color="auto"/>
                                    <w:bottom w:val="none" w:sz="0" w:space="0" w:color="auto"/>
                                    <w:right w:val="none" w:sz="0" w:space="0" w:color="auto"/>
                                  </w:divBdr>
                                  <w:divsChild>
                                    <w:div w:id="1000040273">
                                      <w:marLeft w:val="0"/>
                                      <w:marRight w:val="0"/>
                                      <w:marTop w:val="0"/>
                                      <w:marBottom w:val="0"/>
                                      <w:divBdr>
                                        <w:top w:val="none" w:sz="0" w:space="0" w:color="auto"/>
                                        <w:left w:val="none" w:sz="0" w:space="0" w:color="auto"/>
                                        <w:bottom w:val="none" w:sz="0" w:space="0" w:color="auto"/>
                                        <w:right w:val="none" w:sz="0" w:space="0" w:color="auto"/>
                                      </w:divBdr>
                                    </w:div>
                                  </w:divsChild>
                                </w:div>
                                <w:div w:id="1528910279">
                                  <w:marLeft w:val="0"/>
                                  <w:marRight w:val="0"/>
                                  <w:marTop w:val="0"/>
                                  <w:marBottom w:val="0"/>
                                  <w:divBdr>
                                    <w:top w:val="none" w:sz="0" w:space="0" w:color="auto"/>
                                    <w:left w:val="none" w:sz="0" w:space="0" w:color="auto"/>
                                    <w:bottom w:val="none" w:sz="0" w:space="0" w:color="auto"/>
                                    <w:right w:val="none" w:sz="0" w:space="0" w:color="auto"/>
                                  </w:divBdr>
                                </w:div>
                                <w:div w:id="169464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542913">
      <w:bodyDiv w:val="1"/>
      <w:marLeft w:val="0"/>
      <w:marRight w:val="0"/>
      <w:marTop w:val="0"/>
      <w:marBottom w:val="0"/>
      <w:divBdr>
        <w:top w:val="none" w:sz="0" w:space="0" w:color="auto"/>
        <w:left w:val="none" w:sz="0" w:space="0" w:color="auto"/>
        <w:bottom w:val="none" w:sz="0" w:space="0" w:color="auto"/>
        <w:right w:val="none" w:sz="0" w:space="0" w:color="auto"/>
      </w:divBdr>
      <w:divsChild>
        <w:div w:id="427390644">
          <w:marLeft w:val="0"/>
          <w:marRight w:val="1"/>
          <w:marTop w:val="0"/>
          <w:marBottom w:val="0"/>
          <w:divBdr>
            <w:top w:val="none" w:sz="0" w:space="0" w:color="auto"/>
            <w:left w:val="none" w:sz="0" w:space="0" w:color="auto"/>
            <w:bottom w:val="none" w:sz="0" w:space="0" w:color="auto"/>
            <w:right w:val="none" w:sz="0" w:space="0" w:color="auto"/>
          </w:divBdr>
          <w:divsChild>
            <w:div w:id="1182352770">
              <w:marLeft w:val="0"/>
              <w:marRight w:val="0"/>
              <w:marTop w:val="0"/>
              <w:marBottom w:val="0"/>
              <w:divBdr>
                <w:top w:val="none" w:sz="0" w:space="0" w:color="auto"/>
                <w:left w:val="none" w:sz="0" w:space="0" w:color="auto"/>
                <w:bottom w:val="none" w:sz="0" w:space="0" w:color="auto"/>
                <w:right w:val="none" w:sz="0" w:space="0" w:color="auto"/>
              </w:divBdr>
              <w:divsChild>
                <w:div w:id="1468469765">
                  <w:marLeft w:val="0"/>
                  <w:marRight w:val="1"/>
                  <w:marTop w:val="0"/>
                  <w:marBottom w:val="0"/>
                  <w:divBdr>
                    <w:top w:val="none" w:sz="0" w:space="0" w:color="auto"/>
                    <w:left w:val="none" w:sz="0" w:space="0" w:color="auto"/>
                    <w:bottom w:val="none" w:sz="0" w:space="0" w:color="auto"/>
                    <w:right w:val="none" w:sz="0" w:space="0" w:color="auto"/>
                  </w:divBdr>
                  <w:divsChild>
                    <w:div w:id="1786922998">
                      <w:marLeft w:val="0"/>
                      <w:marRight w:val="0"/>
                      <w:marTop w:val="0"/>
                      <w:marBottom w:val="0"/>
                      <w:divBdr>
                        <w:top w:val="none" w:sz="0" w:space="0" w:color="auto"/>
                        <w:left w:val="none" w:sz="0" w:space="0" w:color="auto"/>
                        <w:bottom w:val="none" w:sz="0" w:space="0" w:color="auto"/>
                        <w:right w:val="none" w:sz="0" w:space="0" w:color="auto"/>
                      </w:divBdr>
                      <w:divsChild>
                        <w:div w:id="933973397">
                          <w:marLeft w:val="0"/>
                          <w:marRight w:val="0"/>
                          <w:marTop w:val="0"/>
                          <w:marBottom w:val="0"/>
                          <w:divBdr>
                            <w:top w:val="none" w:sz="0" w:space="0" w:color="auto"/>
                            <w:left w:val="none" w:sz="0" w:space="0" w:color="auto"/>
                            <w:bottom w:val="none" w:sz="0" w:space="0" w:color="auto"/>
                            <w:right w:val="none" w:sz="0" w:space="0" w:color="auto"/>
                          </w:divBdr>
                          <w:divsChild>
                            <w:div w:id="2142846875">
                              <w:marLeft w:val="0"/>
                              <w:marRight w:val="0"/>
                              <w:marTop w:val="120"/>
                              <w:marBottom w:val="360"/>
                              <w:divBdr>
                                <w:top w:val="none" w:sz="0" w:space="0" w:color="auto"/>
                                <w:left w:val="none" w:sz="0" w:space="0" w:color="auto"/>
                                <w:bottom w:val="none" w:sz="0" w:space="0" w:color="auto"/>
                                <w:right w:val="none" w:sz="0" w:space="0" w:color="auto"/>
                              </w:divBdr>
                              <w:divsChild>
                                <w:div w:id="12076465">
                                  <w:marLeft w:val="0"/>
                                  <w:marRight w:val="0"/>
                                  <w:marTop w:val="0"/>
                                  <w:marBottom w:val="0"/>
                                  <w:divBdr>
                                    <w:top w:val="none" w:sz="0" w:space="0" w:color="auto"/>
                                    <w:left w:val="none" w:sz="0" w:space="0" w:color="auto"/>
                                    <w:bottom w:val="none" w:sz="0" w:space="0" w:color="auto"/>
                                    <w:right w:val="none" w:sz="0" w:space="0" w:color="auto"/>
                                  </w:divBdr>
                                </w:div>
                                <w:div w:id="717900567">
                                  <w:marLeft w:val="0"/>
                                  <w:marRight w:val="0"/>
                                  <w:marTop w:val="0"/>
                                  <w:marBottom w:val="0"/>
                                  <w:divBdr>
                                    <w:top w:val="none" w:sz="0" w:space="0" w:color="auto"/>
                                    <w:left w:val="none" w:sz="0" w:space="0" w:color="auto"/>
                                    <w:bottom w:val="none" w:sz="0" w:space="0" w:color="auto"/>
                                    <w:right w:val="none" w:sz="0" w:space="0" w:color="auto"/>
                                  </w:divBdr>
                                </w:div>
                                <w:div w:id="1526091433">
                                  <w:marLeft w:val="0"/>
                                  <w:marRight w:val="0"/>
                                  <w:marTop w:val="0"/>
                                  <w:marBottom w:val="0"/>
                                  <w:divBdr>
                                    <w:top w:val="none" w:sz="0" w:space="0" w:color="auto"/>
                                    <w:left w:val="none" w:sz="0" w:space="0" w:color="auto"/>
                                    <w:bottom w:val="none" w:sz="0" w:space="0" w:color="auto"/>
                                    <w:right w:val="none" w:sz="0" w:space="0" w:color="auto"/>
                                  </w:divBdr>
                                </w:div>
                                <w:div w:id="1610426244">
                                  <w:marLeft w:val="0"/>
                                  <w:marRight w:val="0"/>
                                  <w:marTop w:val="0"/>
                                  <w:marBottom w:val="0"/>
                                  <w:divBdr>
                                    <w:top w:val="none" w:sz="0" w:space="0" w:color="auto"/>
                                    <w:left w:val="none" w:sz="0" w:space="0" w:color="auto"/>
                                    <w:bottom w:val="none" w:sz="0" w:space="0" w:color="auto"/>
                                    <w:right w:val="none" w:sz="0" w:space="0" w:color="auto"/>
                                  </w:divBdr>
                                </w:div>
                                <w:div w:id="1732772736">
                                  <w:marLeft w:val="0"/>
                                  <w:marRight w:val="0"/>
                                  <w:marTop w:val="0"/>
                                  <w:marBottom w:val="0"/>
                                  <w:divBdr>
                                    <w:top w:val="none" w:sz="0" w:space="0" w:color="auto"/>
                                    <w:left w:val="none" w:sz="0" w:space="0" w:color="auto"/>
                                    <w:bottom w:val="none" w:sz="0" w:space="0" w:color="auto"/>
                                    <w:right w:val="none" w:sz="0" w:space="0" w:color="auto"/>
                                  </w:divBdr>
                                  <w:divsChild>
                                    <w:div w:id="1023169945">
                                      <w:marLeft w:val="0"/>
                                      <w:marRight w:val="0"/>
                                      <w:marTop w:val="0"/>
                                      <w:marBottom w:val="0"/>
                                      <w:divBdr>
                                        <w:top w:val="none" w:sz="0" w:space="0" w:color="auto"/>
                                        <w:left w:val="none" w:sz="0" w:space="0" w:color="auto"/>
                                        <w:bottom w:val="none" w:sz="0" w:space="0" w:color="auto"/>
                                        <w:right w:val="none" w:sz="0" w:space="0" w:color="auto"/>
                                      </w:divBdr>
                                    </w:div>
                                  </w:divsChild>
                                </w:div>
                                <w:div w:id="1883858317">
                                  <w:marLeft w:val="0"/>
                                  <w:marRight w:val="0"/>
                                  <w:marTop w:val="0"/>
                                  <w:marBottom w:val="0"/>
                                  <w:divBdr>
                                    <w:top w:val="none" w:sz="0" w:space="0" w:color="auto"/>
                                    <w:left w:val="none" w:sz="0" w:space="0" w:color="auto"/>
                                    <w:bottom w:val="none" w:sz="0" w:space="0" w:color="auto"/>
                                    <w:right w:val="none" w:sz="0" w:space="0" w:color="auto"/>
                                  </w:divBdr>
                                  <w:divsChild>
                                    <w:div w:id="12329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587030">
      <w:bodyDiv w:val="1"/>
      <w:marLeft w:val="0"/>
      <w:marRight w:val="0"/>
      <w:marTop w:val="0"/>
      <w:marBottom w:val="0"/>
      <w:divBdr>
        <w:top w:val="none" w:sz="0" w:space="0" w:color="auto"/>
        <w:left w:val="none" w:sz="0" w:space="0" w:color="auto"/>
        <w:bottom w:val="none" w:sz="0" w:space="0" w:color="auto"/>
        <w:right w:val="none" w:sz="0" w:space="0" w:color="auto"/>
      </w:divBdr>
    </w:div>
    <w:div w:id="207107491">
      <w:bodyDiv w:val="1"/>
      <w:marLeft w:val="0"/>
      <w:marRight w:val="0"/>
      <w:marTop w:val="0"/>
      <w:marBottom w:val="0"/>
      <w:divBdr>
        <w:top w:val="none" w:sz="0" w:space="0" w:color="auto"/>
        <w:left w:val="none" w:sz="0" w:space="0" w:color="auto"/>
        <w:bottom w:val="none" w:sz="0" w:space="0" w:color="auto"/>
        <w:right w:val="none" w:sz="0" w:space="0" w:color="auto"/>
      </w:divBdr>
      <w:divsChild>
        <w:div w:id="1967853482">
          <w:marLeft w:val="0"/>
          <w:marRight w:val="0"/>
          <w:marTop w:val="288"/>
          <w:marBottom w:val="100"/>
          <w:divBdr>
            <w:top w:val="none" w:sz="0" w:space="0" w:color="auto"/>
            <w:left w:val="none" w:sz="0" w:space="0" w:color="auto"/>
            <w:bottom w:val="none" w:sz="0" w:space="0" w:color="auto"/>
            <w:right w:val="none" w:sz="0" w:space="0" w:color="auto"/>
          </w:divBdr>
          <w:divsChild>
            <w:div w:id="357508822">
              <w:marLeft w:val="0"/>
              <w:marRight w:val="0"/>
              <w:marTop w:val="0"/>
              <w:marBottom w:val="0"/>
              <w:divBdr>
                <w:top w:val="none" w:sz="0" w:space="0" w:color="auto"/>
                <w:left w:val="none" w:sz="0" w:space="0" w:color="auto"/>
                <w:bottom w:val="none" w:sz="0" w:space="0" w:color="auto"/>
                <w:right w:val="none" w:sz="0" w:space="0" w:color="auto"/>
              </w:divBdr>
            </w:div>
          </w:divsChild>
        </w:div>
        <w:div w:id="2051998631">
          <w:marLeft w:val="0"/>
          <w:marRight w:val="0"/>
          <w:marTop w:val="288"/>
          <w:marBottom w:val="100"/>
          <w:divBdr>
            <w:top w:val="none" w:sz="0" w:space="0" w:color="auto"/>
            <w:left w:val="none" w:sz="0" w:space="0" w:color="auto"/>
            <w:bottom w:val="none" w:sz="0" w:space="0" w:color="auto"/>
            <w:right w:val="none" w:sz="0" w:space="0" w:color="auto"/>
          </w:divBdr>
          <w:divsChild>
            <w:div w:id="21415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0181">
      <w:bodyDiv w:val="1"/>
      <w:marLeft w:val="0"/>
      <w:marRight w:val="0"/>
      <w:marTop w:val="0"/>
      <w:marBottom w:val="0"/>
      <w:divBdr>
        <w:top w:val="none" w:sz="0" w:space="0" w:color="auto"/>
        <w:left w:val="none" w:sz="0" w:space="0" w:color="auto"/>
        <w:bottom w:val="none" w:sz="0" w:space="0" w:color="auto"/>
        <w:right w:val="none" w:sz="0" w:space="0" w:color="auto"/>
      </w:divBdr>
    </w:div>
    <w:div w:id="243153522">
      <w:bodyDiv w:val="1"/>
      <w:marLeft w:val="0"/>
      <w:marRight w:val="0"/>
      <w:marTop w:val="0"/>
      <w:marBottom w:val="0"/>
      <w:divBdr>
        <w:top w:val="none" w:sz="0" w:space="0" w:color="auto"/>
        <w:left w:val="none" w:sz="0" w:space="0" w:color="auto"/>
        <w:bottom w:val="none" w:sz="0" w:space="0" w:color="auto"/>
        <w:right w:val="none" w:sz="0" w:space="0" w:color="auto"/>
      </w:divBdr>
      <w:divsChild>
        <w:div w:id="1847675152">
          <w:marLeft w:val="0"/>
          <w:marRight w:val="1"/>
          <w:marTop w:val="0"/>
          <w:marBottom w:val="0"/>
          <w:divBdr>
            <w:top w:val="none" w:sz="0" w:space="0" w:color="auto"/>
            <w:left w:val="none" w:sz="0" w:space="0" w:color="auto"/>
            <w:bottom w:val="none" w:sz="0" w:space="0" w:color="auto"/>
            <w:right w:val="none" w:sz="0" w:space="0" w:color="auto"/>
          </w:divBdr>
          <w:divsChild>
            <w:div w:id="1317303944">
              <w:marLeft w:val="0"/>
              <w:marRight w:val="0"/>
              <w:marTop w:val="0"/>
              <w:marBottom w:val="0"/>
              <w:divBdr>
                <w:top w:val="none" w:sz="0" w:space="0" w:color="auto"/>
                <w:left w:val="none" w:sz="0" w:space="0" w:color="auto"/>
                <w:bottom w:val="none" w:sz="0" w:space="0" w:color="auto"/>
                <w:right w:val="none" w:sz="0" w:space="0" w:color="auto"/>
              </w:divBdr>
              <w:divsChild>
                <w:div w:id="1530755810">
                  <w:marLeft w:val="0"/>
                  <w:marRight w:val="1"/>
                  <w:marTop w:val="0"/>
                  <w:marBottom w:val="0"/>
                  <w:divBdr>
                    <w:top w:val="none" w:sz="0" w:space="0" w:color="auto"/>
                    <w:left w:val="none" w:sz="0" w:space="0" w:color="auto"/>
                    <w:bottom w:val="none" w:sz="0" w:space="0" w:color="auto"/>
                    <w:right w:val="none" w:sz="0" w:space="0" w:color="auto"/>
                  </w:divBdr>
                  <w:divsChild>
                    <w:div w:id="1841307032">
                      <w:marLeft w:val="0"/>
                      <w:marRight w:val="0"/>
                      <w:marTop w:val="0"/>
                      <w:marBottom w:val="0"/>
                      <w:divBdr>
                        <w:top w:val="none" w:sz="0" w:space="0" w:color="auto"/>
                        <w:left w:val="none" w:sz="0" w:space="0" w:color="auto"/>
                        <w:bottom w:val="none" w:sz="0" w:space="0" w:color="auto"/>
                        <w:right w:val="none" w:sz="0" w:space="0" w:color="auto"/>
                      </w:divBdr>
                      <w:divsChild>
                        <w:div w:id="2051609601">
                          <w:marLeft w:val="0"/>
                          <w:marRight w:val="0"/>
                          <w:marTop w:val="0"/>
                          <w:marBottom w:val="0"/>
                          <w:divBdr>
                            <w:top w:val="none" w:sz="0" w:space="0" w:color="auto"/>
                            <w:left w:val="none" w:sz="0" w:space="0" w:color="auto"/>
                            <w:bottom w:val="none" w:sz="0" w:space="0" w:color="auto"/>
                            <w:right w:val="none" w:sz="0" w:space="0" w:color="auto"/>
                          </w:divBdr>
                          <w:divsChild>
                            <w:div w:id="1269390659">
                              <w:marLeft w:val="0"/>
                              <w:marRight w:val="0"/>
                              <w:marTop w:val="120"/>
                              <w:marBottom w:val="360"/>
                              <w:divBdr>
                                <w:top w:val="none" w:sz="0" w:space="0" w:color="auto"/>
                                <w:left w:val="none" w:sz="0" w:space="0" w:color="auto"/>
                                <w:bottom w:val="none" w:sz="0" w:space="0" w:color="auto"/>
                                <w:right w:val="none" w:sz="0" w:space="0" w:color="auto"/>
                              </w:divBdr>
                              <w:divsChild>
                                <w:div w:id="225260736">
                                  <w:marLeft w:val="0"/>
                                  <w:marRight w:val="0"/>
                                  <w:marTop w:val="0"/>
                                  <w:marBottom w:val="0"/>
                                  <w:divBdr>
                                    <w:top w:val="none" w:sz="0" w:space="0" w:color="auto"/>
                                    <w:left w:val="none" w:sz="0" w:space="0" w:color="auto"/>
                                    <w:bottom w:val="none" w:sz="0" w:space="0" w:color="auto"/>
                                    <w:right w:val="none" w:sz="0" w:space="0" w:color="auto"/>
                                  </w:divBdr>
                                  <w:divsChild>
                                    <w:div w:id="1780107159">
                                      <w:marLeft w:val="0"/>
                                      <w:marRight w:val="0"/>
                                      <w:marTop w:val="0"/>
                                      <w:marBottom w:val="0"/>
                                      <w:divBdr>
                                        <w:top w:val="none" w:sz="0" w:space="0" w:color="auto"/>
                                        <w:left w:val="none" w:sz="0" w:space="0" w:color="auto"/>
                                        <w:bottom w:val="none" w:sz="0" w:space="0" w:color="auto"/>
                                        <w:right w:val="none" w:sz="0" w:space="0" w:color="auto"/>
                                      </w:divBdr>
                                    </w:div>
                                  </w:divsChild>
                                </w:div>
                                <w:div w:id="398868796">
                                  <w:marLeft w:val="0"/>
                                  <w:marRight w:val="0"/>
                                  <w:marTop w:val="0"/>
                                  <w:marBottom w:val="0"/>
                                  <w:divBdr>
                                    <w:top w:val="none" w:sz="0" w:space="0" w:color="auto"/>
                                    <w:left w:val="none" w:sz="0" w:space="0" w:color="auto"/>
                                    <w:bottom w:val="none" w:sz="0" w:space="0" w:color="auto"/>
                                    <w:right w:val="none" w:sz="0" w:space="0" w:color="auto"/>
                                  </w:divBdr>
                                </w:div>
                                <w:div w:id="1017580090">
                                  <w:marLeft w:val="0"/>
                                  <w:marRight w:val="0"/>
                                  <w:marTop w:val="0"/>
                                  <w:marBottom w:val="0"/>
                                  <w:divBdr>
                                    <w:top w:val="none" w:sz="0" w:space="0" w:color="auto"/>
                                    <w:left w:val="none" w:sz="0" w:space="0" w:color="auto"/>
                                    <w:bottom w:val="none" w:sz="0" w:space="0" w:color="auto"/>
                                    <w:right w:val="none" w:sz="0" w:space="0" w:color="auto"/>
                                  </w:divBdr>
                                </w:div>
                                <w:div w:id="1214197145">
                                  <w:marLeft w:val="0"/>
                                  <w:marRight w:val="0"/>
                                  <w:marTop w:val="0"/>
                                  <w:marBottom w:val="0"/>
                                  <w:divBdr>
                                    <w:top w:val="none" w:sz="0" w:space="0" w:color="auto"/>
                                    <w:left w:val="none" w:sz="0" w:space="0" w:color="auto"/>
                                    <w:bottom w:val="none" w:sz="0" w:space="0" w:color="auto"/>
                                    <w:right w:val="none" w:sz="0" w:space="0" w:color="auto"/>
                                  </w:divBdr>
                                  <w:divsChild>
                                    <w:div w:id="1107458102">
                                      <w:marLeft w:val="0"/>
                                      <w:marRight w:val="0"/>
                                      <w:marTop w:val="0"/>
                                      <w:marBottom w:val="0"/>
                                      <w:divBdr>
                                        <w:top w:val="none" w:sz="0" w:space="0" w:color="auto"/>
                                        <w:left w:val="none" w:sz="0" w:space="0" w:color="auto"/>
                                        <w:bottom w:val="none" w:sz="0" w:space="0" w:color="auto"/>
                                        <w:right w:val="none" w:sz="0" w:space="0" w:color="auto"/>
                                      </w:divBdr>
                                    </w:div>
                                  </w:divsChild>
                                </w:div>
                                <w:div w:id="178083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4575526">
      <w:bodyDiv w:val="1"/>
      <w:marLeft w:val="0"/>
      <w:marRight w:val="0"/>
      <w:marTop w:val="0"/>
      <w:marBottom w:val="0"/>
      <w:divBdr>
        <w:top w:val="none" w:sz="0" w:space="0" w:color="auto"/>
        <w:left w:val="none" w:sz="0" w:space="0" w:color="auto"/>
        <w:bottom w:val="none" w:sz="0" w:space="0" w:color="auto"/>
        <w:right w:val="none" w:sz="0" w:space="0" w:color="auto"/>
      </w:divBdr>
    </w:div>
    <w:div w:id="374425710">
      <w:bodyDiv w:val="1"/>
      <w:marLeft w:val="0"/>
      <w:marRight w:val="0"/>
      <w:marTop w:val="0"/>
      <w:marBottom w:val="0"/>
      <w:divBdr>
        <w:top w:val="none" w:sz="0" w:space="0" w:color="auto"/>
        <w:left w:val="none" w:sz="0" w:space="0" w:color="auto"/>
        <w:bottom w:val="none" w:sz="0" w:space="0" w:color="auto"/>
        <w:right w:val="none" w:sz="0" w:space="0" w:color="auto"/>
      </w:divBdr>
      <w:divsChild>
        <w:div w:id="252517272">
          <w:marLeft w:val="0"/>
          <w:marRight w:val="0"/>
          <w:marTop w:val="288"/>
          <w:marBottom w:val="100"/>
          <w:divBdr>
            <w:top w:val="none" w:sz="0" w:space="0" w:color="auto"/>
            <w:left w:val="none" w:sz="0" w:space="0" w:color="auto"/>
            <w:bottom w:val="none" w:sz="0" w:space="0" w:color="auto"/>
            <w:right w:val="none" w:sz="0" w:space="0" w:color="auto"/>
          </w:divBdr>
          <w:divsChild>
            <w:div w:id="844824913">
              <w:marLeft w:val="0"/>
              <w:marRight w:val="0"/>
              <w:marTop w:val="0"/>
              <w:marBottom w:val="0"/>
              <w:divBdr>
                <w:top w:val="none" w:sz="0" w:space="0" w:color="auto"/>
                <w:left w:val="none" w:sz="0" w:space="0" w:color="auto"/>
                <w:bottom w:val="none" w:sz="0" w:space="0" w:color="auto"/>
                <w:right w:val="none" w:sz="0" w:space="0" w:color="auto"/>
              </w:divBdr>
            </w:div>
          </w:divsChild>
        </w:div>
        <w:div w:id="1990329853">
          <w:marLeft w:val="0"/>
          <w:marRight w:val="0"/>
          <w:marTop w:val="240"/>
          <w:marBottom w:val="100"/>
          <w:divBdr>
            <w:top w:val="none" w:sz="0" w:space="0" w:color="auto"/>
            <w:left w:val="none" w:sz="0" w:space="0" w:color="auto"/>
            <w:bottom w:val="none" w:sz="0" w:space="0" w:color="auto"/>
            <w:right w:val="none" w:sz="0" w:space="0" w:color="auto"/>
          </w:divBdr>
          <w:divsChild>
            <w:div w:id="15716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09644">
      <w:bodyDiv w:val="1"/>
      <w:marLeft w:val="0"/>
      <w:marRight w:val="0"/>
      <w:marTop w:val="0"/>
      <w:marBottom w:val="0"/>
      <w:divBdr>
        <w:top w:val="none" w:sz="0" w:space="0" w:color="auto"/>
        <w:left w:val="none" w:sz="0" w:space="0" w:color="auto"/>
        <w:bottom w:val="none" w:sz="0" w:space="0" w:color="auto"/>
        <w:right w:val="none" w:sz="0" w:space="0" w:color="auto"/>
      </w:divBdr>
      <w:divsChild>
        <w:div w:id="1614556270">
          <w:marLeft w:val="0"/>
          <w:marRight w:val="0"/>
          <w:marTop w:val="240"/>
          <w:marBottom w:val="100"/>
          <w:divBdr>
            <w:top w:val="none" w:sz="0" w:space="0" w:color="auto"/>
            <w:left w:val="none" w:sz="0" w:space="0" w:color="auto"/>
            <w:bottom w:val="none" w:sz="0" w:space="0" w:color="auto"/>
            <w:right w:val="none" w:sz="0" w:space="0" w:color="auto"/>
          </w:divBdr>
          <w:divsChild>
            <w:div w:id="1370912552">
              <w:marLeft w:val="0"/>
              <w:marRight w:val="0"/>
              <w:marTop w:val="0"/>
              <w:marBottom w:val="0"/>
              <w:divBdr>
                <w:top w:val="none" w:sz="0" w:space="0" w:color="auto"/>
                <w:left w:val="none" w:sz="0" w:space="0" w:color="auto"/>
                <w:bottom w:val="none" w:sz="0" w:space="0" w:color="auto"/>
                <w:right w:val="none" w:sz="0" w:space="0" w:color="auto"/>
              </w:divBdr>
            </w:div>
          </w:divsChild>
        </w:div>
        <w:div w:id="1651396407">
          <w:marLeft w:val="0"/>
          <w:marRight w:val="0"/>
          <w:marTop w:val="288"/>
          <w:marBottom w:val="100"/>
          <w:divBdr>
            <w:top w:val="none" w:sz="0" w:space="0" w:color="auto"/>
            <w:left w:val="none" w:sz="0" w:space="0" w:color="auto"/>
            <w:bottom w:val="none" w:sz="0" w:space="0" w:color="auto"/>
            <w:right w:val="none" w:sz="0" w:space="0" w:color="auto"/>
          </w:divBdr>
          <w:divsChild>
            <w:div w:id="25355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725990">
      <w:bodyDiv w:val="1"/>
      <w:marLeft w:val="0"/>
      <w:marRight w:val="0"/>
      <w:marTop w:val="0"/>
      <w:marBottom w:val="0"/>
      <w:divBdr>
        <w:top w:val="none" w:sz="0" w:space="0" w:color="auto"/>
        <w:left w:val="none" w:sz="0" w:space="0" w:color="auto"/>
        <w:bottom w:val="none" w:sz="0" w:space="0" w:color="auto"/>
        <w:right w:val="none" w:sz="0" w:space="0" w:color="auto"/>
      </w:divBdr>
    </w:div>
    <w:div w:id="433021495">
      <w:bodyDiv w:val="1"/>
      <w:marLeft w:val="0"/>
      <w:marRight w:val="0"/>
      <w:marTop w:val="0"/>
      <w:marBottom w:val="0"/>
      <w:divBdr>
        <w:top w:val="none" w:sz="0" w:space="0" w:color="auto"/>
        <w:left w:val="none" w:sz="0" w:space="0" w:color="auto"/>
        <w:bottom w:val="none" w:sz="0" w:space="0" w:color="auto"/>
        <w:right w:val="none" w:sz="0" w:space="0" w:color="auto"/>
      </w:divBdr>
      <w:divsChild>
        <w:div w:id="407312673">
          <w:marLeft w:val="0"/>
          <w:marRight w:val="0"/>
          <w:marTop w:val="288"/>
          <w:marBottom w:val="100"/>
          <w:divBdr>
            <w:top w:val="none" w:sz="0" w:space="0" w:color="auto"/>
            <w:left w:val="none" w:sz="0" w:space="0" w:color="auto"/>
            <w:bottom w:val="none" w:sz="0" w:space="0" w:color="auto"/>
            <w:right w:val="none" w:sz="0" w:space="0" w:color="auto"/>
          </w:divBdr>
          <w:divsChild>
            <w:div w:id="6562268">
              <w:marLeft w:val="0"/>
              <w:marRight w:val="0"/>
              <w:marTop w:val="0"/>
              <w:marBottom w:val="0"/>
              <w:divBdr>
                <w:top w:val="none" w:sz="0" w:space="0" w:color="auto"/>
                <w:left w:val="none" w:sz="0" w:space="0" w:color="auto"/>
                <w:bottom w:val="none" w:sz="0" w:space="0" w:color="auto"/>
                <w:right w:val="none" w:sz="0" w:space="0" w:color="auto"/>
              </w:divBdr>
            </w:div>
          </w:divsChild>
        </w:div>
        <w:div w:id="526286443">
          <w:marLeft w:val="0"/>
          <w:marRight w:val="0"/>
          <w:marTop w:val="240"/>
          <w:marBottom w:val="100"/>
          <w:divBdr>
            <w:top w:val="none" w:sz="0" w:space="0" w:color="auto"/>
            <w:left w:val="none" w:sz="0" w:space="0" w:color="auto"/>
            <w:bottom w:val="none" w:sz="0" w:space="0" w:color="auto"/>
            <w:right w:val="none" w:sz="0" w:space="0" w:color="auto"/>
          </w:divBdr>
          <w:divsChild>
            <w:div w:id="100016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4976">
      <w:bodyDiv w:val="1"/>
      <w:marLeft w:val="0"/>
      <w:marRight w:val="0"/>
      <w:marTop w:val="0"/>
      <w:marBottom w:val="0"/>
      <w:divBdr>
        <w:top w:val="none" w:sz="0" w:space="0" w:color="auto"/>
        <w:left w:val="none" w:sz="0" w:space="0" w:color="auto"/>
        <w:bottom w:val="none" w:sz="0" w:space="0" w:color="auto"/>
        <w:right w:val="none" w:sz="0" w:space="0" w:color="auto"/>
      </w:divBdr>
      <w:divsChild>
        <w:div w:id="1958757028">
          <w:marLeft w:val="0"/>
          <w:marRight w:val="1"/>
          <w:marTop w:val="0"/>
          <w:marBottom w:val="0"/>
          <w:divBdr>
            <w:top w:val="none" w:sz="0" w:space="0" w:color="auto"/>
            <w:left w:val="none" w:sz="0" w:space="0" w:color="auto"/>
            <w:bottom w:val="none" w:sz="0" w:space="0" w:color="auto"/>
            <w:right w:val="none" w:sz="0" w:space="0" w:color="auto"/>
          </w:divBdr>
          <w:divsChild>
            <w:div w:id="1639724806">
              <w:marLeft w:val="0"/>
              <w:marRight w:val="0"/>
              <w:marTop w:val="0"/>
              <w:marBottom w:val="0"/>
              <w:divBdr>
                <w:top w:val="none" w:sz="0" w:space="0" w:color="auto"/>
                <w:left w:val="none" w:sz="0" w:space="0" w:color="auto"/>
                <w:bottom w:val="none" w:sz="0" w:space="0" w:color="auto"/>
                <w:right w:val="none" w:sz="0" w:space="0" w:color="auto"/>
              </w:divBdr>
              <w:divsChild>
                <w:div w:id="529805691">
                  <w:marLeft w:val="0"/>
                  <w:marRight w:val="1"/>
                  <w:marTop w:val="0"/>
                  <w:marBottom w:val="0"/>
                  <w:divBdr>
                    <w:top w:val="none" w:sz="0" w:space="0" w:color="auto"/>
                    <w:left w:val="none" w:sz="0" w:space="0" w:color="auto"/>
                    <w:bottom w:val="none" w:sz="0" w:space="0" w:color="auto"/>
                    <w:right w:val="none" w:sz="0" w:space="0" w:color="auto"/>
                  </w:divBdr>
                  <w:divsChild>
                    <w:div w:id="338850982">
                      <w:marLeft w:val="0"/>
                      <w:marRight w:val="0"/>
                      <w:marTop w:val="0"/>
                      <w:marBottom w:val="0"/>
                      <w:divBdr>
                        <w:top w:val="none" w:sz="0" w:space="0" w:color="auto"/>
                        <w:left w:val="none" w:sz="0" w:space="0" w:color="auto"/>
                        <w:bottom w:val="none" w:sz="0" w:space="0" w:color="auto"/>
                        <w:right w:val="none" w:sz="0" w:space="0" w:color="auto"/>
                      </w:divBdr>
                      <w:divsChild>
                        <w:div w:id="1838374802">
                          <w:marLeft w:val="0"/>
                          <w:marRight w:val="0"/>
                          <w:marTop w:val="0"/>
                          <w:marBottom w:val="0"/>
                          <w:divBdr>
                            <w:top w:val="none" w:sz="0" w:space="0" w:color="auto"/>
                            <w:left w:val="none" w:sz="0" w:space="0" w:color="auto"/>
                            <w:bottom w:val="none" w:sz="0" w:space="0" w:color="auto"/>
                            <w:right w:val="none" w:sz="0" w:space="0" w:color="auto"/>
                          </w:divBdr>
                          <w:divsChild>
                            <w:div w:id="1329477645">
                              <w:marLeft w:val="0"/>
                              <w:marRight w:val="0"/>
                              <w:marTop w:val="120"/>
                              <w:marBottom w:val="360"/>
                              <w:divBdr>
                                <w:top w:val="none" w:sz="0" w:space="0" w:color="auto"/>
                                <w:left w:val="none" w:sz="0" w:space="0" w:color="auto"/>
                                <w:bottom w:val="none" w:sz="0" w:space="0" w:color="auto"/>
                                <w:right w:val="none" w:sz="0" w:space="0" w:color="auto"/>
                              </w:divBdr>
                              <w:divsChild>
                                <w:div w:id="151794564">
                                  <w:marLeft w:val="0"/>
                                  <w:marRight w:val="0"/>
                                  <w:marTop w:val="0"/>
                                  <w:marBottom w:val="0"/>
                                  <w:divBdr>
                                    <w:top w:val="none" w:sz="0" w:space="0" w:color="auto"/>
                                    <w:left w:val="none" w:sz="0" w:space="0" w:color="auto"/>
                                    <w:bottom w:val="none" w:sz="0" w:space="0" w:color="auto"/>
                                    <w:right w:val="none" w:sz="0" w:space="0" w:color="auto"/>
                                  </w:divBdr>
                                </w:div>
                                <w:div w:id="544832249">
                                  <w:marLeft w:val="0"/>
                                  <w:marRight w:val="0"/>
                                  <w:marTop w:val="0"/>
                                  <w:marBottom w:val="0"/>
                                  <w:divBdr>
                                    <w:top w:val="none" w:sz="0" w:space="0" w:color="auto"/>
                                    <w:left w:val="none" w:sz="0" w:space="0" w:color="auto"/>
                                    <w:bottom w:val="none" w:sz="0" w:space="0" w:color="auto"/>
                                    <w:right w:val="none" w:sz="0" w:space="0" w:color="auto"/>
                                  </w:divBdr>
                                  <w:divsChild>
                                    <w:div w:id="1440178584">
                                      <w:marLeft w:val="0"/>
                                      <w:marRight w:val="0"/>
                                      <w:marTop w:val="0"/>
                                      <w:marBottom w:val="0"/>
                                      <w:divBdr>
                                        <w:top w:val="none" w:sz="0" w:space="0" w:color="auto"/>
                                        <w:left w:val="none" w:sz="0" w:space="0" w:color="auto"/>
                                        <w:bottom w:val="none" w:sz="0" w:space="0" w:color="auto"/>
                                        <w:right w:val="none" w:sz="0" w:space="0" w:color="auto"/>
                                      </w:divBdr>
                                    </w:div>
                                  </w:divsChild>
                                </w:div>
                                <w:div w:id="705714167">
                                  <w:marLeft w:val="0"/>
                                  <w:marRight w:val="0"/>
                                  <w:marTop w:val="0"/>
                                  <w:marBottom w:val="0"/>
                                  <w:divBdr>
                                    <w:top w:val="none" w:sz="0" w:space="0" w:color="auto"/>
                                    <w:left w:val="none" w:sz="0" w:space="0" w:color="auto"/>
                                    <w:bottom w:val="none" w:sz="0" w:space="0" w:color="auto"/>
                                    <w:right w:val="none" w:sz="0" w:space="0" w:color="auto"/>
                                  </w:divBdr>
                                  <w:divsChild>
                                    <w:div w:id="1214150275">
                                      <w:marLeft w:val="0"/>
                                      <w:marRight w:val="0"/>
                                      <w:marTop w:val="0"/>
                                      <w:marBottom w:val="0"/>
                                      <w:divBdr>
                                        <w:top w:val="none" w:sz="0" w:space="0" w:color="auto"/>
                                        <w:left w:val="none" w:sz="0" w:space="0" w:color="auto"/>
                                        <w:bottom w:val="none" w:sz="0" w:space="0" w:color="auto"/>
                                        <w:right w:val="none" w:sz="0" w:space="0" w:color="auto"/>
                                      </w:divBdr>
                                    </w:div>
                                  </w:divsChild>
                                </w:div>
                                <w:div w:id="1164082528">
                                  <w:marLeft w:val="0"/>
                                  <w:marRight w:val="0"/>
                                  <w:marTop w:val="0"/>
                                  <w:marBottom w:val="0"/>
                                  <w:divBdr>
                                    <w:top w:val="none" w:sz="0" w:space="0" w:color="auto"/>
                                    <w:left w:val="none" w:sz="0" w:space="0" w:color="auto"/>
                                    <w:bottom w:val="none" w:sz="0" w:space="0" w:color="auto"/>
                                    <w:right w:val="none" w:sz="0" w:space="0" w:color="auto"/>
                                  </w:divBdr>
                                </w:div>
                                <w:div w:id="146855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843141">
      <w:bodyDiv w:val="1"/>
      <w:marLeft w:val="0"/>
      <w:marRight w:val="0"/>
      <w:marTop w:val="0"/>
      <w:marBottom w:val="0"/>
      <w:divBdr>
        <w:top w:val="none" w:sz="0" w:space="0" w:color="auto"/>
        <w:left w:val="none" w:sz="0" w:space="0" w:color="auto"/>
        <w:bottom w:val="none" w:sz="0" w:space="0" w:color="auto"/>
        <w:right w:val="none" w:sz="0" w:space="0" w:color="auto"/>
      </w:divBdr>
    </w:div>
    <w:div w:id="593051652">
      <w:bodyDiv w:val="1"/>
      <w:marLeft w:val="0"/>
      <w:marRight w:val="0"/>
      <w:marTop w:val="0"/>
      <w:marBottom w:val="0"/>
      <w:divBdr>
        <w:top w:val="none" w:sz="0" w:space="0" w:color="auto"/>
        <w:left w:val="none" w:sz="0" w:space="0" w:color="auto"/>
        <w:bottom w:val="none" w:sz="0" w:space="0" w:color="auto"/>
        <w:right w:val="none" w:sz="0" w:space="0" w:color="auto"/>
      </w:divBdr>
      <w:divsChild>
        <w:div w:id="214778565">
          <w:marLeft w:val="0"/>
          <w:marRight w:val="1"/>
          <w:marTop w:val="0"/>
          <w:marBottom w:val="0"/>
          <w:divBdr>
            <w:top w:val="none" w:sz="0" w:space="0" w:color="auto"/>
            <w:left w:val="none" w:sz="0" w:space="0" w:color="auto"/>
            <w:bottom w:val="none" w:sz="0" w:space="0" w:color="auto"/>
            <w:right w:val="none" w:sz="0" w:space="0" w:color="auto"/>
          </w:divBdr>
          <w:divsChild>
            <w:div w:id="543176822">
              <w:marLeft w:val="0"/>
              <w:marRight w:val="0"/>
              <w:marTop w:val="0"/>
              <w:marBottom w:val="0"/>
              <w:divBdr>
                <w:top w:val="none" w:sz="0" w:space="0" w:color="auto"/>
                <w:left w:val="none" w:sz="0" w:space="0" w:color="auto"/>
                <w:bottom w:val="none" w:sz="0" w:space="0" w:color="auto"/>
                <w:right w:val="none" w:sz="0" w:space="0" w:color="auto"/>
              </w:divBdr>
              <w:divsChild>
                <w:div w:id="841236512">
                  <w:marLeft w:val="0"/>
                  <w:marRight w:val="1"/>
                  <w:marTop w:val="0"/>
                  <w:marBottom w:val="0"/>
                  <w:divBdr>
                    <w:top w:val="none" w:sz="0" w:space="0" w:color="auto"/>
                    <w:left w:val="none" w:sz="0" w:space="0" w:color="auto"/>
                    <w:bottom w:val="none" w:sz="0" w:space="0" w:color="auto"/>
                    <w:right w:val="none" w:sz="0" w:space="0" w:color="auto"/>
                  </w:divBdr>
                  <w:divsChild>
                    <w:div w:id="1397049544">
                      <w:marLeft w:val="0"/>
                      <w:marRight w:val="0"/>
                      <w:marTop w:val="0"/>
                      <w:marBottom w:val="0"/>
                      <w:divBdr>
                        <w:top w:val="none" w:sz="0" w:space="0" w:color="auto"/>
                        <w:left w:val="none" w:sz="0" w:space="0" w:color="auto"/>
                        <w:bottom w:val="none" w:sz="0" w:space="0" w:color="auto"/>
                        <w:right w:val="none" w:sz="0" w:space="0" w:color="auto"/>
                      </w:divBdr>
                      <w:divsChild>
                        <w:div w:id="1921211761">
                          <w:marLeft w:val="0"/>
                          <w:marRight w:val="0"/>
                          <w:marTop w:val="0"/>
                          <w:marBottom w:val="0"/>
                          <w:divBdr>
                            <w:top w:val="none" w:sz="0" w:space="0" w:color="auto"/>
                            <w:left w:val="none" w:sz="0" w:space="0" w:color="auto"/>
                            <w:bottom w:val="none" w:sz="0" w:space="0" w:color="auto"/>
                            <w:right w:val="none" w:sz="0" w:space="0" w:color="auto"/>
                          </w:divBdr>
                          <w:divsChild>
                            <w:div w:id="1954364433">
                              <w:marLeft w:val="0"/>
                              <w:marRight w:val="0"/>
                              <w:marTop w:val="120"/>
                              <w:marBottom w:val="360"/>
                              <w:divBdr>
                                <w:top w:val="none" w:sz="0" w:space="0" w:color="auto"/>
                                <w:left w:val="none" w:sz="0" w:space="0" w:color="auto"/>
                                <w:bottom w:val="none" w:sz="0" w:space="0" w:color="auto"/>
                                <w:right w:val="none" w:sz="0" w:space="0" w:color="auto"/>
                              </w:divBdr>
                              <w:divsChild>
                                <w:div w:id="62411911">
                                  <w:marLeft w:val="0"/>
                                  <w:marRight w:val="0"/>
                                  <w:marTop w:val="0"/>
                                  <w:marBottom w:val="0"/>
                                  <w:divBdr>
                                    <w:top w:val="none" w:sz="0" w:space="0" w:color="auto"/>
                                    <w:left w:val="none" w:sz="0" w:space="0" w:color="auto"/>
                                    <w:bottom w:val="none" w:sz="0" w:space="0" w:color="auto"/>
                                    <w:right w:val="none" w:sz="0" w:space="0" w:color="auto"/>
                                  </w:divBdr>
                                </w:div>
                                <w:div w:id="1314062574">
                                  <w:marLeft w:val="0"/>
                                  <w:marRight w:val="0"/>
                                  <w:marTop w:val="0"/>
                                  <w:marBottom w:val="0"/>
                                  <w:divBdr>
                                    <w:top w:val="none" w:sz="0" w:space="0" w:color="auto"/>
                                    <w:left w:val="none" w:sz="0" w:space="0" w:color="auto"/>
                                    <w:bottom w:val="none" w:sz="0" w:space="0" w:color="auto"/>
                                    <w:right w:val="none" w:sz="0" w:space="0" w:color="auto"/>
                                  </w:divBdr>
                                  <w:divsChild>
                                    <w:div w:id="814107425">
                                      <w:marLeft w:val="0"/>
                                      <w:marRight w:val="0"/>
                                      <w:marTop w:val="0"/>
                                      <w:marBottom w:val="0"/>
                                      <w:divBdr>
                                        <w:top w:val="none" w:sz="0" w:space="0" w:color="auto"/>
                                        <w:left w:val="none" w:sz="0" w:space="0" w:color="auto"/>
                                        <w:bottom w:val="none" w:sz="0" w:space="0" w:color="auto"/>
                                        <w:right w:val="none" w:sz="0" w:space="0" w:color="auto"/>
                                      </w:divBdr>
                                    </w:div>
                                  </w:divsChild>
                                </w:div>
                                <w:div w:id="1510950658">
                                  <w:marLeft w:val="0"/>
                                  <w:marRight w:val="0"/>
                                  <w:marTop w:val="0"/>
                                  <w:marBottom w:val="0"/>
                                  <w:divBdr>
                                    <w:top w:val="none" w:sz="0" w:space="0" w:color="auto"/>
                                    <w:left w:val="none" w:sz="0" w:space="0" w:color="auto"/>
                                    <w:bottom w:val="none" w:sz="0" w:space="0" w:color="auto"/>
                                    <w:right w:val="none" w:sz="0" w:space="0" w:color="auto"/>
                                  </w:divBdr>
                                </w:div>
                                <w:div w:id="1602100982">
                                  <w:marLeft w:val="0"/>
                                  <w:marRight w:val="0"/>
                                  <w:marTop w:val="0"/>
                                  <w:marBottom w:val="0"/>
                                  <w:divBdr>
                                    <w:top w:val="none" w:sz="0" w:space="0" w:color="auto"/>
                                    <w:left w:val="none" w:sz="0" w:space="0" w:color="auto"/>
                                    <w:bottom w:val="none" w:sz="0" w:space="0" w:color="auto"/>
                                    <w:right w:val="none" w:sz="0" w:space="0" w:color="auto"/>
                                  </w:divBdr>
                                </w:div>
                                <w:div w:id="1869024620">
                                  <w:marLeft w:val="0"/>
                                  <w:marRight w:val="0"/>
                                  <w:marTop w:val="0"/>
                                  <w:marBottom w:val="0"/>
                                  <w:divBdr>
                                    <w:top w:val="none" w:sz="0" w:space="0" w:color="auto"/>
                                    <w:left w:val="none" w:sz="0" w:space="0" w:color="auto"/>
                                    <w:bottom w:val="none" w:sz="0" w:space="0" w:color="auto"/>
                                    <w:right w:val="none" w:sz="0" w:space="0" w:color="auto"/>
                                  </w:divBdr>
                                  <w:divsChild>
                                    <w:div w:id="9912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088450">
      <w:bodyDiv w:val="1"/>
      <w:marLeft w:val="0"/>
      <w:marRight w:val="0"/>
      <w:marTop w:val="0"/>
      <w:marBottom w:val="0"/>
      <w:divBdr>
        <w:top w:val="none" w:sz="0" w:space="0" w:color="auto"/>
        <w:left w:val="none" w:sz="0" w:space="0" w:color="auto"/>
        <w:bottom w:val="none" w:sz="0" w:space="0" w:color="auto"/>
        <w:right w:val="none" w:sz="0" w:space="0" w:color="auto"/>
      </w:divBdr>
      <w:divsChild>
        <w:div w:id="1804808473">
          <w:marLeft w:val="0"/>
          <w:marRight w:val="1"/>
          <w:marTop w:val="0"/>
          <w:marBottom w:val="0"/>
          <w:divBdr>
            <w:top w:val="none" w:sz="0" w:space="0" w:color="auto"/>
            <w:left w:val="none" w:sz="0" w:space="0" w:color="auto"/>
            <w:bottom w:val="none" w:sz="0" w:space="0" w:color="auto"/>
            <w:right w:val="none" w:sz="0" w:space="0" w:color="auto"/>
          </w:divBdr>
          <w:divsChild>
            <w:div w:id="2047875593">
              <w:marLeft w:val="0"/>
              <w:marRight w:val="0"/>
              <w:marTop w:val="0"/>
              <w:marBottom w:val="0"/>
              <w:divBdr>
                <w:top w:val="none" w:sz="0" w:space="0" w:color="auto"/>
                <w:left w:val="none" w:sz="0" w:space="0" w:color="auto"/>
                <w:bottom w:val="none" w:sz="0" w:space="0" w:color="auto"/>
                <w:right w:val="none" w:sz="0" w:space="0" w:color="auto"/>
              </w:divBdr>
              <w:divsChild>
                <w:div w:id="222762672">
                  <w:marLeft w:val="0"/>
                  <w:marRight w:val="1"/>
                  <w:marTop w:val="0"/>
                  <w:marBottom w:val="0"/>
                  <w:divBdr>
                    <w:top w:val="none" w:sz="0" w:space="0" w:color="auto"/>
                    <w:left w:val="none" w:sz="0" w:space="0" w:color="auto"/>
                    <w:bottom w:val="none" w:sz="0" w:space="0" w:color="auto"/>
                    <w:right w:val="none" w:sz="0" w:space="0" w:color="auto"/>
                  </w:divBdr>
                  <w:divsChild>
                    <w:div w:id="1477650919">
                      <w:marLeft w:val="0"/>
                      <w:marRight w:val="0"/>
                      <w:marTop w:val="0"/>
                      <w:marBottom w:val="0"/>
                      <w:divBdr>
                        <w:top w:val="none" w:sz="0" w:space="0" w:color="auto"/>
                        <w:left w:val="none" w:sz="0" w:space="0" w:color="auto"/>
                        <w:bottom w:val="none" w:sz="0" w:space="0" w:color="auto"/>
                        <w:right w:val="none" w:sz="0" w:space="0" w:color="auto"/>
                      </w:divBdr>
                      <w:divsChild>
                        <w:div w:id="618492161">
                          <w:marLeft w:val="0"/>
                          <w:marRight w:val="0"/>
                          <w:marTop w:val="0"/>
                          <w:marBottom w:val="0"/>
                          <w:divBdr>
                            <w:top w:val="none" w:sz="0" w:space="0" w:color="auto"/>
                            <w:left w:val="none" w:sz="0" w:space="0" w:color="auto"/>
                            <w:bottom w:val="none" w:sz="0" w:space="0" w:color="auto"/>
                            <w:right w:val="none" w:sz="0" w:space="0" w:color="auto"/>
                          </w:divBdr>
                          <w:divsChild>
                            <w:div w:id="59838880">
                              <w:marLeft w:val="0"/>
                              <w:marRight w:val="0"/>
                              <w:marTop w:val="120"/>
                              <w:marBottom w:val="360"/>
                              <w:divBdr>
                                <w:top w:val="none" w:sz="0" w:space="0" w:color="auto"/>
                                <w:left w:val="none" w:sz="0" w:space="0" w:color="auto"/>
                                <w:bottom w:val="none" w:sz="0" w:space="0" w:color="auto"/>
                                <w:right w:val="none" w:sz="0" w:space="0" w:color="auto"/>
                              </w:divBdr>
                              <w:divsChild>
                                <w:div w:id="35157033">
                                  <w:marLeft w:val="0"/>
                                  <w:marRight w:val="0"/>
                                  <w:marTop w:val="0"/>
                                  <w:marBottom w:val="0"/>
                                  <w:divBdr>
                                    <w:top w:val="none" w:sz="0" w:space="0" w:color="auto"/>
                                    <w:left w:val="none" w:sz="0" w:space="0" w:color="auto"/>
                                    <w:bottom w:val="none" w:sz="0" w:space="0" w:color="auto"/>
                                    <w:right w:val="none" w:sz="0" w:space="0" w:color="auto"/>
                                  </w:divBdr>
                                  <w:divsChild>
                                    <w:div w:id="826634304">
                                      <w:marLeft w:val="0"/>
                                      <w:marRight w:val="0"/>
                                      <w:marTop w:val="0"/>
                                      <w:marBottom w:val="0"/>
                                      <w:divBdr>
                                        <w:top w:val="none" w:sz="0" w:space="0" w:color="auto"/>
                                        <w:left w:val="none" w:sz="0" w:space="0" w:color="auto"/>
                                        <w:bottom w:val="none" w:sz="0" w:space="0" w:color="auto"/>
                                        <w:right w:val="none" w:sz="0" w:space="0" w:color="auto"/>
                                      </w:divBdr>
                                    </w:div>
                                  </w:divsChild>
                                </w:div>
                                <w:div w:id="222563088">
                                  <w:marLeft w:val="0"/>
                                  <w:marRight w:val="0"/>
                                  <w:marTop w:val="0"/>
                                  <w:marBottom w:val="0"/>
                                  <w:divBdr>
                                    <w:top w:val="none" w:sz="0" w:space="0" w:color="auto"/>
                                    <w:left w:val="none" w:sz="0" w:space="0" w:color="auto"/>
                                    <w:bottom w:val="none" w:sz="0" w:space="0" w:color="auto"/>
                                    <w:right w:val="none" w:sz="0" w:space="0" w:color="auto"/>
                                  </w:divBdr>
                                </w:div>
                                <w:div w:id="657195029">
                                  <w:marLeft w:val="0"/>
                                  <w:marRight w:val="0"/>
                                  <w:marTop w:val="0"/>
                                  <w:marBottom w:val="0"/>
                                  <w:divBdr>
                                    <w:top w:val="none" w:sz="0" w:space="0" w:color="auto"/>
                                    <w:left w:val="none" w:sz="0" w:space="0" w:color="auto"/>
                                    <w:bottom w:val="none" w:sz="0" w:space="0" w:color="auto"/>
                                    <w:right w:val="none" w:sz="0" w:space="0" w:color="auto"/>
                                  </w:divBdr>
                                  <w:divsChild>
                                    <w:div w:id="39135910">
                                      <w:marLeft w:val="0"/>
                                      <w:marRight w:val="0"/>
                                      <w:marTop w:val="0"/>
                                      <w:marBottom w:val="0"/>
                                      <w:divBdr>
                                        <w:top w:val="none" w:sz="0" w:space="0" w:color="auto"/>
                                        <w:left w:val="none" w:sz="0" w:space="0" w:color="auto"/>
                                        <w:bottom w:val="none" w:sz="0" w:space="0" w:color="auto"/>
                                        <w:right w:val="none" w:sz="0" w:space="0" w:color="auto"/>
                                      </w:divBdr>
                                    </w:div>
                                  </w:divsChild>
                                </w:div>
                                <w:div w:id="709693740">
                                  <w:marLeft w:val="0"/>
                                  <w:marRight w:val="0"/>
                                  <w:marTop w:val="0"/>
                                  <w:marBottom w:val="0"/>
                                  <w:divBdr>
                                    <w:top w:val="none" w:sz="0" w:space="0" w:color="auto"/>
                                    <w:left w:val="none" w:sz="0" w:space="0" w:color="auto"/>
                                    <w:bottom w:val="none" w:sz="0" w:space="0" w:color="auto"/>
                                    <w:right w:val="none" w:sz="0" w:space="0" w:color="auto"/>
                                  </w:divBdr>
                                </w:div>
                                <w:div w:id="110403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9985975">
      <w:bodyDiv w:val="1"/>
      <w:marLeft w:val="0"/>
      <w:marRight w:val="0"/>
      <w:marTop w:val="0"/>
      <w:marBottom w:val="0"/>
      <w:divBdr>
        <w:top w:val="none" w:sz="0" w:space="0" w:color="auto"/>
        <w:left w:val="none" w:sz="0" w:space="0" w:color="auto"/>
        <w:bottom w:val="none" w:sz="0" w:space="0" w:color="auto"/>
        <w:right w:val="none" w:sz="0" w:space="0" w:color="auto"/>
      </w:divBdr>
      <w:divsChild>
        <w:div w:id="734665771">
          <w:marLeft w:val="0"/>
          <w:marRight w:val="1"/>
          <w:marTop w:val="0"/>
          <w:marBottom w:val="0"/>
          <w:divBdr>
            <w:top w:val="none" w:sz="0" w:space="0" w:color="auto"/>
            <w:left w:val="none" w:sz="0" w:space="0" w:color="auto"/>
            <w:bottom w:val="none" w:sz="0" w:space="0" w:color="auto"/>
            <w:right w:val="none" w:sz="0" w:space="0" w:color="auto"/>
          </w:divBdr>
          <w:divsChild>
            <w:div w:id="1581257220">
              <w:marLeft w:val="0"/>
              <w:marRight w:val="0"/>
              <w:marTop w:val="0"/>
              <w:marBottom w:val="0"/>
              <w:divBdr>
                <w:top w:val="none" w:sz="0" w:space="0" w:color="auto"/>
                <w:left w:val="none" w:sz="0" w:space="0" w:color="auto"/>
                <w:bottom w:val="none" w:sz="0" w:space="0" w:color="auto"/>
                <w:right w:val="none" w:sz="0" w:space="0" w:color="auto"/>
              </w:divBdr>
              <w:divsChild>
                <w:div w:id="451947852">
                  <w:marLeft w:val="0"/>
                  <w:marRight w:val="1"/>
                  <w:marTop w:val="0"/>
                  <w:marBottom w:val="0"/>
                  <w:divBdr>
                    <w:top w:val="none" w:sz="0" w:space="0" w:color="auto"/>
                    <w:left w:val="none" w:sz="0" w:space="0" w:color="auto"/>
                    <w:bottom w:val="none" w:sz="0" w:space="0" w:color="auto"/>
                    <w:right w:val="none" w:sz="0" w:space="0" w:color="auto"/>
                  </w:divBdr>
                  <w:divsChild>
                    <w:div w:id="621032636">
                      <w:marLeft w:val="0"/>
                      <w:marRight w:val="0"/>
                      <w:marTop w:val="0"/>
                      <w:marBottom w:val="0"/>
                      <w:divBdr>
                        <w:top w:val="none" w:sz="0" w:space="0" w:color="auto"/>
                        <w:left w:val="none" w:sz="0" w:space="0" w:color="auto"/>
                        <w:bottom w:val="none" w:sz="0" w:space="0" w:color="auto"/>
                        <w:right w:val="none" w:sz="0" w:space="0" w:color="auto"/>
                      </w:divBdr>
                      <w:divsChild>
                        <w:div w:id="1335302594">
                          <w:marLeft w:val="0"/>
                          <w:marRight w:val="0"/>
                          <w:marTop w:val="0"/>
                          <w:marBottom w:val="0"/>
                          <w:divBdr>
                            <w:top w:val="none" w:sz="0" w:space="0" w:color="auto"/>
                            <w:left w:val="none" w:sz="0" w:space="0" w:color="auto"/>
                            <w:bottom w:val="none" w:sz="0" w:space="0" w:color="auto"/>
                            <w:right w:val="none" w:sz="0" w:space="0" w:color="auto"/>
                          </w:divBdr>
                          <w:divsChild>
                            <w:div w:id="1853109821">
                              <w:marLeft w:val="0"/>
                              <w:marRight w:val="0"/>
                              <w:marTop w:val="120"/>
                              <w:marBottom w:val="360"/>
                              <w:divBdr>
                                <w:top w:val="none" w:sz="0" w:space="0" w:color="auto"/>
                                <w:left w:val="none" w:sz="0" w:space="0" w:color="auto"/>
                                <w:bottom w:val="none" w:sz="0" w:space="0" w:color="auto"/>
                                <w:right w:val="none" w:sz="0" w:space="0" w:color="auto"/>
                              </w:divBdr>
                              <w:divsChild>
                                <w:div w:id="147865964">
                                  <w:marLeft w:val="0"/>
                                  <w:marRight w:val="0"/>
                                  <w:marTop w:val="0"/>
                                  <w:marBottom w:val="0"/>
                                  <w:divBdr>
                                    <w:top w:val="none" w:sz="0" w:space="0" w:color="auto"/>
                                    <w:left w:val="none" w:sz="0" w:space="0" w:color="auto"/>
                                    <w:bottom w:val="none" w:sz="0" w:space="0" w:color="auto"/>
                                    <w:right w:val="none" w:sz="0" w:space="0" w:color="auto"/>
                                  </w:divBdr>
                                  <w:divsChild>
                                    <w:div w:id="878205321">
                                      <w:marLeft w:val="0"/>
                                      <w:marRight w:val="0"/>
                                      <w:marTop w:val="0"/>
                                      <w:marBottom w:val="0"/>
                                      <w:divBdr>
                                        <w:top w:val="none" w:sz="0" w:space="0" w:color="auto"/>
                                        <w:left w:val="none" w:sz="0" w:space="0" w:color="auto"/>
                                        <w:bottom w:val="none" w:sz="0" w:space="0" w:color="auto"/>
                                        <w:right w:val="none" w:sz="0" w:space="0" w:color="auto"/>
                                      </w:divBdr>
                                    </w:div>
                                  </w:divsChild>
                                </w:div>
                                <w:div w:id="406615073">
                                  <w:marLeft w:val="0"/>
                                  <w:marRight w:val="0"/>
                                  <w:marTop w:val="0"/>
                                  <w:marBottom w:val="0"/>
                                  <w:divBdr>
                                    <w:top w:val="none" w:sz="0" w:space="0" w:color="auto"/>
                                    <w:left w:val="none" w:sz="0" w:space="0" w:color="auto"/>
                                    <w:bottom w:val="none" w:sz="0" w:space="0" w:color="auto"/>
                                    <w:right w:val="none" w:sz="0" w:space="0" w:color="auto"/>
                                  </w:divBdr>
                                </w:div>
                                <w:div w:id="869490510">
                                  <w:marLeft w:val="0"/>
                                  <w:marRight w:val="0"/>
                                  <w:marTop w:val="0"/>
                                  <w:marBottom w:val="0"/>
                                  <w:divBdr>
                                    <w:top w:val="none" w:sz="0" w:space="0" w:color="auto"/>
                                    <w:left w:val="none" w:sz="0" w:space="0" w:color="auto"/>
                                    <w:bottom w:val="none" w:sz="0" w:space="0" w:color="auto"/>
                                    <w:right w:val="none" w:sz="0" w:space="0" w:color="auto"/>
                                  </w:divBdr>
                                </w:div>
                                <w:div w:id="1566530030">
                                  <w:marLeft w:val="0"/>
                                  <w:marRight w:val="0"/>
                                  <w:marTop w:val="0"/>
                                  <w:marBottom w:val="0"/>
                                  <w:divBdr>
                                    <w:top w:val="none" w:sz="0" w:space="0" w:color="auto"/>
                                    <w:left w:val="none" w:sz="0" w:space="0" w:color="auto"/>
                                    <w:bottom w:val="none" w:sz="0" w:space="0" w:color="auto"/>
                                    <w:right w:val="none" w:sz="0" w:space="0" w:color="auto"/>
                                  </w:divBdr>
                                  <w:divsChild>
                                    <w:div w:id="1870028585">
                                      <w:marLeft w:val="0"/>
                                      <w:marRight w:val="0"/>
                                      <w:marTop w:val="0"/>
                                      <w:marBottom w:val="0"/>
                                      <w:divBdr>
                                        <w:top w:val="none" w:sz="0" w:space="0" w:color="auto"/>
                                        <w:left w:val="none" w:sz="0" w:space="0" w:color="auto"/>
                                        <w:bottom w:val="none" w:sz="0" w:space="0" w:color="auto"/>
                                        <w:right w:val="none" w:sz="0" w:space="0" w:color="auto"/>
                                      </w:divBdr>
                                    </w:div>
                                  </w:divsChild>
                                </w:div>
                                <w:div w:id="178291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933199">
      <w:bodyDiv w:val="1"/>
      <w:marLeft w:val="0"/>
      <w:marRight w:val="0"/>
      <w:marTop w:val="0"/>
      <w:marBottom w:val="0"/>
      <w:divBdr>
        <w:top w:val="none" w:sz="0" w:space="0" w:color="auto"/>
        <w:left w:val="none" w:sz="0" w:space="0" w:color="auto"/>
        <w:bottom w:val="none" w:sz="0" w:space="0" w:color="auto"/>
        <w:right w:val="none" w:sz="0" w:space="0" w:color="auto"/>
      </w:divBdr>
    </w:div>
    <w:div w:id="768738031">
      <w:bodyDiv w:val="1"/>
      <w:marLeft w:val="0"/>
      <w:marRight w:val="0"/>
      <w:marTop w:val="0"/>
      <w:marBottom w:val="0"/>
      <w:divBdr>
        <w:top w:val="none" w:sz="0" w:space="0" w:color="auto"/>
        <w:left w:val="none" w:sz="0" w:space="0" w:color="auto"/>
        <w:bottom w:val="none" w:sz="0" w:space="0" w:color="auto"/>
        <w:right w:val="none" w:sz="0" w:space="0" w:color="auto"/>
      </w:divBdr>
    </w:div>
    <w:div w:id="810563143">
      <w:bodyDiv w:val="1"/>
      <w:marLeft w:val="0"/>
      <w:marRight w:val="0"/>
      <w:marTop w:val="0"/>
      <w:marBottom w:val="0"/>
      <w:divBdr>
        <w:top w:val="none" w:sz="0" w:space="0" w:color="auto"/>
        <w:left w:val="none" w:sz="0" w:space="0" w:color="auto"/>
        <w:bottom w:val="none" w:sz="0" w:space="0" w:color="auto"/>
        <w:right w:val="none" w:sz="0" w:space="0" w:color="auto"/>
      </w:divBdr>
      <w:divsChild>
        <w:div w:id="690104808">
          <w:marLeft w:val="0"/>
          <w:marRight w:val="0"/>
          <w:marTop w:val="288"/>
          <w:marBottom w:val="100"/>
          <w:divBdr>
            <w:top w:val="none" w:sz="0" w:space="0" w:color="auto"/>
            <w:left w:val="none" w:sz="0" w:space="0" w:color="auto"/>
            <w:bottom w:val="none" w:sz="0" w:space="0" w:color="auto"/>
            <w:right w:val="none" w:sz="0" w:space="0" w:color="auto"/>
          </w:divBdr>
          <w:divsChild>
            <w:div w:id="2098744990">
              <w:marLeft w:val="0"/>
              <w:marRight w:val="0"/>
              <w:marTop w:val="0"/>
              <w:marBottom w:val="0"/>
              <w:divBdr>
                <w:top w:val="none" w:sz="0" w:space="0" w:color="auto"/>
                <w:left w:val="none" w:sz="0" w:space="0" w:color="auto"/>
                <w:bottom w:val="none" w:sz="0" w:space="0" w:color="auto"/>
                <w:right w:val="none" w:sz="0" w:space="0" w:color="auto"/>
              </w:divBdr>
            </w:div>
          </w:divsChild>
        </w:div>
        <w:div w:id="1001087073">
          <w:marLeft w:val="0"/>
          <w:marRight w:val="0"/>
          <w:marTop w:val="240"/>
          <w:marBottom w:val="100"/>
          <w:divBdr>
            <w:top w:val="none" w:sz="0" w:space="0" w:color="auto"/>
            <w:left w:val="none" w:sz="0" w:space="0" w:color="auto"/>
            <w:bottom w:val="none" w:sz="0" w:space="0" w:color="auto"/>
            <w:right w:val="none" w:sz="0" w:space="0" w:color="auto"/>
          </w:divBdr>
          <w:divsChild>
            <w:div w:id="174460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20675">
      <w:bodyDiv w:val="1"/>
      <w:marLeft w:val="0"/>
      <w:marRight w:val="0"/>
      <w:marTop w:val="0"/>
      <w:marBottom w:val="0"/>
      <w:divBdr>
        <w:top w:val="none" w:sz="0" w:space="0" w:color="auto"/>
        <w:left w:val="none" w:sz="0" w:space="0" w:color="auto"/>
        <w:bottom w:val="none" w:sz="0" w:space="0" w:color="auto"/>
        <w:right w:val="none" w:sz="0" w:space="0" w:color="auto"/>
      </w:divBdr>
      <w:divsChild>
        <w:div w:id="855729789">
          <w:marLeft w:val="0"/>
          <w:marRight w:val="0"/>
          <w:marTop w:val="288"/>
          <w:marBottom w:val="100"/>
          <w:divBdr>
            <w:top w:val="none" w:sz="0" w:space="0" w:color="auto"/>
            <w:left w:val="none" w:sz="0" w:space="0" w:color="auto"/>
            <w:bottom w:val="none" w:sz="0" w:space="0" w:color="auto"/>
            <w:right w:val="none" w:sz="0" w:space="0" w:color="auto"/>
          </w:divBdr>
          <w:divsChild>
            <w:div w:id="547955375">
              <w:marLeft w:val="0"/>
              <w:marRight w:val="0"/>
              <w:marTop w:val="0"/>
              <w:marBottom w:val="0"/>
              <w:divBdr>
                <w:top w:val="none" w:sz="0" w:space="0" w:color="auto"/>
                <w:left w:val="none" w:sz="0" w:space="0" w:color="auto"/>
                <w:bottom w:val="none" w:sz="0" w:space="0" w:color="auto"/>
                <w:right w:val="none" w:sz="0" w:space="0" w:color="auto"/>
              </w:divBdr>
            </w:div>
          </w:divsChild>
        </w:div>
        <w:div w:id="1994751293">
          <w:marLeft w:val="0"/>
          <w:marRight w:val="0"/>
          <w:marTop w:val="288"/>
          <w:marBottom w:val="100"/>
          <w:divBdr>
            <w:top w:val="none" w:sz="0" w:space="0" w:color="auto"/>
            <w:left w:val="none" w:sz="0" w:space="0" w:color="auto"/>
            <w:bottom w:val="none" w:sz="0" w:space="0" w:color="auto"/>
            <w:right w:val="none" w:sz="0" w:space="0" w:color="auto"/>
          </w:divBdr>
          <w:divsChild>
            <w:div w:id="4896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79158">
      <w:bodyDiv w:val="1"/>
      <w:marLeft w:val="0"/>
      <w:marRight w:val="0"/>
      <w:marTop w:val="0"/>
      <w:marBottom w:val="0"/>
      <w:divBdr>
        <w:top w:val="none" w:sz="0" w:space="0" w:color="auto"/>
        <w:left w:val="none" w:sz="0" w:space="0" w:color="auto"/>
        <w:bottom w:val="none" w:sz="0" w:space="0" w:color="auto"/>
        <w:right w:val="none" w:sz="0" w:space="0" w:color="auto"/>
      </w:divBdr>
      <w:divsChild>
        <w:div w:id="1182432253">
          <w:marLeft w:val="0"/>
          <w:marRight w:val="1"/>
          <w:marTop w:val="0"/>
          <w:marBottom w:val="0"/>
          <w:divBdr>
            <w:top w:val="none" w:sz="0" w:space="0" w:color="auto"/>
            <w:left w:val="none" w:sz="0" w:space="0" w:color="auto"/>
            <w:bottom w:val="none" w:sz="0" w:space="0" w:color="auto"/>
            <w:right w:val="none" w:sz="0" w:space="0" w:color="auto"/>
          </w:divBdr>
          <w:divsChild>
            <w:div w:id="840508947">
              <w:marLeft w:val="0"/>
              <w:marRight w:val="0"/>
              <w:marTop w:val="0"/>
              <w:marBottom w:val="0"/>
              <w:divBdr>
                <w:top w:val="none" w:sz="0" w:space="0" w:color="auto"/>
                <w:left w:val="none" w:sz="0" w:space="0" w:color="auto"/>
                <w:bottom w:val="none" w:sz="0" w:space="0" w:color="auto"/>
                <w:right w:val="none" w:sz="0" w:space="0" w:color="auto"/>
              </w:divBdr>
              <w:divsChild>
                <w:div w:id="1972052565">
                  <w:marLeft w:val="0"/>
                  <w:marRight w:val="1"/>
                  <w:marTop w:val="0"/>
                  <w:marBottom w:val="0"/>
                  <w:divBdr>
                    <w:top w:val="none" w:sz="0" w:space="0" w:color="auto"/>
                    <w:left w:val="none" w:sz="0" w:space="0" w:color="auto"/>
                    <w:bottom w:val="none" w:sz="0" w:space="0" w:color="auto"/>
                    <w:right w:val="none" w:sz="0" w:space="0" w:color="auto"/>
                  </w:divBdr>
                  <w:divsChild>
                    <w:div w:id="128713221">
                      <w:marLeft w:val="0"/>
                      <w:marRight w:val="0"/>
                      <w:marTop w:val="0"/>
                      <w:marBottom w:val="0"/>
                      <w:divBdr>
                        <w:top w:val="none" w:sz="0" w:space="0" w:color="auto"/>
                        <w:left w:val="none" w:sz="0" w:space="0" w:color="auto"/>
                        <w:bottom w:val="none" w:sz="0" w:space="0" w:color="auto"/>
                        <w:right w:val="none" w:sz="0" w:space="0" w:color="auto"/>
                      </w:divBdr>
                      <w:divsChild>
                        <w:div w:id="1382166154">
                          <w:marLeft w:val="0"/>
                          <w:marRight w:val="0"/>
                          <w:marTop w:val="0"/>
                          <w:marBottom w:val="0"/>
                          <w:divBdr>
                            <w:top w:val="none" w:sz="0" w:space="0" w:color="auto"/>
                            <w:left w:val="none" w:sz="0" w:space="0" w:color="auto"/>
                            <w:bottom w:val="none" w:sz="0" w:space="0" w:color="auto"/>
                            <w:right w:val="none" w:sz="0" w:space="0" w:color="auto"/>
                          </w:divBdr>
                          <w:divsChild>
                            <w:div w:id="1269855255">
                              <w:marLeft w:val="0"/>
                              <w:marRight w:val="0"/>
                              <w:marTop w:val="120"/>
                              <w:marBottom w:val="360"/>
                              <w:divBdr>
                                <w:top w:val="none" w:sz="0" w:space="0" w:color="auto"/>
                                <w:left w:val="none" w:sz="0" w:space="0" w:color="auto"/>
                                <w:bottom w:val="none" w:sz="0" w:space="0" w:color="auto"/>
                                <w:right w:val="none" w:sz="0" w:space="0" w:color="auto"/>
                              </w:divBdr>
                              <w:divsChild>
                                <w:div w:id="154300139">
                                  <w:marLeft w:val="0"/>
                                  <w:marRight w:val="0"/>
                                  <w:marTop w:val="0"/>
                                  <w:marBottom w:val="0"/>
                                  <w:divBdr>
                                    <w:top w:val="none" w:sz="0" w:space="0" w:color="auto"/>
                                    <w:left w:val="none" w:sz="0" w:space="0" w:color="auto"/>
                                    <w:bottom w:val="none" w:sz="0" w:space="0" w:color="auto"/>
                                    <w:right w:val="none" w:sz="0" w:space="0" w:color="auto"/>
                                  </w:divBdr>
                                  <w:divsChild>
                                    <w:div w:id="1566993946">
                                      <w:marLeft w:val="0"/>
                                      <w:marRight w:val="0"/>
                                      <w:marTop w:val="0"/>
                                      <w:marBottom w:val="0"/>
                                      <w:divBdr>
                                        <w:top w:val="none" w:sz="0" w:space="0" w:color="auto"/>
                                        <w:left w:val="none" w:sz="0" w:space="0" w:color="auto"/>
                                        <w:bottom w:val="none" w:sz="0" w:space="0" w:color="auto"/>
                                        <w:right w:val="none" w:sz="0" w:space="0" w:color="auto"/>
                                      </w:divBdr>
                                    </w:div>
                                  </w:divsChild>
                                </w:div>
                                <w:div w:id="354238196">
                                  <w:marLeft w:val="0"/>
                                  <w:marRight w:val="0"/>
                                  <w:marTop w:val="0"/>
                                  <w:marBottom w:val="0"/>
                                  <w:divBdr>
                                    <w:top w:val="none" w:sz="0" w:space="0" w:color="auto"/>
                                    <w:left w:val="none" w:sz="0" w:space="0" w:color="auto"/>
                                    <w:bottom w:val="none" w:sz="0" w:space="0" w:color="auto"/>
                                    <w:right w:val="none" w:sz="0" w:space="0" w:color="auto"/>
                                  </w:divBdr>
                                </w:div>
                                <w:div w:id="962348169">
                                  <w:marLeft w:val="0"/>
                                  <w:marRight w:val="0"/>
                                  <w:marTop w:val="0"/>
                                  <w:marBottom w:val="0"/>
                                  <w:divBdr>
                                    <w:top w:val="none" w:sz="0" w:space="0" w:color="auto"/>
                                    <w:left w:val="none" w:sz="0" w:space="0" w:color="auto"/>
                                    <w:bottom w:val="none" w:sz="0" w:space="0" w:color="auto"/>
                                    <w:right w:val="none" w:sz="0" w:space="0" w:color="auto"/>
                                  </w:divBdr>
                                </w:div>
                                <w:div w:id="1130633712">
                                  <w:marLeft w:val="0"/>
                                  <w:marRight w:val="0"/>
                                  <w:marTop w:val="0"/>
                                  <w:marBottom w:val="0"/>
                                  <w:divBdr>
                                    <w:top w:val="none" w:sz="0" w:space="0" w:color="auto"/>
                                    <w:left w:val="none" w:sz="0" w:space="0" w:color="auto"/>
                                    <w:bottom w:val="none" w:sz="0" w:space="0" w:color="auto"/>
                                    <w:right w:val="none" w:sz="0" w:space="0" w:color="auto"/>
                                  </w:divBdr>
                                </w:div>
                                <w:div w:id="1246306305">
                                  <w:marLeft w:val="0"/>
                                  <w:marRight w:val="0"/>
                                  <w:marTop w:val="0"/>
                                  <w:marBottom w:val="0"/>
                                  <w:divBdr>
                                    <w:top w:val="none" w:sz="0" w:space="0" w:color="auto"/>
                                    <w:left w:val="none" w:sz="0" w:space="0" w:color="auto"/>
                                    <w:bottom w:val="none" w:sz="0" w:space="0" w:color="auto"/>
                                    <w:right w:val="none" w:sz="0" w:space="0" w:color="auto"/>
                                  </w:divBdr>
                                  <w:divsChild>
                                    <w:div w:id="16315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3105087">
      <w:bodyDiv w:val="1"/>
      <w:marLeft w:val="0"/>
      <w:marRight w:val="0"/>
      <w:marTop w:val="0"/>
      <w:marBottom w:val="0"/>
      <w:divBdr>
        <w:top w:val="none" w:sz="0" w:space="0" w:color="auto"/>
        <w:left w:val="none" w:sz="0" w:space="0" w:color="auto"/>
        <w:bottom w:val="none" w:sz="0" w:space="0" w:color="auto"/>
        <w:right w:val="none" w:sz="0" w:space="0" w:color="auto"/>
      </w:divBdr>
      <w:divsChild>
        <w:div w:id="493956154">
          <w:marLeft w:val="0"/>
          <w:marRight w:val="1"/>
          <w:marTop w:val="0"/>
          <w:marBottom w:val="0"/>
          <w:divBdr>
            <w:top w:val="none" w:sz="0" w:space="0" w:color="auto"/>
            <w:left w:val="none" w:sz="0" w:space="0" w:color="auto"/>
            <w:bottom w:val="none" w:sz="0" w:space="0" w:color="auto"/>
            <w:right w:val="none" w:sz="0" w:space="0" w:color="auto"/>
          </w:divBdr>
          <w:divsChild>
            <w:div w:id="1742602768">
              <w:marLeft w:val="0"/>
              <w:marRight w:val="0"/>
              <w:marTop w:val="0"/>
              <w:marBottom w:val="0"/>
              <w:divBdr>
                <w:top w:val="none" w:sz="0" w:space="0" w:color="auto"/>
                <w:left w:val="none" w:sz="0" w:space="0" w:color="auto"/>
                <w:bottom w:val="none" w:sz="0" w:space="0" w:color="auto"/>
                <w:right w:val="none" w:sz="0" w:space="0" w:color="auto"/>
              </w:divBdr>
              <w:divsChild>
                <w:div w:id="864831606">
                  <w:marLeft w:val="0"/>
                  <w:marRight w:val="1"/>
                  <w:marTop w:val="0"/>
                  <w:marBottom w:val="0"/>
                  <w:divBdr>
                    <w:top w:val="none" w:sz="0" w:space="0" w:color="auto"/>
                    <w:left w:val="none" w:sz="0" w:space="0" w:color="auto"/>
                    <w:bottom w:val="none" w:sz="0" w:space="0" w:color="auto"/>
                    <w:right w:val="none" w:sz="0" w:space="0" w:color="auto"/>
                  </w:divBdr>
                  <w:divsChild>
                    <w:div w:id="94710545">
                      <w:marLeft w:val="0"/>
                      <w:marRight w:val="0"/>
                      <w:marTop w:val="0"/>
                      <w:marBottom w:val="0"/>
                      <w:divBdr>
                        <w:top w:val="none" w:sz="0" w:space="0" w:color="auto"/>
                        <w:left w:val="none" w:sz="0" w:space="0" w:color="auto"/>
                        <w:bottom w:val="none" w:sz="0" w:space="0" w:color="auto"/>
                        <w:right w:val="none" w:sz="0" w:space="0" w:color="auto"/>
                      </w:divBdr>
                      <w:divsChild>
                        <w:div w:id="1435905881">
                          <w:marLeft w:val="0"/>
                          <w:marRight w:val="0"/>
                          <w:marTop w:val="0"/>
                          <w:marBottom w:val="0"/>
                          <w:divBdr>
                            <w:top w:val="none" w:sz="0" w:space="0" w:color="auto"/>
                            <w:left w:val="none" w:sz="0" w:space="0" w:color="auto"/>
                            <w:bottom w:val="none" w:sz="0" w:space="0" w:color="auto"/>
                            <w:right w:val="none" w:sz="0" w:space="0" w:color="auto"/>
                          </w:divBdr>
                          <w:divsChild>
                            <w:div w:id="564337451">
                              <w:marLeft w:val="0"/>
                              <w:marRight w:val="0"/>
                              <w:marTop w:val="120"/>
                              <w:marBottom w:val="360"/>
                              <w:divBdr>
                                <w:top w:val="none" w:sz="0" w:space="0" w:color="auto"/>
                                <w:left w:val="none" w:sz="0" w:space="0" w:color="auto"/>
                                <w:bottom w:val="none" w:sz="0" w:space="0" w:color="auto"/>
                                <w:right w:val="none" w:sz="0" w:space="0" w:color="auto"/>
                              </w:divBdr>
                              <w:divsChild>
                                <w:div w:id="176625790">
                                  <w:marLeft w:val="0"/>
                                  <w:marRight w:val="0"/>
                                  <w:marTop w:val="0"/>
                                  <w:marBottom w:val="0"/>
                                  <w:divBdr>
                                    <w:top w:val="none" w:sz="0" w:space="0" w:color="auto"/>
                                    <w:left w:val="none" w:sz="0" w:space="0" w:color="auto"/>
                                    <w:bottom w:val="none" w:sz="0" w:space="0" w:color="auto"/>
                                    <w:right w:val="none" w:sz="0" w:space="0" w:color="auto"/>
                                  </w:divBdr>
                                  <w:divsChild>
                                    <w:div w:id="1789816019">
                                      <w:marLeft w:val="0"/>
                                      <w:marRight w:val="0"/>
                                      <w:marTop w:val="0"/>
                                      <w:marBottom w:val="0"/>
                                      <w:divBdr>
                                        <w:top w:val="none" w:sz="0" w:space="0" w:color="auto"/>
                                        <w:left w:val="none" w:sz="0" w:space="0" w:color="auto"/>
                                        <w:bottom w:val="none" w:sz="0" w:space="0" w:color="auto"/>
                                        <w:right w:val="none" w:sz="0" w:space="0" w:color="auto"/>
                                      </w:divBdr>
                                    </w:div>
                                  </w:divsChild>
                                </w:div>
                                <w:div w:id="394282345">
                                  <w:marLeft w:val="0"/>
                                  <w:marRight w:val="0"/>
                                  <w:marTop w:val="0"/>
                                  <w:marBottom w:val="0"/>
                                  <w:divBdr>
                                    <w:top w:val="none" w:sz="0" w:space="0" w:color="auto"/>
                                    <w:left w:val="none" w:sz="0" w:space="0" w:color="auto"/>
                                    <w:bottom w:val="none" w:sz="0" w:space="0" w:color="auto"/>
                                    <w:right w:val="none" w:sz="0" w:space="0" w:color="auto"/>
                                  </w:divBdr>
                                </w:div>
                                <w:div w:id="630870174">
                                  <w:marLeft w:val="0"/>
                                  <w:marRight w:val="0"/>
                                  <w:marTop w:val="0"/>
                                  <w:marBottom w:val="0"/>
                                  <w:divBdr>
                                    <w:top w:val="none" w:sz="0" w:space="0" w:color="auto"/>
                                    <w:left w:val="none" w:sz="0" w:space="0" w:color="auto"/>
                                    <w:bottom w:val="none" w:sz="0" w:space="0" w:color="auto"/>
                                    <w:right w:val="none" w:sz="0" w:space="0" w:color="auto"/>
                                  </w:divBdr>
                                  <w:divsChild>
                                    <w:div w:id="1574269988">
                                      <w:marLeft w:val="0"/>
                                      <w:marRight w:val="0"/>
                                      <w:marTop w:val="0"/>
                                      <w:marBottom w:val="0"/>
                                      <w:divBdr>
                                        <w:top w:val="none" w:sz="0" w:space="0" w:color="auto"/>
                                        <w:left w:val="none" w:sz="0" w:space="0" w:color="auto"/>
                                        <w:bottom w:val="none" w:sz="0" w:space="0" w:color="auto"/>
                                        <w:right w:val="none" w:sz="0" w:space="0" w:color="auto"/>
                                      </w:divBdr>
                                    </w:div>
                                  </w:divsChild>
                                </w:div>
                                <w:div w:id="786660238">
                                  <w:marLeft w:val="0"/>
                                  <w:marRight w:val="0"/>
                                  <w:marTop w:val="0"/>
                                  <w:marBottom w:val="0"/>
                                  <w:divBdr>
                                    <w:top w:val="none" w:sz="0" w:space="0" w:color="auto"/>
                                    <w:left w:val="none" w:sz="0" w:space="0" w:color="auto"/>
                                    <w:bottom w:val="none" w:sz="0" w:space="0" w:color="auto"/>
                                    <w:right w:val="none" w:sz="0" w:space="0" w:color="auto"/>
                                  </w:divBdr>
                                </w:div>
                                <w:div w:id="1211915902">
                                  <w:marLeft w:val="0"/>
                                  <w:marRight w:val="0"/>
                                  <w:marTop w:val="0"/>
                                  <w:marBottom w:val="0"/>
                                  <w:divBdr>
                                    <w:top w:val="none" w:sz="0" w:space="0" w:color="auto"/>
                                    <w:left w:val="none" w:sz="0" w:space="0" w:color="auto"/>
                                    <w:bottom w:val="none" w:sz="0" w:space="0" w:color="auto"/>
                                    <w:right w:val="none" w:sz="0" w:space="0" w:color="auto"/>
                                  </w:divBdr>
                                </w:div>
                                <w:div w:id="195343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8972739">
      <w:bodyDiv w:val="1"/>
      <w:marLeft w:val="0"/>
      <w:marRight w:val="0"/>
      <w:marTop w:val="0"/>
      <w:marBottom w:val="0"/>
      <w:divBdr>
        <w:top w:val="none" w:sz="0" w:space="0" w:color="auto"/>
        <w:left w:val="none" w:sz="0" w:space="0" w:color="auto"/>
        <w:bottom w:val="none" w:sz="0" w:space="0" w:color="auto"/>
        <w:right w:val="none" w:sz="0" w:space="0" w:color="auto"/>
      </w:divBdr>
    </w:div>
    <w:div w:id="1074546012">
      <w:bodyDiv w:val="1"/>
      <w:marLeft w:val="0"/>
      <w:marRight w:val="0"/>
      <w:marTop w:val="0"/>
      <w:marBottom w:val="0"/>
      <w:divBdr>
        <w:top w:val="none" w:sz="0" w:space="0" w:color="auto"/>
        <w:left w:val="none" w:sz="0" w:space="0" w:color="auto"/>
        <w:bottom w:val="none" w:sz="0" w:space="0" w:color="auto"/>
        <w:right w:val="none" w:sz="0" w:space="0" w:color="auto"/>
      </w:divBdr>
      <w:divsChild>
        <w:div w:id="440148774">
          <w:marLeft w:val="0"/>
          <w:marRight w:val="0"/>
          <w:marTop w:val="288"/>
          <w:marBottom w:val="100"/>
          <w:divBdr>
            <w:top w:val="none" w:sz="0" w:space="0" w:color="auto"/>
            <w:left w:val="none" w:sz="0" w:space="0" w:color="auto"/>
            <w:bottom w:val="none" w:sz="0" w:space="0" w:color="auto"/>
            <w:right w:val="none" w:sz="0" w:space="0" w:color="auto"/>
          </w:divBdr>
          <w:divsChild>
            <w:div w:id="824206100">
              <w:marLeft w:val="0"/>
              <w:marRight w:val="0"/>
              <w:marTop w:val="0"/>
              <w:marBottom w:val="0"/>
              <w:divBdr>
                <w:top w:val="none" w:sz="0" w:space="0" w:color="auto"/>
                <w:left w:val="none" w:sz="0" w:space="0" w:color="auto"/>
                <w:bottom w:val="none" w:sz="0" w:space="0" w:color="auto"/>
                <w:right w:val="none" w:sz="0" w:space="0" w:color="auto"/>
              </w:divBdr>
            </w:div>
          </w:divsChild>
        </w:div>
        <w:div w:id="2011062073">
          <w:marLeft w:val="0"/>
          <w:marRight w:val="0"/>
          <w:marTop w:val="288"/>
          <w:marBottom w:val="100"/>
          <w:divBdr>
            <w:top w:val="none" w:sz="0" w:space="0" w:color="auto"/>
            <w:left w:val="none" w:sz="0" w:space="0" w:color="auto"/>
            <w:bottom w:val="none" w:sz="0" w:space="0" w:color="auto"/>
            <w:right w:val="none" w:sz="0" w:space="0" w:color="auto"/>
          </w:divBdr>
          <w:divsChild>
            <w:div w:id="193685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400723">
      <w:bodyDiv w:val="1"/>
      <w:marLeft w:val="0"/>
      <w:marRight w:val="0"/>
      <w:marTop w:val="0"/>
      <w:marBottom w:val="0"/>
      <w:divBdr>
        <w:top w:val="none" w:sz="0" w:space="0" w:color="auto"/>
        <w:left w:val="none" w:sz="0" w:space="0" w:color="auto"/>
        <w:bottom w:val="none" w:sz="0" w:space="0" w:color="auto"/>
        <w:right w:val="none" w:sz="0" w:space="0" w:color="auto"/>
      </w:divBdr>
      <w:divsChild>
        <w:div w:id="881089514">
          <w:marLeft w:val="0"/>
          <w:marRight w:val="1"/>
          <w:marTop w:val="0"/>
          <w:marBottom w:val="0"/>
          <w:divBdr>
            <w:top w:val="none" w:sz="0" w:space="0" w:color="auto"/>
            <w:left w:val="none" w:sz="0" w:space="0" w:color="auto"/>
            <w:bottom w:val="none" w:sz="0" w:space="0" w:color="auto"/>
            <w:right w:val="none" w:sz="0" w:space="0" w:color="auto"/>
          </w:divBdr>
          <w:divsChild>
            <w:div w:id="942112021">
              <w:marLeft w:val="0"/>
              <w:marRight w:val="0"/>
              <w:marTop w:val="0"/>
              <w:marBottom w:val="0"/>
              <w:divBdr>
                <w:top w:val="none" w:sz="0" w:space="0" w:color="auto"/>
                <w:left w:val="none" w:sz="0" w:space="0" w:color="auto"/>
                <w:bottom w:val="none" w:sz="0" w:space="0" w:color="auto"/>
                <w:right w:val="none" w:sz="0" w:space="0" w:color="auto"/>
              </w:divBdr>
              <w:divsChild>
                <w:div w:id="1100638710">
                  <w:marLeft w:val="0"/>
                  <w:marRight w:val="1"/>
                  <w:marTop w:val="0"/>
                  <w:marBottom w:val="0"/>
                  <w:divBdr>
                    <w:top w:val="none" w:sz="0" w:space="0" w:color="auto"/>
                    <w:left w:val="none" w:sz="0" w:space="0" w:color="auto"/>
                    <w:bottom w:val="none" w:sz="0" w:space="0" w:color="auto"/>
                    <w:right w:val="none" w:sz="0" w:space="0" w:color="auto"/>
                  </w:divBdr>
                  <w:divsChild>
                    <w:div w:id="542133462">
                      <w:marLeft w:val="0"/>
                      <w:marRight w:val="0"/>
                      <w:marTop w:val="0"/>
                      <w:marBottom w:val="0"/>
                      <w:divBdr>
                        <w:top w:val="none" w:sz="0" w:space="0" w:color="auto"/>
                        <w:left w:val="none" w:sz="0" w:space="0" w:color="auto"/>
                        <w:bottom w:val="none" w:sz="0" w:space="0" w:color="auto"/>
                        <w:right w:val="none" w:sz="0" w:space="0" w:color="auto"/>
                      </w:divBdr>
                      <w:divsChild>
                        <w:div w:id="522784826">
                          <w:marLeft w:val="0"/>
                          <w:marRight w:val="0"/>
                          <w:marTop w:val="0"/>
                          <w:marBottom w:val="0"/>
                          <w:divBdr>
                            <w:top w:val="none" w:sz="0" w:space="0" w:color="auto"/>
                            <w:left w:val="none" w:sz="0" w:space="0" w:color="auto"/>
                            <w:bottom w:val="none" w:sz="0" w:space="0" w:color="auto"/>
                            <w:right w:val="none" w:sz="0" w:space="0" w:color="auto"/>
                          </w:divBdr>
                          <w:divsChild>
                            <w:div w:id="1241599542">
                              <w:marLeft w:val="0"/>
                              <w:marRight w:val="0"/>
                              <w:marTop w:val="120"/>
                              <w:marBottom w:val="360"/>
                              <w:divBdr>
                                <w:top w:val="none" w:sz="0" w:space="0" w:color="auto"/>
                                <w:left w:val="none" w:sz="0" w:space="0" w:color="auto"/>
                                <w:bottom w:val="none" w:sz="0" w:space="0" w:color="auto"/>
                                <w:right w:val="none" w:sz="0" w:space="0" w:color="auto"/>
                              </w:divBdr>
                              <w:divsChild>
                                <w:div w:id="30619208">
                                  <w:marLeft w:val="0"/>
                                  <w:marRight w:val="0"/>
                                  <w:marTop w:val="0"/>
                                  <w:marBottom w:val="0"/>
                                  <w:divBdr>
                                    <w:top w:val="none" w:sz="0" w:space="0" w:color="auto"/>
                                    <w:left w:val="none" w:sz="0" w:space="0" w:color="auto"/>
                                    <w:bottom w:val="none" w:sz="0" w:space="0" w:color="auto"/>
                                    <w:right w:val="none" w:sz="0" w:space="0" w:color="auto"/>
                                  </w:divBdr>
                                </w:div>
                                <w:div w:id="463352433">
                                  <w:marLeft w:val="0"/>
                                  <w:marRight w:val="0"/>
                                  <w:marTop w:val="0"/>
                                  <w:marBottom w:val="0"/>
                                  <w:divBdr>
                                    <w:top w:val="none" w:sz="0" w:space="0" w:color="auto"/>
                                    <w:left w:val="none" w:sz="0" w:space="0" w:color="auto"/>
                                    <w:bottom w:val="none" w:sz="0" w:space="0" w:color="auto"/>
                                    <w:right w:val="none" w:sz="0" w:space="0" w:color="auto"/>
                                  </w:divBdr>
                                  <w:divsChild>
                                    <w:div w:id="291983493">
                                      <w:marLeft w:val="0"/>
                                      <w:marRight w:val="0"/>
                                      <w:marTop w:val="0"/>
                                      <w:marBottom w:val="0"/>
                                      <w:divBdr>
                                        <w:top w:val="none" w:sz="0" w:space="0" w:color="auto"/>
                                        <w:left w:val="none" w:sz="0" w:space="0" w:color="auto"/>
                                        <w:bottom w:val="none" w:sz="0" w:space="0" w:color="auto"/>
                                        <w:right w:val="none" w:sz="0" w:space="0" w:color="auto"/>
                                      </w:divBdr>
                                    </w:div>
                                  </w:divsChild>
                                </w:div>
                                <w:div w:id="672949918">
                                  <w:marLeft w:val="0"/>
                                  <w:marRight w:val="0"/>
                                  <w:marTop w:val="0"/>
                                  <w:marBottom w:val="0"/>
                                  <w:divBdr>
                                    <w:top w:val="none" w:sz="0" w:space="0" w:color="auto"/>
                                    <w:left w:val="none" w:sz="0" w:space="0" w:color="auto"/>
                                    <w:bottom w:val="none" w:sz="0" w:space="0" w:color="auto"/>
                                    <w:right w:val="none" w:sz="0" w:space="0" w:color="auto"/>
                                  </w:divBdr>
                                </w:div>
                                <w:div w:id="1252742899">
                                  <w:marLeft w:val="0"/>
                                  <w:marRight w:val="0"/>
                                  <w:marTop w:val="0"/>
                                  <w:marBottom w:val="0"/>
                                  <w:divBdr>
                                    <w:top w:val="none" w:sz="0" w:space="0" w:color="auto"/>
                                    <w:left w:val="none" w:sz="0" w:space="0" w:color="auto"/>
                                    <w:bottom w:val="none" w:sz="0" w:space="0" w:color="auto"/>
                                    <w:right w:val="none" w:sz="0" w:space="0" w:color="auto"/>
                                  </w:divBdr>
                                  <w:divsChild>
                                    <w:div w:id="777679839">
                                      <w:marLeft w:val="0"/>
                                      <w:marRight w:val="0"/>
                                      <w:marTop w:val="0"/>
                                      <w:marBottom w:val="0"/>
                                      <w:divBdr>
                                        <w:top w:val="none" w:sz="0" w:space="0" w:color="auto"/>
                                        <w:left w:val="none" w:sz="0" w:space="0" w:color="auto"/>
                                        <w:bottom w:val="none" w:sz="0" w:space="0" w:color="auto"/>
                                        <w:right w:val="none" w:sz="0" w:space="0" w:color="auto"/>
                                      </w:divBdr>
                                    </w:div>
                                  </w:divsChild>
                                </w:div>
                                <w:div w:id="190155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1702445">
      <w:bodyDiv w:val="1"/>
      <w:marLeft w:val="0"/>
      <w:marRight w:val="0"/>
      <w:marTop w:val="0"/>
      <w:marBottom w:val="0"/>
      <w:divBdr>
        <w:top w:val="none" w:sz="0" w:space="0" w:color="auto"/>
        <w:left w:val="none" w:sz="0" w:space="0" w:color="auto"/>
        <w:bottom w:val="none" w:sz="0" w:space="0" w:color="auto"/>
        <w:right w:val="none" w:sz="0" w:space="0" w:color="auto"/>
      </w:divBdr>
    </w:div>
    <w:div w:id="1107115095">
      <w:bodyDiv w:val="1"/>
      <w:marLeft w:val="0"/>
      <w:marRight w:val="0"/>
      <w:marTop w:val="0"/>
      <w:marBottom w:val="0"/>
      <w:divBdr>
        <w:top w:val="none" w:sz="0" w:space="0" w:color="auto"/>
        <w:left w:val="none" w:sz="0" w:space="0" w:color="auto"/>
        <w:bottom w:val="none" w:sz="0" w:space="0" w:color="auto"/>
        <w:right w:val="none" w:sz="0" w:space="0" w:color="auto"/>
      </w:divBdr>
      <w:divsChild>
        <w:div w:id="848711454">
          <w:marLeft w:val="0"/>
          <w:marRight w:val="0"/>
          <w:marTop w:val="288"/>
          <w:marBottom w:val="100"/>
          <w:divBdr>
            <w:top w:val="none" w:sz="0" w:space="0" w:color="auto"/>
            <w:left w:val="none" w:sz="0" w:space="0" w:color="auto"/>
            <w:bottom w:val="none" w:sz="0" w:space="0" w:color="auto"/>
            <w:right w:val="none" w:sz="0" w:space="0" w:color="auto"/>
          </w:divBdr>
          <w:divsChild>
            <w:div w:id="1880893444">
              <w:marLeft w:val="0"/>
              <w:marRight w:val="0"/>
              <w:marTop w:val="0"/>
              <w:marBottom w:val="0"/>
              <w:divBdr>
                <w:top w:val="none" w:sz="0" w:space="0" w:color="auto"/>
                <w:left w:val="none" w:sz="0" w:space="0" w:color="auto"/>
                <w:bottom w:val="none" w:sz="0" w:space="0" w:color="auto"/>
                <w:right w:val="none" w:sz="0" w:space="0" w:color="auto"/>
              </w:divBdr>
            </w:div>
          </w:divsChild>
        </w:div>
        <w:div w:id="911693863">
          <w:marLeft w:val="0"/>
          <w:marRight w:val="0"/>
          <w:marTop w:val="288"/>
          <w:marBottom w:val="100"/>
          <w:divBdr>
            <w:top w:val="none" w:sz="0" w:space="0" w:color="auto"/>
            <w:left w:val="none" w:sz="0" w:space="0" w:color="auto"/>
            <w:bottom w:val="none" w:sz="0" w:space="0" w:color="auto"/>
            <w:right w:val="none" w:sz="0" w:space="0" w:color="auto"/>
          </w:divBdr>
          <w:divsChild>
            <w:div w:id="11631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563670">
      <w:bodyDiv w:val="1"/>
      <w:marLeft w:val="0"/>
      <w:marRight w:val="0"/>
      <w:marTop w:val="0"/>
      <w:marBottom w:val="0"/>
      <w:divBdr>
        <w:top w:val="none" w:sz="0" w:space="0" w:color="auto"/>
        <w:left w:val="none" w:sz="0" w:space="0" w:color="auto"/>
        <w:bottom w:val="none" w:sz="0" w:space="0" w:color="auto"/>
        <w:right w:val="none" w:sz="0" w:space="0" w:color="auto"/>
      </w:divBdr>
      <w:divsChild>
        <w:div w:id="1313291787">
          <w:marLeft w:val="0"/>
          <w:marRight w:val="1"/>
          <w:marTop w:val="0"/>
          <w:marBottom w:val="0"/>
          <w:divBdr>
            <w:top w:val="none" w:sz="0" w:space="0" w:color="auto"/>
            <w:left w:val="none" w:sz="0" w:space="0" w:color="auto"/>
            <w:bottom w:val="none" w:sz="0" w:space="0" w:color="auto"/>
            <w:right w:val="none" w:sz="0" w:space="0" w:color="auto"/>
          </w:divBdr>
          <w:divsChild>
            <w:div w:id="1780180324">
              <w:marLeft w:val="0"/>
              <w:marRight w:val="0"/>
              <w:marTop w:val="0"/>
              <w:marBottom w:val="0"/>
              <w:divBdr>
                <w:top w:val="none" w:sz="0" w:space="0" w:color="auto"/>
                <w:left w:val="none" w:sz="0" w:space="0" w:color="auto"/>
                <w:bottom w:val="none" w:sz="0" w:space="0" w:color="auto"/>
                <w:right w:val="none" w:sz="0" w:space="0" w:color="auto"/>
              </w:divBdr>
              <w:divsChild>
                <w:div w:id="1109353258">
                  <w:marLeft w:val="0"/>
                  <w:marRight w:val="1"/>
                  <w:marTop w:val="0"/>
                  <w:marBottom w:val="0"/>
                  <w:divBdr>
                    <w:top w:val="none" w:sz="0" w:space="0" w:color="auto"/>
                    <w:left w:val="none" w:sz="0" w:space="0" w:color="auto"/>
                    <w:bottom w:val="none" w:sz="0" w:space="0" w:color="auto"/>
                    <w:right w:val="none" w:sz="0" w:space="0" w:color="auto"/>
                  </w:divBdr>
                  <w:divsChild>
                    <w:div w:id="1533104769">
                      <w:marLeft w:val="0"/>
                      <w:marRight w:val="0"/>
                      <w:marTop w:val="0"/>
                      <w:marBottom w:val="0"/>
                      <w:divBdr>
                        <w:top w:val="none" w:sz="0" w:space="0" w:color="auto"/>
                        <w:left w:val="none" w:sz="0" w:space="0" w:color="auto"/>
                        <w:bottom w:val="none" w:sz="0" w:space="0" w:color="auto"/>
                        <w:right w:val="none" w:sz="0" w:space="0" w:color="auto"/>
                      </w:divBdr>
                      <w:divsChild>
                        <w:div w:id="1166633970">
                          <w:marLeft w:val="0"/>
                          <w:marRight w:val="0"/>
                          <w:marTop w:val="0"/>
                          <w:marBottom w:val="0"/>
                          <w:divBdr>
                            <w:top w:val="none" w:sz="0" w:space="0" w:color="auto"/>
                            <w:left w:val="none" w:sz="0" w:space="0" w:color="auto"/>
                            <w:bottom w:val="none" w:sz="0" w:space="0" w:color="auto"/>
                            <w:right w:val="none" w:sz="0" w:space="0" w:color="auto"/>
                          </w:divBdr>
                          <w:divsChild>
                            <w:div w:id="394740976">
                              <w:marLeft w:val="0"/>
                              <w:marRight w:val="0"/>
                              <w:marTop w:val="120"/>
                              <w:marBottom w:val="360"/>
                              <w:divBdr>
                                <w:top w:val="none" w:sz="0" w:space="0" w:color="auto"/>
                                <w:left w:val="none" w:sz="0" w:space="0" w:color="auto"/>
                                <w:bottom w:val="none" w:sz="0" w:space="0" w:color="auto"/>
                                <w:right w:val="none" w:sz="0" w:space="0" w:color="auto"/>
                              </w:divBdr>
                              <w:divsChild>
                                <w:div w:id="739863297">
                                  <w:marLeft w:val="0"/>
                                  <w:marRight w:val="0"/>
                                  <w:marTop w:val="0"/>
                                  <w:marBottom w:val="0"/>
                                  <w:divBdr>
                                    <w:top w:val="none" w:sz="0" w:space="0" w:color="auto"/>
                                    <w:left w:val="none" w:sz="0" w:space="0" w:color="auto"/>
                                    <w:bottom w:val="none" w:sz="0" w:space="0" w:color="auto"/>
                                    <w:right w:val="none" w:sz="0" w:space="0" w:color="auto"/>
                                  </w:divBdr>
                                </w:div>
                                <w:div w:id="876740912">
                                  <w:marLeft w:val="0"/>
                                  <w:marRight w:val="0"/>
                                  <w:marTop w:val="0"/>
                                  <w:marBottom w:val="0"/>
                                  <w:divBdr>
                                    <w:top w:val="none" w:sz="0" w:space="0" w:color="auto"/>
                                    <w:left w:val="none" w:sz="0" w:space="0" w:color="auto"/>
                                    <w:bottom w:val="none" w:sz="0" w:space="0" w:color="auto"/>
                                    <w:right w:val="none" w:sz="0" w:space="0" w:color="auto"/>
                                  </w:divBdr>
                                  <w:divsChild>
                                    <w:div w:id="1642073294">
                                      <w:marLeft w:val="0"/>
                                      <w:marRight w:val="0"/>
                                      <w:marTop w:val="0"/>
                                      <w:marBottom w:val="0"/>
                                      <w:divBdr>
                                        <w:top w:val="none" w:sz="0" w:space="0" w:color="auto"/>
                                        <w:left w:val="none" w:sz="0" w:space="0" w:color="auto"/>
                                        <w:bottom w:val="none" w:sz="0" w:space="0" w:color="auto"/>
                                        <w:right w:val="none" w:sz="0" w:space="0" w:color="auto"/>
                                      </w:divBdr>
                                    </w:div>
                                  </w:divsChild>
                                </w:div>
                                <w:div w:id="1067074934">
                                  <w:marLeft w:val="0"/>
                                  <w:marRight w:val="0"/>
                                  <w:marTop w:val="0"/>
                                  <w:marBottom w:val="0"/>
                                  <w:divBdr>
                                    <w:top w:val="none" w:sz="0" w:space="0" w:color="auto"/>
                                    <w:left w:val="none" w:sz="0" w:space="0" w:color="auto"/>
                                    <w:bottom w:val="none" w:sz="0" w:space="0" w:color="auto"/>
                                    <w:right w:val="none" w:sz="0" w:space="0" w:color="auto"/>
                                  </w:divBdr>
                                </w:div>
                                <w:div w:id="1654750453">
                                  <w:marLeft w:val="0"/>
                                  <w:marRight w:val="0"/>
                                  <w:marTop w:val="0"/>
                                  <w:marBottom w:val="0"/>
                                  <w:divBdr>
                                    <w:top w:val="none" w:sz="0" w:space="0" w:color="auto"/>
                                    <w:left w:val="none" w:sz="0" w:space="0" w:color="auto"/>
                                    <w:bottom w:val="none" w:sz="0" w:space="0" w:color="auto"/>
                                    <w:right w:val="none" w:sz="0" w:space="0" w:color="auto"/>
                                  </w:divBdr>
                                </w:div>
                                <w:div w:id="1915622068">
                                  <w:marLeft w:val="0"/>
                                  <w:marRight w:val="0"/>
                                  <w:marTop w:val="0"/>
                                  <w:marBottom w:val="0"/>
                                  <w:divBdr>
                                    <w:top w:val="none" w:sz="0" w:space="0" w:color="auto"/>
                                    <w:left w:val="none" w:sz="0" w:space="0" w:color="auto"/>
                                    <w:bottom w:val="none" w:sz="0" w:space="0" w:color="auto"/>
                                    <w:right w:val="none" w:sz="0" w:space="0" w:color="auto"/>
                                  </w:divBdr>
                                  <w:divsChild>
                                    <w:div w:id="67970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8135845">
      <w:bodyDiv w:val="1"/>
      <w:marLeft w:val="0"/>
      <w:marRight w:val="0"/>
      <w:marTop w:val="0"/>
      <w:marBottom w:val="0"/>
      <w:divBdr>
        <w:top w:val="none" w:sz="0" w:space="0" w:color="auto"/>
        <w:left w:val="none" w:sz="0" w:space="0" w:color="auto"/>
        <w:bottom w:val="none" w:sz="0" w:space="0" w:color="auto"/>
        <w:right w:val="none" w:sz="0" w:space="0" w:color="auto"/>
      </w:divBdr>
    </w:div>
    <w:div w:id="1164585416">
      <w:bodyDiv w:val="1"/>
      <w:marLeft w:val="0"/>
      <w:marRight w:val="0"/>
      <w:marTop w:val="0"/>
      <w:marBottom w:val="0"/>
      <w:divBdr>
        <w:top w:val="none" w:sz="0" w:space="0" w:color="auto"/>
        <w:left w:val="none" w:sz="0" w:space="0" w:color="auto"/>
        <w:bottom w:val="none" w:sz="0" w:space="0" w:color="auto"/>
        <w:right w:val="none" w:sz="0" w:space="0" w:color="auto"/>
      </w:divBdr>
      <w:divsChild>
        <w:div w:id="1773161649">
          <w:marLeft w:val="0"/>
          <w:marRight w:val="1"/>
          <w:marTop w:val="0"/>
          <w:marBottom w:val="0"/>
          <w:divBdr>
            <w:top w:val="none" w:sz="0" w:space="0" w:color="auto"/>
            <w:left w:val="none" w:sz="0" w:space="0" w:color="auto"/>
            <w:bottom w:val="none" w:sz="0" w:space="0" w:color="auto"/>
            <w:right w:val="none" w:sz="0" w:space="0" w:color="auto"/>
          </w:divBdr>
          <w:divsChild>
            <w:div w:id="1137143041">
              <w:marLeft w:val="0"/>
              <w:marRight w:val="0"/>
              <w:marTop w:val="0"/>
              <w:marBottom w:val="0"/>
              <w:divBdr>
                <w:top w:val="none" w:sz="0" w:space="0" w:color="auto"/>
                <w:left w:val="none" w:sz="0" w:space="0" w:color="auto"/>
                <w:bottom w:val="none" w:sz="0" w:space="0" w:color="auto"/>
                <w:right w:val="none" w:sz="0" w:space="0" w:color="auto"/>
              </w:divBdr>
              <w:divsChild>
                <w:div w:id="1810171296">
                  <w:marLeft w:val="0"/>
                  <w:marRight w:val="1"/>
                  <w:marTop w:val="0"/>
                  <w:marBottom w:val="0"/>
                  <w:divBdr>
                    <w:top w:val="none" w:sz="0" w:space="0" w:color="auto"/>
                    <w:left w:val="none" w:sz="0" w:space="0" w:color="auto"/>
                    <w:bottom w:val="none" w:sz="0" w:space="0" w:color="auto"/>
                    <w:right w:val="none" w:sz="0" w:space="0" w:color="auto"/>
                  </w:divBdr>
                  <w:divsChild>
                    <w:div w:id="2012289979">
                      <w:marLeft w:val="0"/>
                      <w:marRight w:val="0"/>
                      <w:marTop w:val="0"/>
                      <w:marBottom w:val="0"/>
                      <w:divBdr>
                        <w:top w:val="none" w:sz="0" w:space="0" w:color="auto"/>
                        <w:left w:val="none" w:sz="0" w:space="0" w:color="auto"/>
                        <w:bottom w:val="none" w:sz="0" w:space="0" w:color="auto"/>
                        <w:right w:val="none" w:sz="0" w:space="0" w:color="auto"/>
                      </w:divBdr>
                      <w:divsChild>
                        <w:div w:id="1286934846">
                          <w:marLeft w:val="0"/>
                          <w:marRight w:val="0"/>
                          <w:marTop w:val="0"/>
                          <w:marBottom w:val="0"/>
                          <w:divBdr>
                            <w:top w:val="none" w:sz="0" w:space="0" w:color="auto"/>
                            <w:left w:val="none" w:sz="0" w:space="0" w:color="auto"/>
                            <w:bottom w:val="none" w:sz="0" w:space="0" w:color="auto"/>
                            <w:right w:val="none" w:sz="0" w:space="0" w:color="auto"/>
                          </w:divBdr>
                          <w:divsChild>
                            <w:div w:id="1344472220">
                              <w:marLeft w:val="0"/>
                              <w:marRight w:val="0"/>
                              <w:marTop w:val="120"/>
                              <w:marBottom w:val="360"/>
                              <w:divBdr>
                                <w:top w:val="none" w:sz="0" w:space="0" w:color="auto"/>
                                <w:left w:val="none" w:sz="0" w:space="0" w:color="auto"/>
                                <w:bottom w:val="none" w:sz="0" w:space="0" w:color="auto"/>
                                <w:right w:val="none" w:sz="0" w:space="0" w:color="auto"/>
                              </w:divBdr>
                              <w:divsChild>
                                <w:div w:id="284654778">
                                  <w:marLeft w:val="0"/>
                                  <w:marRight w:val="0"/>
                                  <w:marTop w:val="0"/>
                                  <w:marBottom w:val="0"/>
                                  <w:divBdr>
                                    <w:top w:val="none" w:sz="0" w:space="0" w:color="auto"/>
                                    <w:left w:val="none" w:sz="0" w:space="0" w:color="auto"/>
                                    <w:bottom w:val="none" w:sz="0" w:space="0" w:color="auto"/>
                                    <w:right w:val="none" w:sz="0" w:space="0" w:color="auto"/>
                                  </w:divBdr>
                                </w:div>
                                <w:div w:id="458689466">
                                  <w:marLeft w:val="0"/>
                                  <w:marRight w:val="0"/>
                                  <w:marTop w:val="0"/>
                                  <w:marBottom w:val="0"/>
                                  <w:divBdr>
                                    <w:top w:val="none" w:sz="0" w:space="0" w:color="auto"/>
                                    <w:left w:val="none" w:sz="0" w:space="0" w:color="auto"/>
                                    <w:bottom w:val="none" w:sz="0" w:space="0" w:color="auto"/>
                                    <w:right w:val="none" w:sz="0" w:space="0" w:color="auto"/>
                                  </w:divBdr>
                                </w:div>
                                <w:div w:id="1347171634">
                                  <w:marLeft w:val="0"/>
                                  <w:marRight w:val="0"/>
                                  <w:marTop w:val="0"/>
                                  <w:marBottom w:val="0"/>
                                  <w:divBdr>
                                    <w:top w:val="none" w:sz="0" w:space="0" w:color="auto"/>
                                    <w:left w:val="none" w:sz="0" w:space="0" w:color="auto"/>
                                    <w:bottom w:val="none" w:sz="0" w:space="0" w:color="auto"/>
                                    <w:right w:val="none" w:sz="0" w:space="0" w:color="auto"/>
                                  </w:divBdr>
                                  <w:divsChild>
                                    <w:div w:id="2139182595">
                                      <w:marLeft w:val="0"/>
                                      <w:marRight w:val="0"/>
                                      <w:marTop w:val="0"/>
                                      <w:marBottom w:val="0"/>
                                      <w:divBdr>
                                        <w:top w:val="none" w:sz="0" w:space="0" w:color="auto"/>
                                        <w:left w:val="none" w:sz="0" w:space="0" w:color="auto"/>
                                        <w:bottom w:val="none" w:sz="0" w:space="0" w:color="auto"/>
                                        <w:right w:val="none" w:sz="0" w:space="0" w:color="auto"/>
                                      </w:divBdr>
                                    </w:div>
                                  </w:divsChild>
                                </w:div>
                                <w:div w:id="1518732367">
                                  <w:marLeft w:val="0"/>
                                  <w:marRight w:val="0"/>
                                  <w:marTop w:val="0"/>
                                  <w:marBottom w:val="0"/>
                                  <w:divBdr>
                                    <w:top w:val="none" w:sz="0" w:space="0" w:color="auto"/>
                                    <w:left w:val="none" w:sz="0" w:space="0" w:color="auto"/>
                                    <w:bottom w:val="none" w:sz="0" w:space="0" w:color="auto"/>
                                    <w:right w:val="none" w:sz="0" w:space="0" w:color="auto"/>
                                  </w:divBdr>
                                  <w:divsChild>
                                    <w:div w:id="1462111132">
                                      <w:marLeft w:val="0"/>
                                      <w:marRight w:val="0"/>
                                      <w:marTop w:val="0"/>
                                      <w:marBottom w:val="0"/>
                                      <w:divBdr>
                                        <w:top w:val="none" w:sz="0" w:space="0" w:color="auto"/>
                                        <w:left w:val="none" w:sz="0" w:space="0" w:color="auto"/>
                                        <w:bottom w:val="none" w:sz="0" w:space="0" w:color="auto"/>
                                        <w:right w:val="none" w:sz="0" w:space="0" w:color="auto"/>
                                      </w:divBdr>
                                    </w:div>
                                  </w:divsChild>
                                </w:div>
                                <w:div w:id="154220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7524707">
      <w:bodyDiv w:val="1"/>
      <w:marLeft w:val="0"/>
      <w:marRight w:val="0"/>
      <w:marTop w:val="0"/>
      <w:marBottom w:val="0"/>
      <w:divBdr>
        <w:top w:val="none" w:sz="0" w:space="0" w:color="auto"/>
        <w:left w:val="none" w:sz="0" w:space="0" w:color="auto"/>
        <w:bottom w:val="none" w:sz="0" w:space="0" w:color="auto"/>
        <w:right w:val="none" w:sz="0" w:space="0" w:color="auto"/>
      </w:divBdr>
      <w:divsChild>
        <w:div w:id="1710717509">
          <w:marLeft w:val="0"/>
          <w:marRight w:val="0"/>
          <w:marTop w:val="288"/>
          <w:marBottom w:val="100"/>
          <w:divBdr>
            <w:top w:val="none" w:sz="0" w:space="0" w:color="auto"/>
            <w:left w:val="none" w:sz="0" w:space="0" w:color="auto"/>
            <w:bottom w:val="none" w:sz="0" w:space="0" w:color="auto"/>
            <w:right w:val="none" w:sz="0" w:space="0" w:color="auto"/>
          </w:divBdr>
          <w:divsChild>
            <w:div w:id="1626227412">
              <w:marLeft w:val="0"/>
              <w:marRight w:val="0"/>
              <w:marTop w:val="0"/>
              <w:marBottom w:val="0"/>
              <w:divBdr>
                <w:top w:val="none" w:sz="0" w:space="0" w:color="auto"/>
                <w:left w:val="none" w:sz="0" w:space="0" w:color="auto"/>
                <w:bottom w:val="none" w:sz="0" w:space="0" w:color="auto"/>
                <w:right w:val="none" w:sz="0" w:space="0" w:color="auto"/>
              </w:divBdr>
            </w:div>
          </w:divsChild>
        </w:div>
        <w:div w:id="2014185001">
          <w:marLeft w:val="0"/>
          <w:marRight w:val="0"/>
          <w:marTop w:val="240"/>
          <w:marBottom w:val="100"/>
          <w:divBdr>
            <w:top w:val="none" w:sz="0" w:space="0" w:color="auto"/>
            <w:left w:val="none" w:sz="0" w:space="0" w:color="auto"/>
            <w:bottom w:val="none" w:sz="0" w:space="0" w:color="auto"/>
            <w:right w:val="none" w:sz="0" w:space="0" w:color="auto"/>
          </w:divBdr>
          <w:divsChild>
            <w:div w:id="75035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241647">
      <w:bodyDiv w:val="1"/>
      <w:marLeft w:val="0"/>
      <w:marRight w:val="0"/>
      <w:marTop w:val="0"/>
      <w:marBottom w:val="0"/>
      <w:divBdr>
        <w:top w:val="none" w:sz="0" w:space="0" w:color="auto"/>
        <w:left w:val="none" w:sz="0" w:space="0" w:color="auto"/>
        <w:bottom w:val="none" w:sz="0" w:space="0" w:color="auto"/>
        <w:right w:val="none" w:sz="0" w:space="0" w:color="auto"/>
      </w:divBdr>
    </w:div>
    <w:div w:id="1293175241">
      <w:bodyDiv w:val="1"/>
      <w:marLeft w:val="0"/>
      <w:marRight w:val="0"/>
      <w:marTop w:val="0"/>
      <w:marBottom w:val="0"/>
      <w:divBdr>
        <w:top w:val="none" w:sz="0" w:space="0" w:color="auto"/>
        <w:left w:val="none" w:sz="0" w:space="0" w:color="auto"/>
        <w:bottom w:val="none" w:sz="0" w:space="0" w:color="auto"/>
        <w:right w:val="none" w:sz="0" w:space="0" w:color="auto"/>
      </w:divBdr>
    </w:div>
    <w:div w:id="1392850897">
      <w:bodyDiv w:val="1"/>
      <w:marLeft w:val="0"/>
      <w:marRight w:val="0"/>
      <w:marTop w:val="0"/>
      <w:marBottom w:val="0"/>
      <w:divBdr>
        <w:top w:val="none" w:sz="0" w:space="0" w:color="auto"/>
        <w:left w:val="none" w:sz="0" w:space="0" w:color="auto"/>
        <w:bottom w:val="none" w:sz="0" w:space="0" w:color="auto"/>
        <w:right w:val="none" w:sz="0" w:space="0" w:color="auto"/>
      </w:divBdr>
      <w:divsChild>
        <w:div w:id="1815490826">
          <w:marLeft w:val="0"/>
          <w:marRight w:val="1"/>
          <w:marTop w:val="0"/>
          <w:marBottom w:val="0"/>
          <w:divBdr>
            <w:top w:val="none" w:sz="0" w:space="0" w:color="auto"/>
            <w:left w:val="none" w:sz="0" w:space="0" w:color="auto"/>
            <w:bottom w:val="none" w:sz="0" w:space="0" w:color="auto"/>
            <w:right w:val="none" w:sz="0" w:space="0" w:color="auto"/>
          </w:divBdr>
          <w:divsChild>
            <w:div w:id="926159232">
              <w:marLeft w:val="0"/>
              <w:marRight w:val="0"/>
              <w:marTop w:val="0"/>
              <w:marBottom w:val="0"/>
              <w:divBdr>
                <w:top w:val="none" w:sz="0" w:space="0" w:color="auto"/>
                <w:left w:val="none" w:sz="0" w:space="0" w:color="auto"/>
                <w:bottom w:val="none" w:sz="0" w:space="0" w:color="auto"/>
                <w:right w:val="none" w:sz="0" w:space="0" w:color="auto"/>
              </w:divBdr>
              <w:divsChild>
                <w:div w:id="1750537939">
                  <w:marLeft w:val="0"/>
                  <w:marRight w:val="1"/>
                  <w:marTop w:val="0"/>
                  <w:marBottom w:val="0"/>
                  <w:divBdr>
                    <w:top w:val="none" w:sz="0" w:space="0" w:color="auto"/>
                    <w:left w:val="none" w:sz="0" w:space="0" w:color="auto"/>
                    <w:bottom w:val="none" w:sz="0" w:space="0" w:color="auto"/>
                    <w:right w:val="none" w:sz="0" w:space="0" w:color="auto"/>
                  </w:divBdr>
                  <w:divsChild>
                    <w:div w:id="1577089749">
                      <w:marLeft w:val="0"/>
                      <w:marRight w:val="0"/>
                      <w:marTop w:val="0"/>
                      <w:marBottom w:val="0"/>
                      <w:divBdr>
                        <w:top w:val="none" w:sz="0" w:space="0" w:color="auto"/>
                        <w:left w:val="none" w:sz="0" w:space="0" w:color="auto"/>
                        <w:bottom w:val="none" w:sz="0" w:space="0" w:color="auto"/>
                        <w:right w:val="none" w:sz="0" w:space="0" w:color="auto"/>
                      </w:divBdr>
                      <w:divsChild>
                        <w:div w:id="1886215944">
                          <w:marLeft w:val="0"/>
                          <w:marRight w:val="0"/>
                          <w:marTop w:val="0"/>
                          <w:marBottom w:val="0"/>
                          <w:divBdr>
                            <w:top w:val="none" w:sz="0" w:space="0" w:color="auto"/>
                            <w:left w:val="none" w:sz="0" w:space="0" w:color="auto"/>
                            <w:bottom w:val="none" w:sz="0" w:space="0" w:color="auto"/>
                            <w:right w:val="none" w:sz="0" w:space="0" w:color="auto"/>
                          </w:divBdr>
                          <w:divsChild>
                            <w:div w:id="1855342249">
                              <w:marLeft w:val="0"/>
                              <w:marRight w:val="0"/>
                              <w:marTop w:val="120"/>
                              <w:marBottom w:val="360"/>
                              <w:divBdr>
                                <w:top w:val="none" w:sz="0" w:space="0" w:color="auto"/>
                                <w:left w:val="none" w:sz="0" w:space="0" w:color="auto"/>
                                <w:bottom w:val="none" w:sz="0" w:space="0" w:color="auto"/>
                                <w:right w:val="none" w:sz="0" w:space="0" w:color="auto"/>
                              </w:divBdr>
                              <w:divsChild>
                                <w:div w:id="486283952">
                                  <w:marLeft w:val="0"/>
                                  <w:marRight w:val="0"/>
                                  <w:marTop w:val="0"/>
                                  <w:marBottom w:val="0"/>
                                  <w:divBdr>
                                    <w:top w:val="none" w:sz="0" w:space="0" w:color="auto"/>
                                    <w:left w:val="none" w:sz="0" w:space="0" w:color="auto"/>
                                    <w:bottom w:val="none" w:sz="0" w:space="0" w:color="auto"/>
                                    <w:right w:val="none" w:sz="0" w:space="0" w:color="auto"/>
                                  </w:divBdr>
                                  <w:divsChild>
                                    <w:div w:id="2093697533">
                                      <w:marLeft w:val="0"/>
                                      <w:marRight w:val="0"/>
                                      <w:marTop w:val="0"/>
                                      <w:marBottom w:val="0"/>
                                      <w:divBdr>
                                        <w:top w:val="none" w:sz="0" w:space="0" w:color="auto"/>
                                        <w:left w:val="none" w:sz="0" w:space="0" w:color="auto"/>
                                        <w:bottom w:val="none" w:sz="0" w:space="0" w:color="auto"/>
                                        <w:right w:val="none" w:sz="0" w:space="0" w:color="auto"/>
                                      </w:divBdr>
                                    </w:div>
                                  </w:divsChild>
                                </w:div>
                                <w:div w:id="982194026">
                                  <w:marLeft w:val="0"/>
                                  <w:marRight w:val="0"/>
                                  <w:marTop w:val="0"/>
                                  <w:marBottom w:val="0"/>
                                  <w:divBdr>
                                    <w:top w:val="none" w:sz="0" w:space="0" w:color="auto"/>
                                    <w:left w:val="none" w:sz="0" w:space="0" w:color="auto"/>
                                    <w:bottom w:val="none" w:sz="0" w:space="0" w:color="auto"/>
                                    <w:right w:val="none" w:sz="0" w:space="0" w:color="auto"/>
                                  </w:divBdr>
                                </w:div>
                                <w:div w:id="1162040856">
                                  <w:marLeft w:val="0"/>
                                  <w:marRight w:val="0"/>
                                  <w:marTop w:val="0"/>
                                  <w:marBottom w:val="0"/>
                                  <w:divBdr>
                                    <w:top w:val="none" w:sz="0" w:space="0" w:color="auto"/>
                                    <w:left w:val="none" w:sz="0" w:space="0" w:color="auto"/>
                                    <w:bottom w:val="none" w:sz="0" w:space="0" w:color="auto"/>
                                    <w:right w:val="none" w:sz="0" w:space="0" w:color="auto"/>
                                  </w:divBdr>
                                  <w:divsChild>
                                    <w:div w:id="857698901">
                                      <w:marLeft w:val="0"/>
                                      <w:marRight w:val="0"/>
                                      <w:marTop w:val="0"/>
                                      <w:marBottom w:val="0"/>
                                      <w:divBdr>
                                        <w:top w:val="none" w:sz="0" w:space="0" w:color="auto"/>
                                        <w:left w:val="none" w:sz="0" w:space="0" w:color="auto"/>
                                        <w:bottom w:val="none" w:sz="0" w:space="0" w:color="auto"/>
                                        <w:right w:val="none" w:sz="0" w:space="0" w:color="auto"/>
                                      </w:divBdr>
                                    </w:div>
                                  </w:divsChild>
                                </w:div>
                                <w:div w:id="1180003774">
                                  <w:marLeft w:val="0"/>
                                  <w:marRight w:val="0"/>
                                  <w:marTop w:val="0"/>
                                  <w:marBottom w:val="0"/>
                                  <w:divBdr>
                                    <w:top w:val="none" w:sz="0" w:space="0" w:color="auto"/>
                                    <w:left w:val="none" w:sz="0" w:space="0" w:color="auto"/>
                                    <w:bottom w:val="none" w:sz="0" w:space="0" w:color="auto"/>
                                    <w:right w:val="none" w:sz="0" w:space="0" w:color="auto"/>
                                  </w:divBdr>
                                </w:div>
                                <w:div w:id="1430854920">
                                  <w:marLeft w:val="0"/>
                                  <w:marRight w:val="0"/>
                                  <w:marTop w:val="0"/>
                                  <w:marBottom w:val="0"/>
                                  <w:divBdr>
                                    <w:top w:val="none" w:sz="0" w:space="0" w:color="auto"/>
                                    <w:left w:val="none" w:sz="0" w:space="0" w:color="auto"/>
                                    <w:bottom w:val="none" w:sz="0" w:space="0" w:color="auto"/>
                                    <w:right w:val="none" w:sz="0" w:space="0" w:color="auto"/>
                                  </w:divBdr>
                                </w:div>
                                <w:div w:id="188995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2626619">
      <w:bodyDiv w:val="1"/>
      <w:marLeft w:val="0"/>
      <w:marRight w:val="0"/>
      <w:marTop w:val="0"/>
      <w:marBottom w:val="0"/>
      <w:divBdr>
        <w:top w:val="none" w:sz="0" w:space="0" w:color="auto"/>
        <w:left w:val="none" w:sz="0" w:space="0" w:color="auto"/>
        <w:bottom w:val="none" w:sz="0" w:space="0" w:color="auto"/>
        <w:right w:val="none" w:sz="0" w:space="0" w:color="auto"/>
      </w:divBdr>
    </w:div>
    <w:div w:id="1623153034">
      <w:bodyDiv w:val="1"/>
      <w:marLeft w:val="0"/>
      <w:marRight w:val="0"/>
      <w:marTop w:val="0"/>
      <w:marBottom w:val="0"/>
      <w:divBdr>
        <w:top w:val="none" w:sz="0" w:space="0" w:color="auto"/>
        <w:left w:val="none" w:sz="0" w:space="0" w:color="auto"/>
        <w:bottom w:val="none" w:sz="0" w:space="0" w:color="auto"/>
        <w:right w:val="none" w:sz="0" w:space="0" w:color="auto"/>
      </w:divBdr>
    </w:div>
    <w:div w:id="1633901643">
      <w:bodyDiv w:val="1"/>
      <w:marLeft w:val="0"/>
      <w:marRight w:val="0"/>
      <w:marTop w:val="0"/>
      <w:marBottom w:val="0"/>
      <w:divBdr>
        <w:top w:val="none" w:sz="0" w:space="0" w:color="auto"/>
        <w:left w:val="none" w:sz="0" w:space="0" w:color="auto"/>
        <w:bottom w:val="none" w:sz="0" w:space="0" w:color="auto"/>
        <w:right w:val="none" w:sz="0" w:space="0" w:color="auto"/>
      </w:divBdr>
      <w:divsChild>
        <w:div w:id="489633835">
          <w:marLeft w:val="0"/>
          <w:marRight w:val="0"/>
          <w:marTop w:val="288"/>
          <w:marBottom w:val="100"/>
          <w:divBdr>
            <w:top w:val="none" w:sz="0" w:space="0" w:color="auto"/>
            <w:left w:val="none" w:sz="0" w:space="0" w:color="auto"/>
            <w:bottom w:val="none" w:sz="0" w:space="0" w:color="auto"/>
            <w:right w:val="none" w:sz="0" w:space="0" w:color="auto"/>
          </w:divBdr>
          <w:divsChild>
            <w:div w:id="58217108">
              <w:marLeft w:val="0"/>
              <w:marRight w:val="0"/>
              <w:marTop w:val="0"/>
              <w:marBottom w:val="0"/>
              <w:divBdr>
                <w:top w:val="none" w:sz="0" w:space="0" w:color="auto"/>
                <w:left w:val="none" w:sz="0" w:space="0" w:color="auto"/>
                <w:bottom w:val="none" w:sz="0" w:space="0" w:color="auto"/>
                <w:right w:val="none" w:sz="0" w:space="0" w:color="auto"/>
              </w:divBdr>
            </w:div>
          </w:divsChild>
        </w:div>
        <w:div w:id="1575823199">
          <w:marLeft w:val="0"/>
          <w:marRight w:val="0"/>
          <w:marTop w:val="288"/>
          <w:marBottom w:val="100"/>
          <w:divBdr>
            <w:top w:val="none" w:sz="0" w:space="0" w:color="auto"/>
            <w:left w:val="none" w:sz="0" w:space="0" w:color="auto"/>
            <w:bottom w:val="none" w:sz="0" w:space="0" w:color="auto"/>
            <w:right w:val="none" w:sz="0" w:space="0" w:color="auto"/>
          </w:divBdr>
          <w:divsChild>
            <w:div w:id="7254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992189">
      <w:bodyDiv w:val="1"/>
      <w:marLeft w:val="0"/>
      <w:marRight w:val="0"/>
      <w:marTop w:val="0"/>
      <w:marBottom w:val="0"/>
      <w:divBdr>
        <w:top w:val="none" w:sz="0" w:space="0" w:color="auto"/>
        <w:left w:val="none" w:sz="0" w:space="0" w:color="auto"/>
        <w:bottom w:val="none" w:sz="0" w:space="0" w:color="auto"/>
        <w:right w:val="none" w:sz="0" w:space="0" w:color="auto"/>
      </w:divBdr>
      <w:divsChild>
        <w:div w:id="3823441">
          <w:marLeft w:val="0"/>
          <w:marRight w:val="0"/>
          <w:marTop w:val="288"/>
          <w:marBottom w:val="100"/>
          <w:divBdr>
            <w:top w:val="none" w:sz="0" w:space="0" w:color="auto"/>
            <w:left w:val="none" w:sz="0" w:space="0" w:color="auto"/>
            <w:bottom w:val="none" w:sz="0" w:space="0" w:color="auto"/>
            <w:right w:val="none" w:sz="0" w:space="0" w:color="auto"/>
          </w:divBdr>
          <w:divsChild>
            <w:div w:id="1938370400">
              <w:marLeft w:val="0"/>
              <w:marRight w:val="0"/>
              <w:marTop w:val="0"/>
              <w:marBottom w:val="0"/>
              <w:divBdr>
                <w:top w:val="none" w:sz="0" w:space="0" w:color="auto"/>
                <w:left w:val="none" w:sz="0" w:space="0" w:color="auto"/>
                <w:bottom w:val="none" w:sz="0" w:space="0" w:color="auto"/>
                <w:right w:val="none" w:sz="0" w:space="0" w:color="auto"/>
              </w:divBdr>
            </w:div>
          </w:divsChild>
        </w:div>
        <w:div w:id="1120538471">
          <w:marLeft w:val="0"/>
          <w:marRight w:val="0"/>
          <w:marTop w:val="288"/>
          <w:marBottom w:val="100"/>
          <w:divBdr>
            <w:top w:val="none" w:sz="0" w:space="0" w:color="auto"/>
            <w:left w:val="none" w:sz="0" w:space="0" w:color="auto"/>
            <w:bottom w:val="none" w:sz="0" w:space="0" w:color="auto"/>
            <w:right w:val="none" w:sz="0" w:space="0" w:color="auto"/>
          </w:divBdr>
          <w:divsChild>
            <w:div w:id="176043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07499">
      <w:bodyDiv w:val="1"/>
      <w:marLeft w:val="0"/>
      <w:marRight w:val="0"/>
      <w:marTop w:val="0"/>
      <w:marBottom w:val="0"/>
      <w:divBdr>
        <w:top w:val="none" w:sz="0" w:space="0" w:color="auto"/>
        <w:left w:val="none" w:sz="0" w:space="0" w:color="auto"/>
        <w:bottom w:val="none" w:sz="0" w:space="0" w:color="auto"/>
        <w:right w:val="none" w:sz="0" w:space="0" w:color="auto"/>
      </w:divBdr>
      <w:divsChild>
        <w:div w:id="150221797">
          <w:marLeft w:val="0"/>
          <w:marRight w:val="0"/>
          <w:marTop w:val="288"/>
          <w:marBottom w:val="100"/>
          <w:divBdr>
            <w:top w:val="none" w:sz="0" w:space="0" w:color="auto"/>
            <w:left w:val="none" w:sz="0" w:space="0" w:color="auto"/>
            <w:bottom w:val="none" w:sz="0" w:space="0" w:color="auto"/>
            <w:right w:val="none" w:sz="0" w:space="0" w:color="auto"/>
          </w:divBdr>
          <w:divsChild>
            <w:div w:id="1861552399">
              <w:marLeft w:val="0"/>
              <w:marRight w:val="0"/>
              <w:marTop w:val="0"/>
              <w:marBottom w:val="0"/>
              <w:divBdr>
                <w:top w:val="none" w:sz="0" w:space="0" w:color="auto"/>
                <w:left w:val="none" w:sz="0" w:space="0" w:color="auto"/>
                <w:bottom w:val="none" w:sz="0" w:space="0" w:color="auto"/>
                <w:right w:val="none" w:sz="0" w:space="0" w:color="auto"/>
              </w:divBdr>
            </w:div>
          </w:divsChild>
        </w:div>
        <w:div w:id="1315598320">
          <w:marLeft w:val="0"/>
          <w:marRight w:val="0"/>
          <w:marTop w:val="240"/>
          <w:marBottom w:val="100"/>
          <w:divBdr>
            <w:top w:val="none" w:sz="0" w:space="0" w:color="auto"/>
            <w:left w:val="none" w:sz="0" w:space="0" w:color="auto"/>
            <w:bottom w:val="none" w:sz="0" w:space="0" w:color="auto"/>
            <w:right w:val="none" w:sz="0" w:space="0" w:color="auto"/>
          </w:divBdr>
          <w:divsChild>
            <w:div w:id="37304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04529">
      <w:bodyDiv w:val="1"/>
      <w:marLeft w:val="0"/>
      <w:marRight w:val="0"/>
      <w:marTop w:val="0"/>
      <w:marBottom w:val="0"/>
      <w:divBdr>
        <w:top w:val="none" w:sz="0" w:space="0" w:color="auto"/>
        <w:left w:val="none" w:sz="0" w:space="0" w:color="auto"/>
        <w:bottom w:val="none" w:sz="0" w:space="0" w:color="auto"/>
        <w:right w:val="none" w:sz="0" w:space="0" w:color="auto"/>
      </w:divBdr>
      <w:divsChild>
        <w:div w:id="762920824">
          <w:marLeft w:val="0"/>
          <w:marRight w:val="1"/>
          <w:marTop w:val="0"/>
          <w:marBottom w:val="0"/>
          <w:divBdr>
            <w:top w:val="none" w:sz="0" w:space="0" w:color="auto"/>
            <w:left w:val="none" w:sz="0" w:space="0" w:color="auto"/>
            <w:bottom w:val="none" w:sz="0" w:space="0" w:color="auto"/>
            <w:right w:val="none" w:sz="0" w:space="0" w:color="auto"/>
          </w:divBdr>
          <w:divsChild>
            <w:div w:id="329792891">
              <w:marLeft w:val="0"/>
              <w:marRight w:val="0"/>
              <w:marTop w:val="0"/>
              <w:marBottom w:val="0"/>
              <w:divBdr>
                <w:top w:val="none" w:sz="0" w:space="0" w:color="auto"/>
                <w:left w:val="none" w:sz="0" w:space="0" w:color="auto"/>
                <w:bottom w:val="none" w:sz="0" w:space="0" w:color="auto"/>
                <w:right w:val="none" w:sz="0" w:space="0" w:color="auto"/>
              </w:divBdr>
              <w:divsChild>
                <w:div w:id="350187608">
                  <w:marLeft w:val="0"/>
                  <w:marRight w:val="1"/>
                  <w:marTop w:val="0"/>
                  <w:marBottom w:val="0"/>
                  <w:divBdr>
                    <w:top w:val="none" w:sz="0" w:space="0" w:color="auto"/>
                    <w:left w:val="none" w:sz="0" w:space="0" w:color="auto"/>
                    <w:bottom w:val="none" w:sz="0" w:space="0" w:color="auto"/>
                    <w:right w:val="none" w:sz="0" w:space="0" w:color="auto"/>
                  </w:divBdr>
                  <w:divsChild>
                    <w:div w:id="1443380759">
                      <w:marLeft w:val="0"/>
                      <w:marRight w:val="0"/>
                      <w:marTop w:val="0"/>
                      <w:marBottom w:val="0"/>
                      <w:divBdr>
                        <w:top w:val="none" w:sz="0" w:space="0" w:color="auto"/>
                        <w:left w:val="none" w:sz="0" w:space="0" w:color="auto"/>
                        <w:bottom w:val="none" w:sz="0" w:space="0" w:color="auto"/>
                        <w:right w:val="none" w:sz="0" w:space="0" w:color="auto"/>
                      </w:divBdr>
                      <w:divsChild>
                        <w:div w:id="209801824">
                          <w:marLeft w:val="0"/>
                          <w:marRight w:val="0"/>
                          <w:marTop w:val="0"/>
                          <w:marBottom w:val="0"/>
                          <w:divBdr>
                            <w:top w:val="none" w:sz="0" w:space="0" w:color="auto"/>
                            <w:left w:val="none" w:sz="0" w:space="0" w:color="auto"/>
                            <w:bottom w:val="none" w:sz="0" w:space="0" w:color="auto"/>
                            <w:right w:val="none" w:sz="0" w:space="0" w:color="auto"/>
                          </w:divBdr>
                          <w:divsChild>
                            <w:div w:id="2001612980">
                              <w:marLeft w:val="0"/>
                              <w:marRight w:val="0"/>
                              <w:marTop w:val="120"/>
                              <w:marBottom w:val="360"/>
                              <w:divBdr>
                                <w:top w:val="none" w:sz="0" w:space="0" w:color="auto"/>
                                <w:left w:val="none" w:sz="0" w:space="0" w:color="auto"/>
                                <w:bottom w:val="none" w:sz="0" w:space="0" w:color="auto"/>
                                <w:right w:val="none" w:sz="0" w:space="0" w:color="auto"/>
                              </w:divBdr>
                              <w:divsChild>
                                <w:div w:id="290676073">
                                  <w:marLeft w:val="0"/>
                                  <w:marRight w:val="0"/>
                                  <w:marTop w:val="0"/>
                                  <w:marBottom w:val="0"/>
                                  <w:divBdr>
                                    <w:top w:val="none" w:sz="0" w:space="0" w:color="auto"/>
                                    <w:left w:val="none" w:sz="0" w:space="0" w:color="auto"/>
                                    <w:bottom w:val="none" w:sz="0" w:space="0" w:color="auto"/>
                                    <w:right w:val="none" w:sz="0" w:space="0" w:color="auto"/>
                                  </w:divBdr>
                                  <w:divsChild>
                                    <w:div w:id="1262101217">
                                      <w:marLeft w:val="0"/>
                                      <w:marRight w:val="0"/>
                                      <w:marTop w:val="0"/>
                                      <w:marBottom w:val="0"/>
                                      <w:divBdr>
                                        <w:top w:val="none" w:sz="0" w:space="0" w:color="auto"/>
                                        <w:left w:val="none" w:sz="0" w:space="0" w:color="auto"/>
                                        <w:bottom w:val="none" w:sz="0" w:space="0" w:color="auto"/>
                                        <w:right w:val="none" w:sz="0" w:space="0" w:color="auto"/>
                                      </w:divBdr>
                                    </w:div>
                                  </w:divsChild>
                                </w:div>
                                <w:div w:id="902447558">
                                  <w:marLeft w:val="0"/>
                                  <w:marRight w:val="0"/>
                                  <w:marTop w:val="0"/>
                                  <w:marBottom w:val="0"/>
                                  <w:divBdr>
                                    <w:top w:val="none" w:sz="0" w:space="0" w:color="auto"/>
                                    <w:left w:val="none" w:sz="0" w:space="0" w:color="auto"/>
                                    <w:bottom w:val="none" w:sz="0" w:space="0" w:color="auto"/>
                                    <w:right w:val="none" w:sz="0" w:space="0" w:color="auto"/>
                                  </w:divBdr>
                                  <w:divsChild>
                                    <w:div w:id="644355575">
                                      <w:marLeft w:val="0"/>
                                      <w:marRight w:val="0"/>
                                      <w:marTop w:val="0"/>
                                      <w:marBottom w:val="0"/>
                                      <w:divBdr>
                                        <w:top w:val="none" w:sz="0" w:space="0" w:color="auto"/>
                                        <w:left w:val="none" w:sz="0" w:space="0" w:color="auto"/>
                                        <w:bottom w:val="none" w:sz="0" w:space="0" w:color="auto"/>
                                        <w:right w:val="none" w:sz="0" w:space="0" w:color="auto"/>
                                      </w:divBdr>
                                    </w:div>
                                  </w:divsChild>
                                </w:div>
                                <w:div w:id="903686455">
                                  <w:marLeft w:val="0"/>
                                  <w:marRight w:val="0"/>
                                  <w:marTop w:val="0"/>
                                  <w:marBottom w:val="0"/>
                                  <w:divBdr>
                                    <w:top w:val="none" w:sz="0" w:space="0" w:color="auto"/>
                                    <w:left w:val="none" w:sz="0" w:space="0" w:color="auto"/>
                                    <w:bottom w:val="none" w:sz="0" w:space="0" w:color="auto"/>
                                    <w:right w:val="none" w:sz="0" w:space="0" w:color="auto"/>
                                  </w:divBdr>
                                </w:div>
                                <w:div w:id="96620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4087765">
      <w:bodyDiv w:val="1"/>
      <w:marLeft w:val="0"/>
      <w:marRight w:val="0"/>
      <w:marTop w:val="0"/>
      <w:marBottom w:val="0"/>
      <w:divBdr>
        <w:top w:val="none" w:sz="0" w:space="0" w:color="auto"/>
        <w:left w:val="none" w:sz="0" w:space="0" w:color="auto"/>
        <w:bottom w:val="none" w:sz="0" w:space="0" w:color="auto"/>
        <w:right w:val="none" w:sz="0" w:space="0" w:color="auto"/>
      </w:divBdr>
    </w:div>
    <w:div w:id="1804032221">
      <w:bodyDiv w:val="1"/>
      <w:marLeft w:val="0"/>
      <w:marRight w:val="0"/>
      <w:marTop w:val="0"/>
      <w:marBottom w:val="0"/>
      <w:divBdr>
        <w:top w:val="none" w:sz="0" w:space="0" w:color="auto"/>
        <w:left w:val="none" w:sz="0" w:space="0" w:color="auto"/>
        <w:bottom w:val="none" w:sz="0" w:space="0" w:color="auto"/>
        <w:right w:val="none" w:sz="0" w:space="0" w:color="auto"/>
      </w:divBdr>
      <w:divsChild>
        <w:div w:id="1025060919">
          <w:marLeft w:val="0"/>
          <w:marRight w:val="0"/>
          <w:marTop w:val="288"/>
          <w:marBottom w:val="100"/>
          <w:divBdr>
            <w:top w:val="none" w:sz="0" w:space="0" w:color="auto"/>
            <w:left w:val="none" w:sz="0" w:space="0" w:color="auto"/>
            <w:bottom w:val="none" w:sz="0" w:space="0" w:color="auto"/>
            <w:right w:val="none" w:sz="0" w:space="0" w:color="auto"/>
          </w:divBdr>
          <w:divsChild>
            <w:div w:id="1915968176">
              <w:marLeft w:val="0"/>
              <w:marRight w:val="0"/>
              <w:marTop w:val="0"/>
              <w:marBottom w:val="0"/>
              <w:divBdr>
                <w:top w:val="none" w:sz="0" w:space="0" w:color="auto"/>
                <w:left w:val="none" w:sz="0" w:space="0" w:color="auto"/>
                <w:bottom w:val="none" w:sz="0" w:space="0" w:color="auto"/>
                <w:right w:val="none" w:sz="0" w:space="0" w:color="auto"/>
              </w:divBdr>
            </w:div>
          </w:divsChild>
        </w:div>
        <w:div w:id="1046680240">
          <w:marLeft w:val="0"/>
          <w:marRight w:val="0"/>
          <w:marTop w:val="288"/>
          <w:marBottom w:val="100"/>
          <w:divBdr>
            <w:top w:val="none" w:sz="0" w:space="0" w:color="auto"/>
            <w:left w:val="none" w:sz="0" w:space="0" w:color="auto"/>
            <w:bottom w:val="none" w:sz="0" w:space="0" w:color="auto"/>
            <w:right w:val="none" w:sz="0" w:space="0" w:color="auto"/>
          </w:divBdr>
          <w:divsChild>
            <w:div w:id="95487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243983">
      <w:bodyDiv w:val="1"/>
      <w:marLeft w:val="0"/>
      <w:marRight w:val="0"/>
      <w:marTop w:val="0"/>
      <w:marBottom w:val="0"/>
      <w:divBdr>
        <w:top w:val="none" w:sz="0" w:space="0" w:color="auto"/>
        <w:left w:val="none" w:sz="0" w:space="0" w:color="auto"/>
        <w:bottom w:val="none" w:sz="0" w:space="0" w:color="auto"/>
        <w:right w:val="none" w:sz="0" w:space="0" w:color="auto"/>
      </w:divBdr>
    </w:div>
    <w:div w:id="1815290451">
      <w:bodyDiv w:val="1"/>
      <w:marLeft w:val="0"/>
      <w:marRight w:val="0"/>
      <w:marTop w:val="0"/>
      <w:marBottom w:val="0"/>
      <w:divBdr>
        <w:top w:val="none" w:sz="0" w:space="0" w:color="auto"/>
        <w:left w:val="none" w:sz="0" w:space="0" w:color="auto"/>
        <w:bottom w:val="none" w:sz="0" w:space="0" w:color="auto"/>
        <w:right w:val="none" w:sz="0" w:space="0" w:color="auto"/>
      </w:divBdr>
    </w:div>
    <w:div w:id="1840459775">
      <w:bodyDiv w:val="1"/>
      <w:marLeft w:val="0"/>
      <w:marRight w:val="0"/>
      <w:marTop w:val="0"/>
      <w:marBottom w:val="0"/>
      <w:divBdr>
        <w:top w:val="none" w:sz="0" w:space="0" w:color="auto"/>
        <w:left w:val="none" w:sz="0" w:space="0" w:color="auto"/>
        <w:bottom w:val="none" w:sz="0" w:space="0" w:color="auto"/>
        <w:right w:val="none" w:sz="0" w:space="0" w:color="auto"/>
      </w:divBdr>
      <w:divsChild>
        <w:div w:id="1074743527">
          <w:marLeft w:val="0"/>
          <w:marRight w:val="1"/>
          <w:marTop w:val="0"/>
          <w:marBottom w:val="0"/>
          <w:divBdr>
            <w:top w:val="none" w:sz="0" w:space="0" w:color="auto"/>
            <w:left w:val="none" w:sz="0" w:space="0" w:color="auto"/>
            <w:bottom w:val="none" w:sz="0" w:space="0" w:color="auto"/>
            <w:right w:val="none" w:sz="0" w:space="0" w:color="auto"/>
          </w:divBdr>
          <w:divsChild>
            <w:div w:id="1114524338">
              <w:marLeft w:val="0"/>
              <w:marRight w:val="0"/>
              <w:marTop w:val="0"/>
              <w:marBottom w:val="0"/>
              <w:divBdr>
                <w:top w:val="none" w:sz="0" w:space="0" w:color="auto"/>
                <w:left w:val="none" w:sz="0" w:space="0" w:color="auto"/>
                <w:bottom w:val="none" w:sz="0" w:space="0" w:color="auto"/>
                <w:right w:val="none" w:sz="0" w:space="0" w:color="auto"/>
              </w:divBdr>
              <w:divsChild>
                <w:div w:id="1168058476">
                  <w:marLeft w:val="0"/>
                  <w:marRight w:val="1"/>
                  <w:marTop w:val="0"/>
                  <w:marBottom w:val="0"/>
                  <w:divBdr>
                    <w:top w:val="none" w:sz="0" w:space="0" w:color="auto"/>
                    <w:left w:val="none" w:sz="0" w:space="0" w:color="auto"/>
                    <w:bottom w:val="none" w:sz="0" w:space="0" w:color="auto"/>
                    <w:right w:val="none" w:sz="0" w:space="0" w:color="auto"/>
                  </w:divBdr>
                  <w:divsChild>
                    <w:div w:id="586814057">
                      <w:marLeft w:val="0"/>
                      <w:marRight w:val="0"/>
                      <w:marTop w:val="0"/>
                      <w:marBottom w:val="0"/>
                      <w:divBdr>
                        <w:top w:val="none" w:sz="0" w:space="0" w:color="auto"/>
                        <w:left w:val="none" w:sz="0" w:space="0" w:color="auto"/>
                        <w:bottom w:val="none" w:sz="0" w:space="0" w:color="auto"/>
                        <w:right w:val="none" w:sz="0" w:space="0" w:color="auto"/>
                      </w:divBdr>
                      <w:divsChild>
                        <w:div w:id="785001653">
                          <w:marLeft w:val="0"/>
                          <w:marRight w:val="0"/>
                          <w:marTop w:val="0"/>
                          <w:marBottom w:val="0"/>
                          <w:divBdr>
                            <w:top w:val="none" w:sz="0" w:space="0" w:color="auto"/>
                            <w:left w:val="none" w:sz="0" w:space="0" w:color="auto"/>
                            <w:bottom w:val="none" w:sz="0" w:space="0" w:color="auto"/>
                            <w:right w:val="none" w:sz="0" w:space="0" w:color="auto"/>
                          </w:divBdr>
                          <w:divsChild>
                            <w:div w:id="1050227860">
                              <w:marLeft w:val="0"/>
                              <w:marRight w:val="0"/>
                              <w:marTop w:val="120"/>
                              <w:marBottom w:val="360"/>
                              <w:divBdr>
                                <w:top w:val="none" w:sz="0" w:space="0" w:color="auto"/>
                                <w:left w:val="none" w:sz="0" w:space="0" w:color="auto"/>
                                <w:bottom w:val="none" w:sz="0" w:space="0" w:color="auto"/>
                                <w:right w:val="none" w:sz="0" w:space="0" w:color="auto"/>
                              </w:divBdr>
                              <w:divsChild>
                                <w:div w:id="116879744">
                                  <w:marLeft w:val="0"/>
                                  <w:marRight w:val="0"/>
                                  <w:marTop w:val="0"/>
                                  <w:marBottom w:val="0"/>
                                  <w:divBdr>
                                    <w:top w:val="none" w:sz="0" w:space="0" w:color="auto"/>
                                    <w:left w:val="none" w:sz="0" w:space="0" w:color="auto"/>
                                    <w:bottom w:val="none" w:sz="0" w:space="0" w:color="auto"/>
                                    <w:right w:val="none" w:sz="0" w:space="0" w:color="auto"/>
                                  </w:divBdr>
                                </w:div>
                                <w:div w:id="254359521">
                                  <w:marLeft w:val="0"/>
                                  <w:marRight w:val="0"/>
                                  <w:marTop w:val="0"/>
                                  <w:marBottom w:val="0"/>
                                  <w:divBdr>
                                    <w:top w:val="none" w:sz="0" w:space="0" w:color="auto"/>
                                    <w:left w:val="none" w:sz="0" w:space="0" w:color="auto"/>
                                    <w:bottom w:val="none" w:sz="0" w:space="0" w:color="auto"/>
                                    <w:right w:val="none" w:sz="0" w:space="0" w:color="auto"/>
                                  </w:divBdr>
                                  <w:divsChild>
                                    <w:div w:id="2021006732">
                                      <w:marLeft w:val="0"/>
                                      <w:marRight w:val="0"/>
                                      <w:marTop w:val="0"/>
                                      <w:marBottom w:val="0"/>
                                      <w:divBdr>
                                        <w:top w:val="none" w:sz="0" w:space="0" w:color="auto"/>
                                        <w:left w:val="none" w:sz="0" w:space="0" w:color="auto"/>
                                        <w:bottom w:val="none" w:sz="0" w:space="0" w:color="auto"/>
                                        <w:right w:val="none" w:sz="0" w:space="0" w:color="auto"/>
                                      </w:divBdr>
                                    </w:div>
                                  </w:divsChild>
                                </w:div>
                                <w:div w:id="365956086">
                                  <w:marLeft w:val="0"/>
                                  <w:marRight w:val="0"/>
                                  <w:marTop w:val="0"/>
                                  <w:marBottom w:val="0"/>
                                  <w:divBdr>
                                    <w:top w:val="none" w:sz="0" w:space="0" w:color="auto"/>
                                    <w:left w:val="none" w:sz="0" w:space="0" w:color="auto"/>
                                    <w:bottom w:val="none" w:sz="0" w:space="0" w:color="auto"/>
                                    <w:right w:val="none" w:sz="0" w:space="0" w:color="auto"/>
                                  </w:divBdr>
                                  <w:divsChild>
                                    <w:div w:id="654914314">
                                      <w:marLeft w:val="0"/>
                                      <w:marRight w:val="0"/>
                                      <w:marTop w:val="0"/>
                                      <w:marBottom w:val="0"/>
                                      <w:divBdr>
                                        <w:top w:val="none" w:sz="0" w:space="0" w:color="auto"/>
                                        <w:left w:val="none" w:sz="0" w:space="0" w:color="auto"/>
                                        <w:bottom w:val="none" w:sz="0" w:space="0" w:color="auto"/>
                                        <w:right w:val="none" w:sz="0" w:space="0" w:color="auto"/>
                                      </w:divBdr>
                                    </w:div>
                                  </w:divsChild>
                                </w:div>
                                <w:div w:id="1799910351">
                                  <w:marLeft w:val="0"/>
                                  <w:marRight w:val="0"/>
                                  <w:marTop w:val="0"/>
                                  <w:marBottom w:val="0"/>
                                  <w:divBdr>
                                    <w:top w:val="none" w:sz="0" w:space="0" w:color="auto"/>
                                    <w:left w:val="none" w:sz="0" w:space="0" w:color="auto"/>
                                    <w:bottom w:val="none" w:sz="0" w:space="0" w:color="auto"/>
                                    <w:right w:val="none" w:sz="0" w:space="0" w:color="auto"/>
                                  </w:divBdr>
                                </w:div>
                                <w:div w:id="20023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7455422">
      <w:bodyDiv w:val="1"/>
      <w:marLeft w:val="0"/>
      <w:marRight w:val="0"/>
      <w:marTop w:val="0"/>
      <w:marBottom w:val="0"/>
      <w:divBdr>
        <w:top w:val="none" w:sz="0" w:space="0" w:color="auto"/>
        <w:left w:val="none" w:sz="0" w:space="0" w:color="auto"/>
        <w:bottom w:val="none" w:sz="0" w:space="0" w:color="auto"/>
        <w:right w:val="none" w:sz="0" w:space="0" w:color="auto"/>
      </w:divBdr>
    </w:div>
    <w:div w:id="1919316464">
      <w:bodyDiv w:val="1"/>
      <w:marLeft w:val="0"/>
      <w:marRight w:val="0"/>
      <w:marTop w:val="0"/>
      <w:marBottom w:val="0"/>
      <w:divBdr>
        <w:top w:val="none" w:sz="0" w:space="0" w:color="auto"/>
        <w:left w:val="none" w:sz="0" w:space="0" w:color="auto"/>
        <w:bottom w:val="none" w:sz="0" w:space="0" w:color="auto"/>
        <w:right w:val="none" w:sz="0" w:space="0" w:color="auto"/>
      </w:divBdr>
      <w:divsChild>
        <w:div w:id="830874803">
          <w:marLeft w:val="0"/>
          <w:marRight w:val="0"/>
          <w:marTop w:val="288"/>
          <w:marBottom w:val="100"/>
          <w:divBdr>
            <w:top w:val="none" w:sz="0" w:space="0" w:color="auto"/>
            <w:left w:val="none" w:sz="0" w:space="0" w:color="auto"/>
            <w:bottom w:val="none" w:sz="0" w:space="0" w:color="auto"/>
            <w:right w:val="none" w:sz="0" w:space="0" w:color="auto"/>
          </w:divBdr>
          <w:divsChild>
            <w:div w:id="746533869">
              <w:marLeft w:val="0"/>
              <w:marRight w:val="0"/>
              <w:marTop w:val="0"/>
              <w:marBottom w:val="0"/>
              <w:divBdr>
                <w:top w:val="none" w:sz="0" w:space="0" w:color="auto"/>
                <w:left w:val="none" w:sz="0" w:space="0" w:color="auto"/>
                <w:bottom w:val="none" w:sz="0" w:space="0" w:color="auto"/>
                <w:right w:val="none" w:sz="0" w:space="0" w:color="auto"/>
              </w:divBdr>
            </w:div>
          </w:divsChild>
        </w:div>
        <w:div w:id="2137751285">
          <w:marLeft w:val="0"/>
          <w:marRight w:val="0"/>
          <w:marTop w:val="288"/>
          <w:marBottom w:val="100"/>
          <w:divBdr>
            <w:top w:val="none" w:sz="0" w:space="0" w:color="auto"/>
            <w:left w:val="none" w:sz="0" w:space="0" w:color="auto"/>
            <w:bottom w:val="none" w:sz="0" w:space="0" w:color="auto"/>
            <w:right w:val="none" w:sz="0" w:space="0" w:color="auto"/>
          </w:divBdr>
          <w:divsChild>
            <w:div w:id="62897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84051">
      <w:bodyDiv w:val="1"/>
      <w:marLeft w:val="0"/>
      <w:marRight w:val="0"/>
      <w:marTop w:val="0"/>
      <w:marBottom w:val="0"/>
      <w:divBdr>
        <w:top w:val="none" w:sz="0" w:space="0" w:color="auto"/>
        <w:left w:val="none" w:sz="0" w:space="0" w:color="auto"/>
        <w:bottom w:val="none" w:sz="0" w:space="0" w:color="auto"/>
        <w:right w:val="none" w:sz="0" w:space="0" w:color="auto"/>
      </w:divBdr>
      <w:divsChild>
        <w:div w:id="1528059793">
          <w:marLeft w:val="0"/>
          <w:marRight w:val="1"/>
          <w:marTop w:val="0"/>
          <w:marBottom w:val="0"/>
          <w:divBdr>
            <w:top w:val="none" w:sz="0" w:space="0" w:color="auto"/>
            <w:left w:val="none" w:sz="0" w:space="0" w:color="auto"/>
            <w:bottom w:val="none" w:sz="0" w:space="0" w:color="auto"/>
            <w:right w:val="none" w:sz="0" w:space="0" w:color="auto"/>
          </w:divBdr>
          <w:divsChild>
            <w:div w:id="765540975">
              <w:marLeft w:val="0"/>
              <w:marRight w:val="0"/>
              <w:marTop w:val="0"/>
              <w:marBottom w:val="0"/>
              <w:divBdr>
                <w:top w:val="none" w:sz="0" w:space="0" w:color="auto"/>
                <w:left w:val="none" w:sz="0" w:space="0" w:color="auto"/>
                <w:bottom w:val="none" w:sz="0" w:space="0" w:color="auto"/>
                <w:right w:val="none" w:sz="0" w:space="0" w:color="auto"/>
              </w:divBdr>
              <w:divsChild>
                <w:div w:id="1600916682">
                  <w:marLeft w:val="0"/>
                  <w:marRight w:val="1"/>
                  <w:marTop w:val="0"/>
                  <w:marBottom w:val="0"/>
                  <w:divBdr>
                    <w:top w:val="none" w:sz="0" w:space="0" w:color="auto"/>
                    <w:left w:val="none" w:sz="0" w:space="0" w:color="auto"/>
                    <w:bottom w:val="none" w:sz="0" w:space="0" w:color="auto"/>
                    <w:right w:val="none" w:sz="0" w:space="0" w:color="auto"/>
                  </w:divBdr>
                  <w:divsChild>
                    <w:div w:id="1645740481">
                      <w:marLeft w:val="0"/>
                      <w:marRight w:val="0"/>
                      <w:marTop w:val="0"/>
                      <w:marBottom w:val="0"/>
                      <w:divBdr>
                        <w:top w:val="none" w:sz="0" w:space="0" w:color="auto"/>
                        <w:left w:val="none" w:sz="0" w:space="0" w:color="auto"/>
                        <w:bottom w:val="none" w:sz="0" w:space="0" w:color="auto"/>
                        <w:right w:val="none" w:sz="0" w:space="0" w:color="auto"/>
                      </w:divBdr>
                      <w:divsChild>
                        <w:div w:id="1955555561">
                          <w:marLeft w:val="0"/>
                          <w:marRight w:val="0"/>
                          <w:marTop w:val="0"/>
                          <w:marBottom w:val="0"/>
                          <w:divBdr>
                            <w:top w:val="none" w:sz="0" w:space="0" w:color="auto"/>
                            <w:left w:val="none" w:sz="0" w:space="0" w:color="auto"/>
                            <w:bottom w:val="none" w:sz="0" w:space="0" w:color="auto"/>
                            <w:right w:val="none" w:sz="0" w:space="0" w:color="auto"/>
                          </w:divBdr>
                          <w:divsChild>
                            <w:div w:id="1135492974">
                              <w:marLeft w:val="0"/>
                              <w:marRight w:val="0"/>
                              <w:marTop w:val="120"/>
                              <w:marBottom w:val="360"/>
                              <w:divBdr>
                                <w:top w:val="none" w:sz="0" w:space="0" w:color="auto"/>
                                <w:left w:val="none" w:sz="0" w:space="0" w:color="auto"/>
                                <w:bottom w:val="none" w:sz="0" w:space="0" w:color="auto"/>
                                <w:right w:val="none" w:sz="0" w:space="0" w:color="auto"/>
                              </w:divBdr>
                              <w:divsChild>
                                <w:div w:id="143861777">
                                  <w:marLeft w:val="0"/>
                                  <w:marRight w:val="0"/>
                                  <w:marTop w:val="0"/>
                                  <w:marBottom w:val="0"/>
                                  <w:divBdr>
                                    <w:top w:val="none" w:sz="0" w:space="0" w:color="auto"/>
                                    <w:left w:val="none" w:sz="0" w:space="0" w:color="auto"/>
                                    <w:bottom w:val="none" w:sz="0" w:space="0" w:color="auto"/>
                                    <w:right w:val="none" w:sz="0" w:space="0" w:color="auto"/>
                                  </w:divBdr>
                                  <w:divsChild>
                                    <w:div w:id="1151363573">
                                      <w:marLeft w:val="0"/>
                                      <w:marRight w:val="0"/>
                                      <w:marTop w:val="0"/>
                                      <w:marBottom w:val="0"/>
                                      <w:divBdr>
                                        <w:top w:val="none" w:sz="0" w:space="0" w:color="auto"/>
                                        <w:left w:val="none" w:sz="0" w:space="0" w:color="auto"/>
                                        <w:bottom w:val="none" w:sz="0" w:space="0" w:color="auto"/>
                                        <w:right w:val="none" w:sz="0" w:space="0" w:color="auto"/>
                                      </w:divBdr>
                                    </w:div>
                                  </w:divsChild>
                                </w:div>
                                <w:div w:id="291521325">
                                  <w:marLeft w:val="0"/>
                                  <w:marRight w:val="0"/>
                                  <w:marTop w:val="0"/>
                                  <w:marBottom w:val="0"/>
                                  <w:divBdr>
                                    <w:top w:val="none" w:sz="0" w:space="0" w:color="auto"/>
                                    <w:left w:val="none" w:sz="0" w:space="0" w:color="auto"/>
                                    <w:bottom w:val="none" w:sz="0" w:space="0" w:color="auto"/>
                                    <w:right w:val="none" w:sz="0" w:space="0" w:color="auto"/>
                                  </w:divBdr>
                                  <w:divsChild>
                                    <w:div w:id="352532881">
                                      <w:marLeft w:val="0"/>
                                      <w:marRight w:val="0"/>
                                      <w:marTop w:val="0"/>
                                      <w:marBottom w:val="0"/>
                                      <w:divBdr>
                                        <w:top w:val="none" w:sz="0" w:space="0" w:color="auto"/>
                                        <w:left w:val="none" w:sz="0" w:space="0" w:color="auto"/>
                                        <w:bottom w:val="none" w:sz="0" w:space="0" w:color="auto"/>
                                        <w:right w:val="none" w:sz="0" w:space="0" w:color="auto"/>
                                      </w:divBdr>
                                    </w:div>
                                  </w:divsChild>
                                </w:div>
                                <w:div w:id="838426452">
                                  <w:marLeft w:val="0"/>
                                  <w:marRight w:val="0"/>
                                  <w:marTop w:val="0"/>
                                  <w:marBottom w:val="0"/>
                                  <w:divBdr>
                                    <w:top w:val="none" w:sz="0" w:space="0" w:color="auto"/>
                                    <w:left w:val="none" w:sz="0" w:space="0" w:color="auto"/>
                                    <w:bottom w:val="none" w:sz="0" w:space="0" w:color="auto"/>
                                    <w:right w:val="none" w:sz="0" w:space="0" w:color="auto"/>
                                  </w:divBdr>
                                </w:div>
                                <w:div w:id="1078214980">
                                  <w:marLeft w:val="0"/>
                                  <w:marRight w:val="0"/>
                                  <w:marTop w:val="0"/>
                                  <w:marBottom w:val="0"/>
                                  <w:divBdr>
                                    <w:top w:val="none" w:sz="0" w:space="0" w:color="auto"/>
                                    <w:left w:val="none" w:sz="0" w:space="0" w:color="auto"/>
                                    <w:bottom w:val="none" w:sz="0" w:space="0" w:color="auto"/>
                                    <w:right w:val="none" w:sz="0" w:space="0" w:color="auto"/>
                                  </w:divBdr>
                                </w:div>
                                <w:div w:id="1478298339">
                                  <w:marLeft w:val="0"/>
                                  <w:marRight w:val="0"/>
                                  <w:marTop w:val="0"/>
                                  <w:marBottom w:val="0"/>
                                  <w:divBdr>
                                    <w:top w:val="none" w:sz="0" w:space="0" w:color="auto"/>
                                    <w:left w:val="none" w:sz="0" w:space="0" w:color="auto"/>
                                    <w:bottom w:val="none" w:sz="0" w:space="0" w:color="auto"/>
                                    <w:right w:val="none" w:sz="0" w:space="0" w:color="auto"/>
                                  </w:divBdr>
                                  <w:divsChild>
                                    <w:div w:id="487213821">
                                      <w:marLeft w:val="0"/>
                                      <w:marRight w:val="0"/>
                                      <w:marTop w:val="0"/>
                                      <w:marBottom w:val="0"/>
                                      <w:divBdr>
                                        <w:top w:val="none" w:sz="0" w:space="0" w:color="auto"/>
                                        <w:left w:val="none" w:sz="0" w:space="0" w:color="auto"/>
                                        <w:bottom w:val="none" w:sz="0" w:space="0" w:color="auto"/>
                                        <w:right w:val="none" w:sz="0" w:space="0" w:color="auto"/>
                                      </w:divBdr>
                                    </w:div>
                                  </w:divsChild>
                                </w:div>
                                <w:div w:id="158002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9137408">
      <w:bodyDiv w:val="1"/>
      <w:marLeft w:val="0"/>
      <w:marRight w:val="0"/>
      <w:marTop w:val="0"/>
      <w:marBottom w:val="0"/>
      <w:divBdr>
        <w:top w:val="none" w:sz="0" w:space="0" w:color="auto"/>
        <w:left w:val="none" w:sz="0" w:space="0" w:color="auto"/>
        <w:bottom w:val="none" w:sz="0" w:space="0" w:color="auto"/>
        <w:right w:val="none" w:sz="0" w:space="0" w:color="auto"/>
      </w:divBdr>
      <w:divsChild>
        <w:div w:id="1272470718">
          <w:marLeft w:val="0"/>
          <w:marRight w:val="0"/>
          <w:marTop w:val="240"/>
          <w:marBottom w:val="100"/>
          <w:divBdr>
            <w:top w:val="none" w:sz="0" w:space="0" w:color="auto"/>
            <w:left w:val="none" w:sz="0" w:space="0" w:color="auto"/>
            <w:bottom w:val="none" w:sz="0" w:space="0" w:color="auto"/>
            <w:right w:val="none" w:sz="0" w:space="0" w:color="auto"/>
          </w:divBdr>
          <w:divsChild>
            <w:div w:id="1279414640">
              <w:marLeft w:val="0"/>
              <w:marRight w:val="0"/>
              <w:marTop w:val="0"/>
              <w:marBottom w:val="0"/>
              <w:divBdr>
                <w:top w:val="none" w:sz="0" w:space="0" w:color="auto"/>
                <w:left w:val="none" w:sz="0" w:space="0" w:color="auto"/>
                <w:bottom w:val="none" w:sz="0" w:space="0" w:color="auto"/>
                <w:right w:val="none" w:sz="0" w:space="0" w:color="auto"/>
              </w:divBdr>
            </w:div>
          </w:divsChild>
        </w:div>
        <w:div w:id="2074574293">
          <w:marLeft w:val="0"/>
          <w:marRight w:val="0"/>
          <w:marTop w:val="288"/>
          <w:marBottom w:val="100"/>
          <w:divBdr>
            <w:top w:val="none" w:sz="0" w:space="0" w:color="auto"/>
            <w:left w:val="none" w:sz="0" w:space="0" w:color="auto"/>
            <w:bottom w:val="none" w:sz="0" w:space="0" w:color="auto"/>
            <w:right w:val="none" w:sz="0" w:space="0" w:color="auto"/>
          </w:divBdr>
          <w:divsChild>
            <w:div w:id="20073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02771">
      <w:bodyDiv w:val="1"/>
      <w:marLeft w:val="0"/>
      <w:marRight w:val="0"/>
      <w:marTop w:val="0"/>
      <w:marBottom w:val="0"/>
      <w:divBdr>
        <w:top w:val="none" w:sz="0" w:space="0" w:color="auto"/>
        <w:left w:val="none" w:sz="0" w:space="0" w:color="auto"/>
        <w:bottom w:val="none" w:sz="0" w:space="0" w:color="auto"/>
        <w:right w:val="none" w:sz="0" w:space="0" w:color="auto"/>
      </w:divBdr>
      <w:divsChild>
        <w:div w:id="1328089941">
          <w:marLeft w:val="0"/>
          <w:marRight w:val="0"/>
          <w:marTop w:val="240"/>
          <w:marBottom w:val="100"/>
          <w:divBdr>
            <w:top w:val="none" w:sz="0" w:space="0" w:color="auto"/>
            <w:left w:val="none" w:sz="0" w:space="0" w:color="auto"/>
            <w:bottom w:val="none" w:sz="0" w:space="0" w:color="auto"/>
            <w:right w:val="none" w:sz="0" w:space="0" w:color="auto"/>
          </w:divBdr>
          <w:divsChild>
            <w:div w:id="569193217">
              <w:marLeft w:val="0"/>
              <w:marRight w:val="0"/>
              <w:marTop w:val="0"/>
              <w:marBottom w:val="0"/>
              <w:divBdr>
                <w:top w:val="none" w:sz="0" w:space="0" w:color="auto"/>
                <w:left w:val="none" w:sz="0" w:space="0" w:color="auto"/>
                <w:bottom w:val="none" w:sz="0" w:space="0" w:color="auto"/>
                <w:right w:val="none" w:sz="0" w:space="0" w:color="auto"/>
              </w:divBdr>
            </w:div>
          </w:divsChild>
        </w:div>
        <w:div w:id="2078042466">
          <w:marLeft w:val="0"/>
          <w:marRight w:val="0"/>
          <w:marTop w:val="288"/>
          <w:marBottom w:val="100"/>
          <w:divBdr>
            <w:top w:val="none" w:sz="0" w:space="0" w:color="auto"/>
            <w:left w:val="none" w:sz="0" w:space="0" w:color="auto"/>
            <w:bottom w:val="none" w:sz="0" w:space="0" w:color="auto"/>
            <w:right w:val="none" w:sz="0" w:space="0" w:color="auto"/>
          </w:divBdr>
          <w:divsChild>
            <w:div w:id="144022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64529">
      <w:bodyDiv w:val="1"/>
      <w:marLeft w:val="0"/>
      <w:marRight w:val="0"/>
      <w:marTop w:val="0"/>
      <w:marBottom w:val="0"/>
      <w:divBdr>
        <w:top w:val="none" w:sz="0" w:space="0" w:color="auto"/>
        <w:left w:val="none" w:sz="0" w:space="0" w:color="auto"/>
        <w:bottom w:val="none" w:sz="0" w:space="0" w:color="auto"/>
        <w:right w:val="none" w:sz="0" w:space="0" w:color="auto"/>
      </w:divBdr>
      <w:divsChild>
        <w:div w:id="795370563">
          <w:marLeft w:val="0"/>
          <w:marRight w:val="0"/>
          <w:marTop w:val="288"/>
          <w:marBottom w:val="100"/>
          <w:divBdr>
            <w:top w:val="none" w:sz="0" w:space="0" w:color="auto"/>
            <w:left w:val="none" w:sz="0" w:space="0" w:color="auto"/>
            <w:bottom w:val="none" w:sz="0" w:space="0" w:color="auto"/>
            <w:right w:val="none" w:sz="0" w:space="0" w:color="auto"/>
          </w:divBdr>
          <w:divsChild>
            <w:div w:id="1461607775">
              <w:marLeft w:val="0"/>
              <w:marRight w:val="0"/>
              <w:marTop w:val="0"/>
              <w:marBottom w:val="0"/>
              <w:divBdr>
                <w:top w:val="none" w:sz="0" w:space="0" w:color="auto"/>
                <w:left w:val="none" w:sz="0" w:space="0" w:color="auto"/>
                <w:bottom w:val="none" w:sz="0" w:space="0" w:color="auto"/>
                <w:right w:val="none" w:sz="0" w:space="0" w:color="auto"/>
              </w:divBdr>
            </w:div>
          </w:divsChild>
        </w:div>
        <w:div w:id="2034068457">
          <w:marLeft w:val="0"/>
          <w:marRight w:val="0"/>
          <w:marTop w:val="288"/>
          <w:marBottom w:val="100"/>
          <w:divBdr>
            <w:top w:val="none" w:sz="0" w:space="0" w:color="auto"/>
            <w:left w:val="none" w:sz="0" w:space="0" w:color="auto"/>
            <w:bottom w:val="none" w:sz="0" w:space="0" w:color="auto"/>
            <w:right w:val="none" w:sz="0" w:space="0" w:color="auto"/>
          </w:divBdr>
          <w:divsChild>
            <w:div w:id="20869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4726">
      <w:bodyDiv w:val="1"/>
      <w:marLeft w:val="0"/>
      <w:marRight w:val="0"/>
      <w:marTop w:val="0"/>
      <w:marBottom w:val="0"/>
      <w:divBdr>
        <w:top w:val="none" w:sz="0" w:space="0" w:color="auto"/>
        <w:left w:val="none" w:sz="0" w:space="0" w:color="auto"/>
        <w:bottom w:val="none" w:sz="0" w:space="0" w:color="auto"/>
        <w:right w:val="none" w:sz="0" w:space="0" w:color="auto"/>
      </w:divBdr>
      <w:divsChild>
        <w:div w:id="1426657287">
          <w:marLeft w:val="0"/>
          <w:marRight w:val="0"/>
          <w:marTop w:val="288"/>
          <w:marBottom w:val="100"/>
          <w:divBdr>
            <w:top w:val="none" w:sz="0" w:space="0" w:color="auto"/>
            <w:left w:val="none" w:sz="0" w:space="0" w:color="auto"/>
            <w:bottom w:val="none" w:sz="0" w:space="0" w:color="auto"/>
            <w:right w:val="none" w:sz="0" w:space="0" w:color="auto"/>
          </w:divBdr>
          <w:divsChild>
            <w:div w:id="642584109">
              <w:marLeft w:val="0"/>
              <w:marRight w:val="0"/>
              <w:marTop w:val="0"/>
              <w:marBottom w:val="0"/>
              <w:divBdr>
                <w:top w:val="none" w:sz="0" w:space="0" w:color="auto"/>
                <w:left w:val="none" w:sz="0" w:space="0" w:color="auto"/>
                <w:bottom w:val="none" w:sz="0" w:space="0" w:color="auto"/>
                <w:right w:val="none" w:sz="0" w:space="0" w:color="auto"/>
              </w:divBdr>
            </w:div>
          </w:divsChild>
        </w:div>
        <w:div w:id="1538666172">
          <w:marLeft w:val="0"/>
          <w:marRight w:val="0"/>
          <w:marTop w:val="288"/>
          <w:marBottom w:val="100"/>
          <w:divBdr>
            <w:top w:val="none" w:sz="0" w:space="0" w:color="auto"/>
            <w:left w:val="none" w:sz="0" w:space="0" w:color="auto"/>
            <w:bottom w:val="none" w:sz="0" w:space="0" w:color="auto"/>
            <w:right w:val="none" w:sz="0" w:space="0" w:color="auto"/>
          </w:divBdr>
          <w:divsChild>
            <w:div w:id="308175571">
              <w:marLeft w:val="0"/>
              <w:marRight w:val="0"/>
              <w:marTop w:val="0"/>
              <w:marBottom w:val="0"/>
              <w:divBdr>
                <w:top w:val="none" w:sz="0" w:space="0" w:color="auto"/>
                <w:left w:val="none" w:sz="0" w:space="0" w:color="auto"/>
                <w:bottom w:val="none" w:sz="0" w:space="0" w:color="auto"/>
                <w:right w:val="none" w:sz="0" w:space="0" w:color="auto"/>
              </w:divBdr>
            </w:div>
          </w:divsChild>
        </w:div>
        <w:div w:id="1786004746">
          <w:marLeft w:val="0"/>
          <w:marRight w:val="0"/>
          <w:marTop w:val="432"/>
          <w:marBottom w:val="100"/>
          <w:divBdr>
            <w:top w:val="none" w:sz="0" w:space="0" w:color="auto"/>
            <w:left w:val="none" w:sz="0" w:space="0" w:color="auto"/>
            <w:bottom w:val="none" w:sz="0" w:space="0" w:color="auto"/>
            <w:right w:val="none" w:sz="0" w:space="0" w:color="auto"/>
          </w:divBdr>
        </w:div>
      </w:divsChild>
    </w:div>
    <w:div w:id="2034114281">
      <w:bodyDiv w:val="1"/>
      <w:marLeft w:val="0"/>
      <w:marRight w:val="0"/>
      <w:marTop w:val="0"/>
      <w:marBottom w:val="0"/>
      <w:divBdr>
        <w:top w:val="none" w:sz="0" w:space="0" w:color="auto"/>
        <w:left w:val="none" w:sz="0" w:space="0" w:color="auto"/>
        <w:bottom w:val="none" w:sz="0" w:space="0" w:color="auto"/>
        <w:right w:val="none" w:sz="0" w:space="0" w:color="auto"/>
      </w:divBdr>
      <w:divsChild>
        <w:div w:id="529413825">
          <w:marLeft w:val="0"/>
          <w:marRight w:val="0"/>
          <w:marTop w:val="240"/>
          <w:marBottom w:val="100"/>
          <w:divBdr>
            <w:top w:val="none" w:sz="0" w:space="0" w:color="auto"/>
            <w:left w:val="none" w:sz="0" w:space="0" w:color="auto"/>
            <w:bottom w:val="none" w:sz="0" w:space="0" w:color="auto"/>
            <w:right w:val="none" w:sz="0" w:space="0" w:color="auto"/>
          </w:divBdr>
          <w:divsChild>
            <w:div w:id="512375813">
              <w:marLeft w:val="0"/>
              <w:marRight w:val="0"/>
              <w:marTop w:val="0"/>
              <w:marBottom w:val="0"/>
              <w:divBdr>
                <w:top w:val="none" w:sz="0" w:space="0" w:color="auto"/>
                <w:left w:val="none" w:sz="0" w:space="0" w:color="auto"/>
                <w:bottom w:val="none" w:sz="0" w:space="0" w:color="auto"/>
                <w:right w:val="none" w:sz="0" w:space="0" w:color="auto"/>
              </w:divBdr>
            </w:div>
          </w:divsChild>
        </w:div>
        <w:div w:id="894632419">
          <w:marLeft w:val="0"/>
          <w:marRight w:val="0"/>
          <w:marTop w:val="288"/>
          <w:marBottom w:val="100"/>
          <w:divBdr>
            <w:top w:val="none" w:sz="0" w:space="0" w:color="auto"/>
            <w:left w:val="none" w:sz="0" w:space="0" w:color="auto"/>
            <w:bottom w:val="none" w:sz="0" w:space="0" w:color="auto"/>
            <w:right w:val="none" w:sz="0" w:space="0" w:color="auto"/>
          </w:divBdr>
          <w:divsChild>
            <w:div w:id="72387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12296">
      <w:bodyDiv w:val="1"/>
      <w:marLeft w:val="0"/>
      <w:marRight w:val="0"/>
      <w:marTop w:val="0"/>
      <w:marBottom w:val="0"/>
      <w:divBdr>
        <w:top w:val="none" w:sz="0" w:space="0" w:color="auto"/>
        <w:left w:val="none" w:sz="0" w:space="0" w:color="auto"/>
        <w:bottom w:val="none" w:sz="0" w:space="0" w:color="auto"/>
        <w:right w:val="none" w:sz="0" w:space="0" w:color="auto"/>
      </w:divBdr>
      <w:divsChild>
        <w:div w:id="117115746">
          <w:marLeft w:val="0"/>
          <w:marRight w:val="0"/>
          <w:marTop w:val="288"/>
          <w:marBottom w:val="100"/>
          <w:divBdr>
            <w:top w:val="none" w:sz="0" w:space="0" w:color="auto"/>
            <w:left w:val="none" w:sz="0" w:space="0" w:color="auto"/>
            <w:bottom w:val="none" w:sz="0" w:space="0" w:color="auto"/>
            <w:right w:val="none" w:sz="0" w:space="0" w:color="auto"/>
          </w:divBdr>
          <w:divsChild>
            <w:div w:id="1362894497">
              <w:marLeft w:val="0"/>
              <w:marRight w:val="0"/>
              <w:marTop w:val="0"/>
              <w:marBottom w:val="0"/>
              <w:divBdr>
                <w:top w:val="none" w:sz="0" w:space="0" w:color="auto"/>
                <w:left w:val="none" w:sz="0" w:space="0" w:color="auto"/>
                <w:bottom w:val="none" w:sz="0" w:space="0" w:color="auto"/>
                <w:right w:val="none" w:sz="0" w:space="0" w:color="auto"/>
              </w:divBdr>
            </w:div>
          </w:divsChild>
        </w:div>
        <w:div w:id="1126390947">
          <w:marLeft w:val="0"/>
          <w:marRight w:val="0"/>
          <w:marTop w:val="288"/>
          <w:marBottom w:val="100"/>
          <w:divBdr>
            <w:top w:val="none" w:sz="0" w:space="0" w:color="auto"/>
            <w:left w:val="none" w:sz="0" w:space="0" w:color="auto"/>
            <w:bottom w:val="none" w:sz="0" w:space="0" w:color="auto"/>
            <w:right w:val="none" w:sz="0" w:space="0" w:color="auto"/>
          </w:divBdr>
          <w:divsChild>
            <w:div w:id="122514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213436">
      <w:bodyDiv w:val="1"/>
      <w:marLeft w:val="0"/>
      <w:marRight w:val="0"/>
      <w:marTop w:val="0"/>
      <w:marBottom w:val="0"/>
      <w:divBdr>
        <w:top w:val="none" w:sz="0" w:space="0" w:color="auto"/>
        <w:left w:val="none" w:sz="0" w:space="0" w:color="auto"/>
        <w:bottom w:val="none" w:sz="0" w:space="0" w:color="auto"/>
        <w:right w:val="none" w:sz="0" w:space="0" w:color="auto"/>
      </w:divBdr>
      <w:divsChild>
        <w:div w:id="1724215103">
          <w:marLeft w:val="0"/>
          <w:marRight w:val="1"/>
          <w:marTop w:val="0"/>
          <w:marBottom w:val="0"/>
          <w:divBdr>
            <w:top w:val="none" w:sz="0" w:space="0" w:color="auto"/>
            <w:left w:val="none" w:sz="0" w:space="0" w:color="auto"/>
            <w:bottom w:val="none" w:sz="0" w:space="0" w:color="auto"/>
            <w:right w:val="none" w:sz="0" w:space="0" w:color="auto"/>
          </w:divBdr>
          <w:divsChild>
            <w:div w:id="1135871933">
              <w:marLeft w:val="0"/>
              <w:marRight w:val="0"/>
              <w:marTop w:val="0"/>
              <w:marBottom w:val="0"/>
              <w:divBdr>
                <w:top w:val="none" w:sz="0" w:space="0" w:color="auto"/>
                <w:left w:val="none" w:sz="0" w:space="0" w:color="auto"/>
                <w:bottom w:val="none" w:sz="0" w:space="0" w:color="auto"/>
                <w:right w:val="none" w:sz="0" w:space="0" w:color="auto"/>
              </w:divBdr>
              <w:divsChild>
                <w:div w:id="584726377">
                  <w:marLeft w:val="0"/>
                  <w:marRight w:val="1"/>
                  <w:marTop w:val="0"/>
                  <w:marBottom w:val="0"/>
                  <w:divBdr>
                    <w:top w:val="none" w:sz="0" w:space="0" w:color="auto"/>
                    <w:left w:val="none" w:sz="0" w:space="0" w:color="auto"/>
                    <w:bottom w:val="none" w:sz="0" w:space="0" w:color="auto"/>
                    <w:right w:val="none" w:sz="0" w:space="0" w:color="auto"/>
                  </w:divBdr>
                  <w:divsChild>
                    <w:div w:id="2115975386">
                      <w:marLeft w:val="0"/>
                      <w:marRight w:val="0"/>
                      <w:marTop w:val="0"/>
                      <w:marBottom w:val="0"/>
                      <w:divBdr>
                        <w:top w:val="none" w:sz="0" w:space="0" w:color="auto"/>
                        <w:left w:val="none" w:sz="0" w:space="0" w:color="auto"/>
                        <w:bottom w:val="none" w:sz="0" w:space="0" w:color="auto"/>
                        <w:right w:val="none" w:sz="0" w:space="0" w:color="auto"/>
                      </w:divBdr>
                      <w:divsChild>
                        <w:div w:id="1920409919">
                          <w:marLeft w:val="0"/>
                          <w:marRight w:val="0"/>
                          <w:marTop w:val="0"/>
                          <w:marBottom w:val="0"/>
                          <w:divBdr>
                            <w:top w:val="none" w:sz="0" w:space="0" w:color="auto"/>
                            <w:left w:val="none" w:sz="0" w:space="0" w:color="auto"/>
                            <w:bottom w:val="none" w:sz="0" w:space="0" w:color="auto"/>
                            <w:right w:val="none" w:sz="0" w:space="0" w:color="auto"/>
                          </w:divBdr>
                          <w:divsChild>
                            <w:div w:id="1133789698">
                              <w:marLeft w:val="0"/>
                              <w:marRight w:val="0"/>
                              <w:marTop w:val="120"/>
                              <w:marBottom w:val="360"/>
                              <w:divBdr>
                                <w:top w:val="none" w:sz="0" w:space="0" w:color="auto"/>
                                <w:left w:val="none" w:sz="0" w:space="0" w:color="auto"/>
                                <w:bottom w:val="none" w:sz="0" w:space="0" w:color="auto"/>
                                <w:right w:val="none" w:sz="0" w:space="0" w:color="auto"/>
                              </w:divBdr>
                              <w:divsChild>
                                <w:div w:id="168257283">
                                  <w:marLeft w:val="0"/>
                                  <w:marRight w:val="0"/>
                                  <w:marTop w:val="0"/>
                                  <w:marBottom w:val="0"/>
                                  <w:divBdr>
                                    <w:top w:val="none" w:sz="0" w:space="0" w:color="auto"/>
                                    <w:left w:val="none" w:sz="0" w:space="0" w:color="auto"/>
                                    <w:bottom w:val="none" w:sz="0" w:space="0" w:color="auto"/>
                                    <w:right w:val="none" w:sz="0" w:space="0" w:color="auto"/>
                                  </w:divBdr>
                                  <w:divsChild>
                                    <w:div w:id="361639516">
                                      <w:marLeft w:val="0"/>
                                      <w:marRight w:val="0"/>
                                      <w:marTop w:val="0"/>
                                      <w:marBottom w:val="0"/>
                                      <w:divBdr>
                                        <w:top w:val="none" w:sz="0" w:space="0" w:color="auto"/>
                                        <w:left w:val="none" w:sz="0" w:space="0" w:color="auto"/>
                                        <w:bottom w:val="none" w:sz="0" w:space="0" w:color="auto"/>
                                        <w:right w:val="none" w:sz="0" w:space="0" w:color="auto"/>
                                      </w:divBdr>
                                    </w:div>
                                  </w:divsChild>
                                </w:div>
                                <w:div w:id="1177883548">
                                  <w:marLeft w:val="0"/>
                                  <w:marRight w:val="0"/>
                                  <w:marTop w:val="0"/>
                                  <w:marBottom w:val="0"/>
                                  <w:divBdr>
                                    <w:top w:val="none" w:sz="0" w:space="0" w:color="auto"/>
                                    <w:left w:val="none" w:sz="0" w:space="0" w:color="auto"/>
                                    <w:bottom w:val="none" w:sz="0" w:space="0" w:color="auto"/>
                                    <w:right w:val="none" w:sz="0" w:space="0" w:color="auto"/>
                                  </w:divBdr>
                                  <w:divsChild>
                                    <w:div w:id="193543237">
                                      <w:marLeft w:val="0"/>
                                      <w:marRight w:val="0"/>
                                      <w:marTop w:val="0"/>
                                      <w:marBottom w:val="0"/>
                                      <w:divBdr>
                                        <w:top w:val="none" w:sz="0" w:space="0" w:color="auto"/>
                                        <w:left w:val="none" w:sz="0" w:space="0" w:color="auto"/>
                                        <w:bottom w:val="none" w:sz="0" w:space="0" w:color="auto"/>
                                        <w:right w:val="none" w:sz="0" w:space="0" w:color="auto"/>
                                      </w:divBdr>
                                    </w:div>
                                  </w:divsChild>
                                </w:div>
                                <w:div w:id="1266114866">
                                  <w:marLeft w:val="0"/>
                                  <w:marRight w:val="0"/>
                                  <w:marTop w:val="0"/>
                                  <w:marBottom w:val="0"/>
                                  <w:divBdr>
                                    <w:top w:val="none" w:sz="0" w:space="0" w:color="auto"/>
                                    <w:left w:val="none" w:sz="0" w:space="0" w:color="auto"/>
                                    <w:bottom w:val="none" w:sz="0" w:space="0" w:color="auto"/>
                                    <w:right w:val="none" w:sz="0" w:space="0" w:color="auto"/>
                                  </w:divBdr>
                                </w:div>
                                <w:div w:id="1311397726">
                                  <w:marLeft w:val="0"/>
                                  <w:marRight w:val="0"/>
                                  <w:marTop w:val="0"/>
                                  <w:marBottom w:val="0"/>
                                  <w:divBdr>
                                    <w:top w:val="none" w:sz="0" w:space="0" w:color="auto"/>
                                    <w:left w:val="none" w:sz="0" w:space="0" w:color="auto"/>
                                    <w:bottom w:val="none" w:sz="0" w:space="0" w:color="auto"/>
                                    <w:right w:val="none" w:sz="0" w:space="0" w:color="auto"/>
                                  </w:divBdr>
                                </w:div>
                                <w:div w:id="183529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6443494">
      <w:bodyDiv w:val="1"/>
      <w:marLeft w:val="0"/>
      <w:marRight w:val="0"/>
      <w:marTop w:val="0"/>
      <w:marBottom w:val="0"/>
      <w:divBdr>
        <w:top w:val="none" w:sz="0" w:space="0" w:color="auto"/>
        <w:left w:val="none" w:sz="0" w:space="0" w:color="auto"/>
        <w:bottom w:val="none" w:sz="0" w:space="0" w:color="auto"/>
        <w:right w:val="none" w:sz="0" w:space="0" w:color="auto"/>
      </w:divBdr>
      <w:divsChild>
        <w:div w:id="799374942">
          <w:marLeft w:val="0"/>
          <w:marRight w:val="0"/>
          <w:marTop w:val="288"/>
          <w:marBottom w:val="100"/>
          <w:divBdr>
            <w:top w:val="none" w:sz="0" w:space="0" w:color="auto"/>
            <w:left w:val="none" w:sz="0" w:space="0" w:color="auto"/>
            <w:bottom w:val="none" w:sz="0" w:space="0" w:color="auto"/>
            <w:right w:val="none" w:sz="0" w:space="0" w:color="auto"/>
          </w:divBdr>
          <w:divsChild>
            <w:div w:id="1101754250">
              <w:marLeft w:val="0"/>
              <w:marRight w:val="0"/>
              <w:marTop w:val="0"/>
              <w:marBottom w:val="0"/>
              <w:divBdr>
                <w:top w:val="none" w:sz="0" w:space="0" w:color="auto"/>
                <w:left w:val="none" w:sz="0" w:space="0" w:color="auto"/>
                <w:bottom w:val="none" w:sz="0" w:space="0" w:color="auto"/>
                <w:right w:val="none" w:sz="0" w:space="0" w:color="auto"/>
              </w:divBdr>
            </w:div>
          </w:divsChild>
        </w:div>
        <w:div w:id="1649283915">
          <w:marLeft w:val="0"/>
          <w:marRight w:val="0"/>
          <w:marTop w:val="288"/>
          <w:marBottom w:val="100"/>
          <w:divBdr>
            <w:top w:val="none" w:sz="0" w:space="0" w:color="auto"/>
            <w:left w:val="none" w:sz="0" w:space="0" w:color="auto"/>
            <w:bottom w:val="none" w:sz="0" w:space="0" w:color="auto"/>
            <w:right w:val="none" w:sz="0" w:space="0" w:color="auto"/>
          </w:divBdr>
          <w:divsChild>
            <w:div w:id="37434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64926">
      <w:bodyDiv w:val="1"/>
      <w:marLeft w:val="0"/>
      <w:marRight w:val="0"/>
      <w:marTop w:val="0"/>
      <w:marBottom w:val="0"/>
      <w:divBdr>
        <w:top w:val="none" w:sz="0" w:space="0" w:color="auto"/>
        <w:left w:val="none" w:sz="0" w:space="0" w:color="auto"/>
        <w:bottom w:val="none" w:sz="0" w:space="0" w:color="auto"/>
        <w:right w:val="none" w:sz="0" w:space="0" w:color="auto"/>
      </w:divBdr>
    </w:div>
    <w:div w:id="2083718712">
      <w:bodyDiv w:val="1"/>
      <w:marLeft w:val="0"/>
      <w:marRight w:val="0"/>
      <w:marTop w:val="0"/>
      <w:marBottom w:val="0"/>
      <w:divBdr>
        <w:top w:val="none" w:sz="0" w:space="0" w:color="auto"/>
        <w:left w:val="none" w:sz="0" w:space="0" w:color="auto"/>
        <w:bottom w:val="none" w:sz="0" w:space="0" w:color="auto"/>
        <w:right w:val="none" w:sz="0" w:space="0" w:color="auto"/>
      </w:divBdr>
    </w:div>
    <w:div w:id="2116511527">
      <w:bodyDiv w:val="1"/>
      <w:marLeft w:val="0"/>
      <w:marRight w:val="0"/>
      <w:marTop w:val="0"/>
      <w:marBottom w:val="0"/>
      <w:divBdr>
        <w:top w:val="none" w:sz="0" w:space="0" w:color="auto"/>
        <w:left w:val="none" w:sz="0" w:space="0" w:color="auto"/>
        <w:bottom w:val="none" w:sz="0" w:space="0" w:color="auto"/>
        <w:right w:val="none" w:sz="0" w:space="0" w:color="auto"/>
      </w:divBdr>
      <w:divsChild>
        <w:div w:id="846019661">
          <w:marLeft w:val="0"/>
          <w:marRight w:val="0"/>
          <w:marTop w:val="288"/>
          <w:marBottom w:val="100"/>
          <w:divBdr>
            <w:top w:val="none" w:sz="0" w:space="0" w:color="auto"/>
            <w:left w:val="none" w:sz="0" w:space="0" w:color="auto"/>
            <w:bottom w:val="none" w:sz="0" w:space="0" w:color="auto"/>
            <w:right w:val="none" w:sz="0" w:space="0" w:color="auto"/>
          </w:divBdr>
          <w:divsChild>
            <w:div w:id="56364224">
              <w:marLeft w:val="0"/>
              <w:marRight w:val="0"/>
              <w:marTop w:val="0"/>
              <w:marBottom w:val="0"/>
              <w:divBdr>
                <w:top w:val="none" w:sz="0" w:space="0" w:color="auto"/>
                <w:left w:val="none" w:sz="0" w:space="0" w:color="auto"/>
                <w:bottom w:val="none" w:sz="0" w:space="0" w:color="auto"/>
                <w:right w:val="none" w:sz="0" w:space="0" w:color="auto"/>
              </w:divBdr>
            </w:div>
          </w:divsChild>
        </w:div>
        <w:div w:id="1184976204">
          <w:marLeft w:val="0"/>
          <w:marRight w:val="0"/>
          <w:marTop w:val="288"/>
          <w:marBottom w:val="100"/>
          <w:divBdr>
            <w:top w:val="none" w:sz="0" w:space="0" w:color="auto"/>
            <w:left w:val="none" w:sz="0" w:space="0" w:color="auto"/>
            <w:bottom w:val="none" w:sz="0" w:space="0" w:color="auto"/>
            <w:right w:val="none" w:sz="0" w:space="0" w:color="auto"/>
          </w:divBdr>
          <w:divsChild>
            <w:div w:id="14486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328606">
      <w:bodyDiv w:val="1"/>
      <w:marLeft w:val="0"/>
      <w:marRight w:val="0"/>
      <w:marTop w:val="0"/>
      <w:marBottom w:val="0"/>
      <w:divBdr>
        <w:top w:val="none" w:sz="0" w:space="0" w:color="auto"/>
        <w:left w:val="none" w:sz="0" w:space="0" w:color="auto"/>
        <w:bottom w:val="none" w:sz="0" w:space="0" w:color="auto"/>
        <w:right w:val="none" w:sz="0" w:space="0" w:color="auto"/>
      </w:divBdr>
    </w:div>
    <w:div w:id="2145192819">
      <w:bodyDiv w:val="1"/>
      <w:marLeft w:val="0"/>
      <w:marRight w:val="0"/>
      <w:marTop w:val="0"/>
      <w:marBottom w:val="0"/>
      <w:divBdr>
        <w:top w:val="none" w:sz="0" w:space="0" w:color="auto"/>
        <w:left w:val="none" w:sz="0" w:space="0" w:color="auto"/>
        <w:bottom w:val="none" w:sz="0" w:space="0" w:color="auto"/>
        <w:right w:val="none" w:sz="0" w:space="0" w:color="auto"/>
      </w:divBdr>
      <w:divsChild>
        <w:div w:id="1262296496">
          <w:marLeft w:val="0"/>
          <w:marRight w:val="1"/>
          <w:marTop w:val="0"/>
          <w:marBottom w:val="0"/>
          <w:divBdr>
            <w:top w:val="none" w:sz="0" w:space="0" w:color="auto"/>
            <w:left w:val="none" w:sz="0" w:space="0" w:color="auto"/>
            <w:bottom w:val="none" w:sz="0" w:space="0" w:color="auto"/>
            <w:right w:val="none" w:sz="0" w:space="0" w:color="auto"/>
          </w:divBdr>
          <w:divsChild>
            <w:div w:id="748307973">
              <w:marLeft w:val="0"/>
              <w:marRight w:val="0"/>
              <w:marTop w:val="0"/>
              <w:marBottom w:val="0"/>
              <w:divBdr>
                <w:top w:val="none" w:sz="0" w:space="0" w:color="auto"/>
                <w:left w:val="none" w:sz="0" w:space="0" w:color="auto"/>
                <w:bottom w:val="none" w:sz="0" w:space="0" w:color="auto"/>
                <w:right w:val="none" w:sz="0" w:space="0" w:color="auto"/>
              </w:divBdr>
              <w:divsChild>
                <w:div w:id="1120492078">
                  <w:marLeft w:val="0"/>
                  <w:marRight w:val="1"/>
                  <w:marTop w:val="0"/>
                  <w:marBottom w:val="0"/>
                  <w:divBdr>
                    <w:top w:val="none" w:sz="0" w:space="0" w:color="auto"/>
                    <w:left w:val="none" w:sz="0" w:space="0" w:color="auto"/>
                    <w:bottom w:val="none" w:sz="0" w:space="0" w:color="auto"/>
                    <w:right w:val="none" w:sz="0" w:space="0" w:color="auto"/>
                  </w:divBdr>
                  <w:divsChild>
                    <w:div w:id="2054619461">
                      <w:marLeft w:val="0"/>
                      <w:marRight w:val="0"/>
                      <w:marTop w:val="0"/>
                      <w:marBottom w:val="0"/>
                      <w:divBdr>
                        <w:top w:val="none" w:sz="0" w:space="0" w:color="auto"/>
                        <w:left w:val="none" w:sz="0" w:space="0" w:color="auto"/>
                        <w:bottom w:val="none" w:sz="0" w:space="0" w:color="auto"/>
                        <w:right w:val="none" w:sz="0" w:space="0" w:color="auto"/>
                      </w:divBdr>
                      <w:divsChild>
                        <w:div w:id="1202785868">
                          <w:marLeft w:val="0"/>
                          <w:marRight w:val="0"/>
                          <w:marTop w:val="0"/>
                          <w:marBottom w:val="0"/>
                          <w:divBdr>
                            <w:top w:val="none" w:sz="0" w:space="0" w:color="auto"/>
                            <w:left w:val="none" w:sz="0" w:space="0" w:color="auto"/>
                            <w:bottom w:val="none" w:sz="0" w:space="0" w:color="auto"/>
                            <w:right w:val="none" w:sz="0" w:space="0" w:color="auto"/>
                          </w:divBdr>
                          <w:divsChild>
                            <w:div w:id="1451364191">
                              <w:marLeft w:val="0"/>
                              <w:marRight w:val="0"/>
                              <w:marTop w:val="120"/>
                              <w:marBottom w:val="360"/>
                              <w:divBdr>
                                <w:top w:val="none" w:sz="0" w:space="0" w:color="auto"/>
                                <w:left w:val="none" w:sz="0" w:space="0" w:color="auto"/>
                                <w:bottom w:val="none" w:sz="0" w:space="0" w:color="auto"/>
                                <w:right w:val="none" w:sz="0" w:space="0" w:color="auto"/>
                              </w:divBdr>
                              <w:divsChild>
                                <w:div w:id="864833960">
                                  <w:marLeft w:val="0"/>
                                  <w:marRight w:val="0"/>
                                  <w:marTop w:val="0"/>
                                  <w:marBottom w:val="0"/>
                                  <w:divBdr>
                                    <w:top w:val="none" w:sz="0" w:space="0" w:color="auto"/>
                                    <w:left w:val="none" w:sz="0" w:space="0" w:color="auto"/>
                                    <w:bottom w:val="none" w:sz="0" w:space="0" w:color="auto"/>
                                    <w:right w:val="none" w:sz="0" w:space="0" w:color="auto"/>
                                  </w:divBdr>
                                </w:div>
                                <w:div w:id="1246190614">
                                  <w:marLeft w:val="0"/>
                                  <w:marRight w:val="0"/>
                                  <w:marTop w:val="0"/>
                                  <w:marBottom w:val="0"/>
                                  <w:divBdr>
                                    <w:top w:val="none" w:sz="0" w:space="0" w:color="auto"/>
                                    <w:left w:val="none" w:sz="0" w:space="0" w:color="auto"/>
                                    <w:bottom w:val="none" w:sz="0" w:space="0" w:color="auto"/>
                                    <w:right w:val="none" w:sz="0" w:space="0" w:color="auto"/>
                                  </w:divBdr>
                                </w:div>
                                <w:div w:id="1600333896">
                                  <w:marLeft w:val="0"/>
                                  <w:marRight w:val="0"/>
                                  <w:marTop w:val="0"/>
                                  <w:marBottom w:val="0"/>
                                  <w:divBdr>
                                    <w:top w:val="none" w:sz="0" w:space="0" w:color="auto"/>
                                    <w:left w:val="none" w:sz="0" w:space="0" w:color="auto"/>
                                    <w:bottom w:val="none" w:sz="0" w:space="0" w:color="auto"/>
                                    <w:right w:val="none" w:sz="0" w:space="0" w:color="auto"/>
                                  </w:divBdr>
                                </w:div>
                                <w:div w:id="1684042720">
                                  <w:marLeft w:val="0"/>
                                  <w:marRight w:val="0"/>
                                  <w:marTop w:val="0"/>
                                  <w:marBottom w:val="0"/>
                                  <w:divBdr>
                                    <w:top w:val="none" w:sz="0" w:space="0" w:color="auto"/>
                                    <w:left w:val="none" w:sz="0" w:space="0" w:color="auto"/>
                                    <w:bottom w:val="none" w:sz="0" w:space="0" w:color="auto"/>
                                    <w:right w:val="none" w:sz="0" w:space="0" w:color="auto"/>
                                  </w:divBdr>
                                  <w:divsChild>
                                    <w:div w:id="1504738562">
                                      <w:marLeft w:val="0"/>
                                      <w:marRight w:val="0"/>
                                      <w:marTop w:val="0"/>
                                      <w:marBottom w:val="0"/>
                                      <w:divBdr>
                                        <w:top w:val="none" w:sz="0" w:space="0" w:color="auto"/>
                                        <w:left w:val="none" w:sz="0" w:space="0" w:color="auto"/>
                                        <w:bottom w:val="none" w:sz="0" w:space="0" w:color="auto"/>
                                        <w:right w:val="none" w:sz="0" w:space="0" w:color="auto"/>
                                      </w:divBdr>
                                    </w:div>
                                  </w:divsChild>
                                </w:div>
                                <w:div w:id="1747872404">
                                  <w:marLeft w:val="0"/>
                                  <w:marRight w:val="0"/>
                                  <w:marTop w:val="0"/>
                                  <w:marBottom w:val="0"/>
                                  <w:divBdr>
                                    <w:top w:val="none" w:sz="0" w:space="0" w:color="auto"/>
                                    <w:left w:val="none" w:sz="0" w:space="0" w:color="auto"/>
                                    <w:bottom w:val="none" w:sz="0" w:space="0" w:color="auto"/>
                                    <w:right w:val="none" w:sz="0" w:space="0" w:color="auto"/>
                                  </w:divBdr>
                                  <w:divsChild>
                                    <w:div w:id="20213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390815">
      <w:bodyDiv w:val="1"/>
      <w:marLeft w:val="0"/>
      <w:marRight w:val="0"/>
      <w:marTop w:val="0"/>
      <w:marBottom w:val="0"/>
      <w:divBdr>
        <w:top w:val="none" w:sz="0" w:space="0" w:color="auto"/>
        <w:left w:val="none" w:sz="0" w:space="0" w:color="auto"/>
        <w:bottom w:val="none" w:sz="0" w:space="0" w:color="auto"/>
        <w:right w:val="none" w:sz="0" w:space="0" w:color="auto"/>
      </w:divBdr>
      <w:divsChild>
        <w:div w:id="288512987">
          <w:marLeft w:val="0"/>
          <w:marRight w:val="0"/>
          <w:marTop w:val="288"/>
          <w:marBottom w:val="100"/>
          <w:divBdr>
            <w:top w:val="none" w:sz="0" w:space="0" w:color="auto"/>
            <w:left w:val="none" w:sz="0" w:space="0" w:color="auto"/>
            <w:bottom w:val="none" w:sz="0" w:space="0" w:color="auto"/>
            <w:right w:val="none" w:sz="0" w:space="0" w:color="auto"/>
          </w:divBdr>
          <w:divsChild>
            <w:div w:id="787354873">
              <w:marLeft w:val="0"/>
              <w:marRight w:val="0"/>
              <w:marTop w:val="0"/>
              <w:marBottom w:val="0"/>
              <w:divBdr>
                <w:top w:val="none" w:sz="0" w:space="0" w:color="auto"/>
                <w:left w:val="none" w:sz="0" w:space="0" w:color="auto"/>
                <w:bottom w:val="none" w:sz="0" w:space="0" w:color="auto"/>
                <w:right w:val="none" w:sz="0" w:space="0" w:color="auto"/>
              </w:divBdr>
            </w:div>
          </w:divsChild>
        </w:div>
        <w:div w:id="2101826167">
          <w:marLeft w:val="0"/>
          <w:marRight w:val="0"/>
          <w:marTop w:val="240"/>
          <w:marBottom w:val="100"/>
          <w:divBdr>
            <w:top w:val="none" w:sz="0" w:space="0" w:color="auto"/>
            <w:left w:val="none" w:sz="0" w:space="0" w:color="auto"/>
            <w:bottom w:val="none" w:sz="0" w:space="0" w:color="auto"/>
            <w:right w:val="none" w:sz="0" w:space="0" w:color="auto"/>
          </w:divBdr>
          <w:divsChild>
            <w:div w:id="36853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cbi.nlm.nih.gov/pubmed/20522486" TargetMode="External"/><Relationship Id="rId117" Type="http://schemas.openxmlformats.org/officeDocument/2006/relationships/hyperlink" Target="http://www.ncbi.nlm.nih.gov/pubmed/22292789" TargetMode="External"/><Relationship Id="rId21" Type="http://schemas.openxmlformats.org/officeDocument/2006/relationships/hyperlink" Target="http://www.ncbi.nlm.nih.gov/pubmed?term=Ainora%20ME%5BAuthor%5D&amp;cauthor=true&amp;cauthor_uid=20391953" TargetMode="External"/><Relationship Id="rId42" Type="http://schemas.openxmlformats.org/officeDocument/2006/relationships/hyperlink" Target="http://www.ncbi.nlm.nih.gov/pubmed?term=Brendel%20M%5BAuthor%5D&amp;cauthor=true&amp;cauthor_uid=20629479" TargetMode="External"/><Relationship Id="rId47" Type="http://schemas.openxmlformats.org/officeDocument/2006/relationships/hyperlink" Target="http://www.ncbi.nlm.nih.gov/pubmed?term=Patel%20K%5BAuthor%5D&amp;cauthor=true&amp;cauthor_uid=20629479" TargetMode="External"/><Relationship Id="rId63" Type="http://schemas.openxmlformats.org/officeDocument/2006/relationships/hyperlink" Target="http://www.ncbi.nlm.nih.gov/pubmed?term=Sneed%20KB%5BAuthor%5D&amp;cauthor=true&amp;cauthor_uid=22292789" TargetMode="External"/><Relationship Id="rId68" Type="http://schemas.openxmlformats.org/officeDocument/2006/relationships/hyperlink" Target="http://www.ncbi.nlm.nih.gov/pubmed?term=Zhou%20SF%5BAuthor%5D&amp;cauthor=true&amp;cauthor_uid=22292789" TargetMode="External"/><Relationship Id="rId84" Type="http://schemas.openxmlformats.org/officeDocument/2006/relationships/hyperlink" Target="http://www.ncbi.nlm.nih.gov/pubmed?term=Ashraf%20I%5BAuthor%5D&amp;cauthor=true&amp;cauthor_uid=24035939" TargetMode="External"/><Relationship Id="rId89" Type="http://schemas.openxmlformats.org/officeDocument/2006/relationships/hyperlink" Target="http://www.ncbi.nlm.nih.gov/pubmed?term=Ulrichova%20J%5BAuthor%5D&amp;cauthor=true&amp;cauthor_uid=21048810" TargetMode="External"/><Relationship Id="rId112" Type="http://schemas.openxmlformats.org/officeDocument/2006/relationships/hyperlink" Target="http://www.ncbi.nlm.nih.gov/pubmed?term=Suter%20A%5BAuthor%5D&amp;cauthor=true&amp;cauthor_uid=16678640" TargetMode="External"/><Relationship Id="rId133" Type="http://schemas.openxmlformats.org/officeDocument/2006/relationships/hyperlink" Target="http://www.ncbi.nlm.nih.gov/pubmed?term=Parker%20R%5BAuthor%5D&amp;cauthor=true&amp;cauthor_uid=24072635" TargetMode="External"/><Relationship Id="rId138" Type="http://schemas.openxmlformats.org/officeDocument/2006/relationships/hyperlink" Target="http://www.ncbi.nlm.nih.gov/pubmed?term=Ashraf%20R%5BAuthor%5D&amp;cauthor=true&amp;cauthor_uid=24035939" TargetMode="External"/><Relationship Id="rId154" Type="http://schemas.openxmlformats.org/officeDocument/2006/relationships/hyperlink" Target="http://www.ncbi.nlm.nih.gov/pubmed?term=Dhaliwal%20S%5BAuthor%5D&amp;cauthor=true&amp;cauthor_uid=20727237" TargetMode="External"/><Relationship Id="rId159" Type="http://schemas.openxmlformats.org/officeDocument/2006/relationships/hyperlink" Target="http://www.ncbi.nlm.nih.gov/pubmed?term=Brennan%20CM%5BAuthor%5D&amp;cauthor=true&amp;cauthor_uid=22848584" TargetMode="External"/><Relationship Id="rId175" Type="http://schemas.openxmlformats.org/officeDocument/2006/relationships/footer" Target="footer3.xml"/><Relationship Id="rId170" Type="http://schemas.openxmlformats.org/officeDocument/2006/relationships/header" Target="header1.xml"/><Relationship Id="rId16" Type="http://schemas.openxmlformats.org/officeDocument/2006/relationships/hyperlink" Target="http://www.ncbi.nlm.nih.gov/pubmed?term=Walkowiak%20J%5BAuthor%5D&amp;cauthor=true&amp;cauthor_uid=21152447" TargetMode="External"/><Relationship Id="rId107" Type="http://schemas.openxmlformats.org/officeDocument/2006/relationships/hyperlink" Target="http://www.ncbi.nlm.nih.gov/pubmed?term=Wall%20CR%5BAuthor%5D&amp;cauthor=true&amp;cauthor_uid=22848584" TargetMode="External"/><Relationship Id="rId11" Type="http://schemas.openxmlformats.org/officeDocument/2006/relationships/hyperlink" Target="http://www.ncbi.nlm.nih.gov/pubmed?term=Kwiecie%C5%84%20J%5BAuthor%5D&amp;cauthor=true&amp;cauthor_uid=21152447" TargetMode="External"/><Relationship Id="rId32" Type="http://schemas.openxmlformats.org/officeDocument/2006/relationships/hyperlink" Target="http://www.ncbi.nlm.nih.gov/pubmed/19021701" TargetMode="External"/><Relationship Id="rId37" Type="http://schemas.openxmlformats.org/officeDocument/2006/relationships/hyperlink" Target="http://www.ncbi.nlm.nih.gov/pubmed?term=Wang%20DQ%5BAuthor%5D&amp;cauthor=true&amp;cauthor_uid=19021701" TargetMode="External"/><Relationship Id="rId53" Type="http://schemas.openxmlformats.org/officeDocument/2006/relationships/hyperlink" Target="http://bvsalud.org/portal/?lang=en&amp;q=au:%22Lopes,%20Everton%20Moraes%22" TargetMode="External"/><Relationship Id="rId58" Type="http://schemas.openxmlformats.org/officeDocument/2006/relationships/hyperlink" Target="http://www.ncbi.nlm.nih.gov/pubmed/25071580" TargetMode="External"/><Relationship Id="rId74" Type="http://schemas.openxmlformats.org/officeDocument/2006/relationships/hyperlink" Target="http://www.ncbi.nlm.nih.gov/pubmed?term=Mahomoodally%20MF%5BAuthor%5D&amp;cauthor=true&amp;cauthor_uid=24822061" TargetMode="External"/><Relationship Id="rId79" Type="http://schemas.openxmlformats.org/officeDocument/2006/relationships/hyperlink" Target="http://www.ncbi.nlm.nih.gov/pubmed?term=Hermann%20R%5BAuthor%5D&amp;cauthor=true&amp;cauthor_uid=22855269" TargetMode="External"/><Relationship Id="rId102" Type="http://schemas.openxmlformats.org/officeDocument/2006/relationships/hyperlink" Target="http://www.ncbi.nlm.nih.gov/pubmed?term=Derraik%20JG%5BAuthor%5D&amp;cauthor=true&amp;cauthor_uid=22848584" TargetMode="External"/><Relationship Id="rId123" Type="http://schemas.openxmlformats.org/officeDocument/2006/relationships/hyperlink" Target="http://www.ncbi.nlm.nih.gov/pubmed?term=Chew%20H%5BAuthor%5D&amp;cauthor=true&amp;cauthor_uid=22292789" TargetMode="External"/><Relationship Id="rId128" Type="http://schemas.openxmlformats.org/officeDocument/2006/relationships/hyperlink" Target="http://www.ncbi.nlm.nih.gov/pubmed/?term=The+Therapeutic+Potential+of+Medicinal+Foods+Nelvana+Ramalingum" TargetMode="External"/><Relationship Id="rId144" Type="http://schemas.openxmlformats.org/officeDocument/2006/relationships/hyperlink" Target="http://www.ncbi.nlm.nih.gov/pubmed?term=Vostalova%20J%5BAuthor%5D&amp;cauthor=true&amp;cauthor_uid=21048810" TargetMode="External"/><Relationship Id="rId149" Type="http://schemas.openxmlformats.org/officeDocument/2006/relationships/hyperlink" Target="http://www.ncbi.nlm.nih.gov/pubmed?term=Simanek%20V%5BAuthor%5D&amp;cauthor=true&amp;cauthor_uid=21048810" TargetMode="External"/><Relationship Id="rId5" Type="http://schemas.openxmlformats.org/officeDocument/2006/relationships/webSettings" Target="webSettings.xml"/><Relationship Id="rId90" Type="http://schemas.openxmlformats.org/officeDocument/2006/relationships/hyperlink" Target="http://www.ncbi.nlm.nih.gov/pubmed?term=Student%20V%5BAuthor%5D&amp;cauthor=true&amp;cauthor_uid=21048810" TargetMode="External"/><Relationship Id="rId95" Type="http://schemas.openxmlformats.org/officeDocument/2006/relationships/hyperlink" Target="http://www.ncbi.nlm.nih.gov/pubmed?term=Pal%20S%5BAuthor%5D&amp;cauthor=true&amp;cauthor_uid=20727237" TargetMode="External"/><Relationship Id="rId160" Type="http://schemas.openxmlformats.org/officeDocument/2006/relationships/hyperlink" Target="http://www.ncbi.nlm.nih.gov/pubmed?term=Biggs%20JB%5BAuthor%5D&amp;cauthor=true&amp;cauthor_uid=22848584" TargetMode="External"/><Relationship Id="rId165" Type="http://schemas.openxmlformats.org/officeDocument/2006/relationships/hyperlink" Target="http://www.ncbi.nlm.nih.gov/pubmed/?term=Echinacea+in+the+prevention+of+induced+rhinovirus+colds%3A+a+meta-analysis." TargetMode="External"/><Relationship Id="rId22" Type="http://schemas.openxmlformats.org/officeDocument/2006/relationships/hyperlink" Target="http://www.ncbi.nlm.nih.gov/pubmed?term=Mannocci%20A%5BAuthor%5D&amp;cauthor=true&amp;cauthor_uid=20391953" TargetMode="External"/><Relationship Id="rId27" Type="http://schemas.openxmlformats.org/officeDocument/2006/relationships/hyperlink" Target="http://www.ncbi.nlm.nih.gov/pubmed?term=Jellema%20P%5BAuthor%5D&amp;cauthor=true&amp;cauthor_uid=20522486" TargetMode="External"/><Relationship Id="rId43" Type="http://schemas.openxmlformats.org/officeDocument/2006/relationships/hyperlink" Target="http://www.ncbi.nlm.nih.gov/pubmed?term=Ip%20S%5BAuthor%5D&amp;cauthor=true&amp;cauthor_uid=20629479" TargetMode="External"/><Relationship Id="rId48" Type="http://schemas.openxmlformats.org/officeDocument/2006/relationships/hyperlink" Target="http://www.ncbi.nlm.nih.gov/pubmed?term=Raman%20G%5BAuthor%5D&amp;cauthor=true&amp;cauthor_uid=20629479" TargetMode="External"/><Relationship Id="rId64" Type="http://schemas.openxmlformats.org/officeDocument/2006/relationships/hyperlink" Target="http://www.ncbi.nlm.nih.gov/pubmed?term=Pan%20SY%5BAuthor%5D&amp;cauthor=true&amp;cauthor_uid=22292789" TargetMode="External"/><Relationship Id="rId69" Type="http://schemas.openxmlformats.org/officeDocument/2006/relationships/hyperlink" Target="http://www.ncbi.nlm.nih.gov/pubmed/22855269" TargetMode="External"/><Relationship Id="rId113" Type="http://schemas.openxmlformats.org/officeDocument/2006/relationships/hyperlink" Target="http://www.ncbi.nlm.nih.gov/pubmed?term=Johnston%20SL%5BAuthor%5D&amp;cauthor=true&amp;cauthor_uid=16678640" TargetMode="External"/><Relationship Id="rId118" Type="http://schemas.openxmlformats.org/officeDocument/2006/relationships/hyperlink" Target="http://www.ncbi.nlm.nih.gov/pubmed?term=Chen%20XW%5BAuthor%5D&amp;cauthor=true&amp;cauthor_uid=22292789" TargetMode="External"/><Relationship Id="rId134" Type="http://schemas.openxmlformats.org/officeDocument/2006/relationships/hyperlink" Target="http://www.ncbi.nlm.nih.gov/pubmed/?term=Clinical+Evidence+of+Herbal+Drugs+as+Perpetrators+of+Pharmacokinetic+Drug+Interactions." TargetMode="External"/><Relationship Id="rId139" Type="http://schemas.openxmlformats.org/officeDocument/2006/relationships/hyperlink" Target="http://www.ncbi.nlm.nih.gov/pubmed?term=Khan%20RA%5BAuthor%5D&amp;cauthor=true&amp;cauthor_uid=24035939" TargetMode="External"/><Relationship Id="rId80" Type="http://schemas.openxmlformats.org/officeDocument/2006/relationships/hyperlink" Target="http://www.ncbi.nlm.nih.gov/pubmed?term=von%20Richter%20O%5BAuthor%5D&amp;cauthor=true&amp;cauthor_uid=22855269" TargetMode="External"/><Relationship Id="rId85" Type="http://schemas.openxmlformats.org/officeDocument/2006/relationships/hyperlink" Target="http://www.ncbi.nlm.nih.gov/pubmed?term=Qureshi%20AA%5BAuthor%5D&amp;cauthor=true&amp;cauthor_uid=24035939" TargetMode="External"/><Relationship Id="rId150" Type="http://schemas.openxmlformats.org/officeDocument/2006/relationships/hyperlink" Target="http://www.ncbi.nlm.nih.gov/pubmed/20727237" TargetMode="External"/><Relationship Id="rId155" Type="http://schemas.openxmlformats.org/officeDocument/2006/relationships/hyperlink" Target="http://www.ncbi.nlm.nih.gov/pubmed?term=Ellis%20V%5BAuthor%5D&amp;cauthor=true&amp;cauthor_uid=20727237" TargetMode="External"/><Relationship Id="rId171" Type="http://schemas.openxmlformats.org/officeDocument/2006/relationships/header" Target="header2.xml"/><Relationship Id="rId176" Type="http://schemas.openxmlformats.org/officeDocument/2006/relationships/fontTable" Target="fontTable.xml"/><Relationship Id="rId12" Type="http://schemas.openxmlformats.org/officeDocument/2006/relationships/hyperlink" Target="http://www.ncbi.nlm.nih.gov/pubmed?term=Marciniak%20R%5BAuthor%5D&amp;cauthor=true&amp;cauthor_uid=21152447" TargetMode="External"/><Relationship Id="rId17" Type="http://schemas.openxmlformats.org/officeDocument/2006/relationships/hyperlink" Target="http://www.ncbi.nlm.nih.gov/pubmed/20391953" TargetMode="External"/><Relationship Id="rId33" Type="http://schemas.openxmlformats.org/officeDocument/2006/relationships/hyperlink" Target="http://www.ncbi.nlm.nih.gov/pubmed?term=Portincasa%20P%5BAuthor%5D&amp;cauthor=true&amp;cauthor_uid=19021701" TargetMode="External"/><Relationship Id="rId38" Type="http://schemas.openxmlformats.org/officeDocument/2006/relationships/hyperlink" Target="http://www.ncbi.nlm.nih.gov/pubmed?term=Palasciano%20G%5BAuthor%5D&amp;cauthor=true&amp;cauthor_uid=19021701" TargetMode="External"/><Relationship Id="rId59" Type="http://schemas.openxmlformats.org/officeDocument/2006/relationships/hyperlink" Target="http://www.ncbi.nlm.nih.gov/pubmed?term=Mazzari%20AL%5BAuthor%5D&amp;cauthor=true&amp;cauthor_uid=25071580" TargetMode="External"/><Relationship Id="rId103" Type="http://schemas.openxmlformats.org/officeDocument/2006/relationships/hyperlink" Target="http://www.ncbi.nlm.nih.gov/pubmed?term=Brennan%20CM%5BAuthor%5D&amp;cauthor=true&amp;cauthor_uid=22848584" TargetMode="External"/><Relationship Id="rId108" Type="http://schemas.openxmlformats.org/officeDocument/2006/relationships/hyperlink" Target="http://www.ncbi.nlm.nih.gov/pubmed?term=Cutfield%20WS%5BAuthor%5D&amp;cauthor=true&amp;cauthor_uid=22848584" TargetMode="External"/><Relationship Id="rId124" Type="http://schemas.openxmlformats.org/officeDocument/2006/relationships/hyperlink" Target="http://www.ncbi.nlm.nih.gov/pubmed?term=Zhou%20SF%5BAuthor%5D&amp;cauthor=true&amp;cauthor_uid=22292789" TargetMode="External"/><Relationship Id="rId129" Type="http://schemas.openxmlformats.org/officeDocument/2006/relationships/hyperlink" Target="http://www.ncbi.nlm.nih.gov/pubmed?term=Ramalingum%20N%5BAuthor%5D&amp;cauthor=true&amp;cauthor_uid=24822061" TargetMode="External"/><Relationship Id="rId54" Type="http://schemas.openxmlformats.org/officeDocument/2006/relationships/hyperlink" Target="http://bvsalud.org/portal/?lang=en&amp;q=au:%22Oliveira,%20Edina%20Ara%C3%BAjo%20Rodrigues%22" TargetMode="External"/><Relationship Id="rId70" Type="http://schemas.openxmlformats.org/officeDocument/2006/relationships/hyperlink" Target="http://www.ncbi.nlm.nih.gov/pubmed?term=Hermann%20R%5BAuthor%5D&amp;cauthor=true&amp;cauthor_uid=22855269" TargetMode="External"/><Relationship Id="rId75" Type="http://schemas.openxmlformats.org/officeDocument/2006/relationships/hyperlink" Target="http://www.ncbi.nlm.nih.gov/pubmed/24072635" TargetMode="External"/><Relationship Id="rId91" Type="http://schemas.openxmlformats.org/officeDocument/2006/relationships/hyperlink" Target="http://www.ncbi.nlm.nih.gov/pubmed?term=Krajicek%20M%5BAuthor%5D&amp;cauthor=true&amp;cauthor_uid=21048810" TargetMode="External"/><Relationship Id="rId96" Type="http://schemas.openxmlformats.org/officeDocument/2006/relationships/hyperlink" Target="http://www.ncbi.nlm.nih.gov/pubmed?term=Khossousi%20A%5BAuthor%5D&amp;cauthor=true&amp;cauthor_uid=20727237" TargetMode="External"/><Relationship Id="rId140" Type="http://schemas.openxmlformats.org/officeDocument/2006/relationships/hyperlink" Target="http://www.ncbi.nlm.nih.gov/pubmed?term=Ashraf%20I%5BAuthor%5D&amp;cauthor=true&amp;cauthor_uid=24035939" TargetMode="External"/><Relationship Id="rId145" Type="http://schemas.openxmlformats.org/officeDocument/2006/relationships/hyperlink" Target="http://www.ncbi.nlm.nih.gov/pubmed?term=Ulrichova%20J%5BAuthor%5D&amp;cauthor=true&amp;cauthor_uid=21048810" TargetMode="External"/><Relationship Id="rId161" Type="http://schemas.openxmlformats.org/officeDocument/2006/relationships/hyperlink" Target="http://www.ncbi.nlm.nih.gov/pubmed?term=Smith%20GC%5BAuthor%5D&amp;cauthor=true&amp;cauthor_uid=22848584" TargetMode="External"/><Relationship Id="rId166" Type="http://schemas.openxmlformats.org/officeDocument/2006/relationships/hyperlink" Target="http://www.ncbi.nlm.nih.gov/pubmed?term=Schoop%20R%5BAuthor%5D&amp;cauthor=true&amp;cauthor_uid=1667864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ncbi.nlm.nih.gov/pubmed?term=Lauritano%20EC%5BAuthor%5D&amp;cauthor=true&amp;cauthor_uid=20391953" TargetMode="External"/><Relationship Id="rId28" Type="http://schemas.openxmlformats.org/officeDocument/2006/relationships/hyperlink" Target="http://www.ncbi.nlm.nih.gov/pubmed?term=Schellevis%20FG%5BAuthor%5D&amp;cauthor=true&amp;cauthor_uid=20522486" TargetMode="External"/><Relationship Id="rId49" Type="http://schemas.openxmlformats.org/officeDocument/2006/relationships/hyperlink" Target="http://www.ncbi.nlm.nih.gov/pubmed?term=Tatsioni%20A%5BAuthor%5D&amp;cauthor=true&amp;cauthor_uid=20629479" TargetMode="External"/><Relationship Id="rId114" Type="http://schemas.openxmlformats.org/officeDocument/2006/relationships/hyperlink" Target="http://www.ncbi.nlm.nih.gov/pubmed/25071580" TargetMode="External"/><Relationship Id="rId119" Type="http://schemas.openxmlformats.org/officeDocument/2006/relationships/hyperlink" Target="http://www.ncbi.nlm.nih.gov/pubmed?term=Sneed%20KB%5BAuthor%5D&amp;cauthor=true&amp;cauthor_uid=22292789" TargetMode="External"/><Relationship Id="rId10" Type="http://schemas.openxmlformats.org/officeDocument/2006/relationships/hyperlink" Target="http://www.ncbi.nlm.nih.gov/pubmed?term=Lisowska%20A%5BAuthor%5D&amp;cauthor=true&amp;cauthor_uid=21152447" TargetMode="External"/><Relationship Id="rId31" Type="http://schemas.openxmlformats.org/officeDocument/2006/relationships/hyperlink" Target="http://www.ncbi.nlm.nih.gov/pubmed?term=van%20der%20Horst%20HE%5BAuthor%5D&amp;cauthor=true&amp;cauthor_uid=20522486" TargetMode="External"/><Relationship Id="rId44" Type="http://schemas.openxmlformats.org/officeDocument/2006/relationships/hyperlink" Target="http://www.ncbi.nlm.nih.gov/pubmed?term=Lau%20J%5BAuthor%5D&amp;cauthor=true&amp;cauthor_uid=20629479" TargetMode="External"/><Relationship Id="rId52" Type="http://schemas.openxmlformats.org/officeDocument/2006/relationships/hyperlink" Target="http://portal.revistas.bvs.br/transf.php?xsl=xsl/titles.xsl&amp;xml=http://catserver.bireme.br/cgi-bin/wxis1660.exe/?IsisScript=../cgi-bin/catrevistas/catrevistas.xis|database_name=TITLES|list_type=title|cat_name=ALL|from=1|count=50&amp;lang=pt&amp;comefrom=home&amp;home=false&amp;task=show_magazines&amp;request_made_adv_search=false&amp;lang=pt&amp;show_adv_search=false&amp;help_file=/help_pt.htm&amp;connector=ET&amp;search_exp=Rev.%20ci%C3%AAnc.%20farm.%20b%C3%A1sica%20apl" TargetMode="External"/><Relationship Id="rId60" Type="http://schemas.openxmlformats.org/officeDocument/2006/relationships/hyperlink" Target="http://www.ncbi.nlm.nih.gov/pubmed?term=Prieto%20JM%5BAuthor%5D&amp;cauthor=true&amp;cauthor_uid=25071580" TargetMode="External"/><Relationship Id="rId65" Type="http://schemas.openxmlformats.org/officeDocument/2006/relationships/hyperlink" Target="http://www.ncbi.nlm.nih.gov/pubmed?term=Cao%20C%5BAuthor%5D&amp;cauthor=true&amp;cauthor_uid=22292789" TargetMode="External"/><Relationship Id="rId73" Type="http://schemas.openxmlformats.org/officeDocument/2006/relationships/hyperlink" Target="http://www.ncbi.nlm.nih.gov/pubmed?term=Ramalingum%20N%5BAuthor%5D&amp;cauthor=true&amp;cauthor_uid=24822061" TargetMode="External"/><Relationship Id="rId78" Type="http://schemas.openxmlformats.org/officeDocument/2006/relationships/hyperlink" Target="http://www.ncbi.nlm.nih.gov/pubmed/?term=Clinical+Evidence+of+Herbal+Drugs+as+Perpetrators+of+Pharmacokinetic+Drug+Interactions." TargetMode="External"/><Relationship Id="rId81" Type="http://schemas.openxmlformats.org/officeDocument/2006/relationships/hyperlink" Target="http://www.ncbi.nlm.nih.gov/pubmed/24035939" TargetMode="External"/><Relationship Id="rId86" Type="http://schemas.openxmlformats.org/officeDocument/2006/relationships/hyperlink" Target="http://www.ncbi.nlm.nih.gov/pubmed/21048810" TargetMode="External"/><Relationship Id="rId94" Type="http://schemas.openxmlformats.org/officeDocument/2006/relationships/hyperlink" Target="http://www.ncbi.nlm.nih.gov/pubmed/20727237" TargetMode="External"/><Relationship Id="rId99" Type="http://schemas.openxmlformats.org/officeDocument/2006/relationships/hyperlink" Target="http://www.ncbi.nlm.nih.gov/pubmed?term=Ellis%20V%5BAuthor%5D&amp;cauthor=true&amp;cauthor_uid=20727237" TargetMode="External"/><Relationship Id="rId101" Type="http://schemas.openxmlformats.org/officeDocument/2006/relationships/hyperlink" Target="http://www.ncbi.nlm.nih.gov/pubmed?term=de%20Bock%20M%5BAuthor%5D&amp;cauthor=true&amp;cauthor_uid=22848584" TargetMode="External"/><Relationship Id="rId122" Type="http://schemas.openxmlformats.org/officeDocument/2006/relationships/hyperlink" Target="http://www.ncbi.nlm.nih.gov/pubmed?term=Kanwar%20JR%5BAuthor%5D&amp;cauthor=true&amp;cauthor_uid=22292789" TargetMode="External"/><Relationship Id="rId130" Type="http://schemas.openxmlformats.org/officeDocument/2006/relationships/hyperlink" Target="http://www.ncbi.nlm.nih.gov/pubmed?term=Mahomoodally%20MF%5BAuthor%5D&amp;cauthor=true&amp;cauthor_uid=24822061" TargetMode="External"/><Relationship Id="rId135" Type="http://schemas.openxmlformats.org/officeDocument/2006/relationships/hyperlink" Target="http://www.ncbi.nlm.nih.gov/pubmed?term=Hermann%20R%5BAuthor%5D&amp;cauthor=true&amp;cauthor_uid=22855269" TargetMode="External"/><Relationship Id="rId143" Type="http://schemas.openxmlformats.org/officeDocument/2006/relationships/hyperlink" Target="http://www.ncbi.nlm.nih.gov/pubmed?term=Vidlar%20A%5BAuthor%5D&amp;cauthor=true&amp;cauthor_uid=21048810" TargetMode="External"/><Relationship Id="rId148" Type="http://schemas.openxmlformats.org/officeDocument/2006/relationships/hyperlink" Target="http://www.ncbi.nlm.nih.gov/pubmed?term=Vrbkova%20J%5BAuthor%5D&amp;cauthor=true&amp;cauthor_uid=21048810" TargetMode="External"/><Relationship Id="rId151" Type="http://schemas.openxmlformats.org/officeDocument/2006/relationships/hyperlink" Target="http://www.ncbi.nlm.nih.gov/pubmed?term=Pal%20S%5BAuthor%5D&amp;cauthor=true&amp;cauthor_uid=20727237" TargetMode="External"/><Relationship Id="rId156" Type="http://schemas.openxmlformats.org/officeDocument/2006/relationships/hyperlink" Target="http://www.ncbi.nlm.nih.gov/pubmed/22848584" TargetMode="External"/><Relationship Id="rId164" Type="http://schemas.openxmlformats.org/officeDocument/2006/relationships/hyperlink" Target="http://www.ncbi.nlm.nih.gov/pubmed?term=Cutfield%20WS%5BAuthor%5D&amp;cauthor=true&amp;cauthor_uid=22848584" TargetMode="External"/><Relationship Id="rId169" Type="http://schemas.openxmlformats.org/officeDocument/2006/relationships/hyperlink" Target="http://www.ncbi.nlm.nih.gov/pubmed?term=Johnston%20SL%5BAuthor%5D&amp;cauthor=true&amp;cauthor_uid=16678640" TargetMode="External"/><Relationship Id="rId177"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cbi.nlm.nih.gov/pubmed?term=M%C4%85dry%20E%5BAuthor%5D&amp;cauthor=true&amp;cauthor_uid=21152447" TargetMode="External"/><Relationship Id="rId172" Type="http://schemas.openxmlformats.org/officeDocument/2006/relationships/footer" Target="footer1.xml"/><Relationship Id="rId13" Type="http://schemas.openxmlformats.org/officeDocument/2006/relationships/hyperlink" Target="http://www.ncbi.nlm.nih.gov/pubmed?term=Korzon-Burakowska%20A%5BAuthor%5D&amp;cauthor=true&amp;cauthor_uid=21152447" TargetMode="External"/><Relationship Id="rId18" Type="http://schemas.openxmlformats.org/officeDocument/2006/relationships/hyperlink" Target="http://www.ncbi.nlm.nih.gov/pubmed?term=Ojetti%20V%5BAuthor%5D&amp;cauthor=true&amp;cauthor_uid=20391953" TargetMode="External"/><Relationship Id="rId39" Type="http://schemas.openxmlformats.org/officeDocument/2006/relationships/hyperlink" Target="http://www.ncbi.nlm.nih.gov/pubmed/20629479" TargetMode="External"/><Relationship Id="rId109" Type="http://schemas.openxmlformats.org/officeDocument/2006/relationships/hyperlink" Target="http://www.ncbi.nlm.nih.gov/pubmed/?term=Echinacea+in+the+prevention+of+induced+rhinovirus+colds%3A+a+meta-analysis." TargetMode="External"/><Relationship Id="rId34" Type="http://schemas.openxmlformats.org/officeDocument/2006/relationships/hyperlink" Target="http://www.ncbi.nlm.nih.gov/pubmed?term=Di%20Ciaula%20A%5BAuthor%5D&amp;cauthor=true&amp;cauthor_uid=19021701" TargetMode="External"/><Relationship Id="rId50" Type="http://schemas.openxmlformats.org/officeDocument/2006/relationships/hyperlink" Target="http://www.ncbi.nlm.nih.gov/pubmed?term=Terasawa%20T%5BAuthor%5D&amp;cauthor=true&amp;cauthor_uid=20629479" TargetMode="External"/><Relationship Id="rId55" Type="http://schemas.openxmlformats.org/officeDocument/2006/relationships/hyperlink" Target="http://bvsalud.org/portal/?lang=en&amp;q=au:%22Lima,%20Luisa%20Helena%20de%20Oliveira%22" TargetMode="External"/><Relationship Id="rId76" Type="http://schemas.openxmlformats.org/officeDocument/2006/relationships/hyperlink" Target="http://www.ncbi.nlm.nih.gov/pubmed?term=Orr%20A%5BAuthor%5D&amp;cauthor=true&amp;cauthor_uid=24072635" TargetMode="External"/><Relationship Id="rId97" Type="http://schemas.openxmlformats.org/officeDocument/2006/relationships/hyperlink" Target="http://www.ncbi.nlm.nih.gov/pubmed?term=Binns%20C%5BAuthor%5D&amp;cauthor=true&amp;cauthor_uid=20727237" TargetMode="External"/><Relationship Id="rId104" Type="http://schemas.openxmlformats.org/officeDocument/2006/relationships/hyperlink" Target="http://www.ncbi.nlm.nih.gov/pubmed?term=Biggs%20JB%5BAuthor%5D&amp;cauthor=true&amp;cauthor_uid=22848584" TargetMode="External"/><Relationship Id="rId120" Type="http://schemas.openxmlformats.org/officeDocument/2006/relationships/hyperlink" Target="http://www.ncbi.nlm.nih.gov/pubmed?term=Pan%20SY%5BAuthor%5D&amp;cauthor=true&amp;cauthor_uid=22292789" TargetMode="External"/><Relationship Id="rId125" Type="http://schemas.openxmlformats.org/officeDocument/2006/relationships/hyperlink" Target="http://www.ncbi.nlm.nih.gov/pubmed/22855269" TargetMode="External"/><Relationship Id="rId141" Type="http://schemas.openxmlformats.org/officeDocument/2006/relationships/hyperlink" Target="http://www.ncbi.nlm.nih.gov/pubmed?term=Qureshi%20AA%5BAuthor%5D&amp;cauthor=true&amp;cauthor_uid=24035939" TargetMode="External"/><Relationship Id="rId146" Type="http://schemas.openxmlformats.org/officeDocument/2006/relationships/hyperlink" Target="http://www.ncbi.nlm.nih.gov/pubmed?term=Student%20V%5BAuthor%5D&amp;cauthor=true&amp;cauthor_uid=21048810" TargetMode="External"/><Relationship Id="rId167" Type="http://schemas.openxmlformats.org/officeDocument/2006/relationships/hyperlink" Target="http://www.ncbi.nlm.nih.gov/pubmed?term=Klein%20P%5BAuthor%5D&amp;cauthor=true&amp;cauthor_uid=16678640" TargetMode="External"/><Relationship Id="rId7" Type="http://schemas.openxmlformats.org/officeDocument/2006/relationships/endnotes" Target="endnotes.xml"/><Relationship Id="rId71" Type="http://schemas.openxmlformats.org/officeDocument/2006/relationships/hyperlink" Target="http://www.ncbi.nlm.nih.gov/pubmed?term=von%20Richter%20O%5BAuthor%5D&amp;cauthor=true&amp;cauthor_uid=22855269" TargetMode="External"/><Relationship Id="rId92" Type="http://schemas.openxmlformats.org/officeDocument/2006/relationships/hyperlink" Target="http://www.ncbi.nlm.nih.gov/pubmed?term=Vrbkova%20J%5BAuthor%5D&amp;cauthor=true&amp;cauthor_uid=21048810" TargetMode="External"/><Relationship Id="rId162" Type="http://schemas.openxmlformats.org/officeDocument/2006/relationships/hyperlink" Target="http://www.ncbi.nlm.nih.gov/pubmed?term=Cameron-Smith%20D%5BAuthor%5D&amp;cauthor=true&amp;cauthor_uid=22848584" TargetMode="External"/><Relationship Id="rId2" Type="http://schemas.openxmlformats.org/officeDocument/2006/relationships/styles" Target="styles.xml"/><Relationship Id="rId29" Type="http://schemas.openxmlformats.org/officeDocument/2006/relationships/hyperlink" Target="http://www.ncbi.nlm.nih.gov/pubmed?term=van%20der%20Windt%20DA%5BAuthor%5D&amp;cauthor=true&amp;cauthor_uid=20522486" TargetMode="External"/><Relationship Id="rId24" Type="http://schemas.openxmlformats.org/officeDocument/2006/relationships/hyperlink" Target="http://www.ncbi.nlm.nih.gov/pubmed?term=Gasbarrini%20G%5BAuthor%5D&amp;cauthor=true&amp;cauthor_uid=20391953" TargetMode="External"/><Relationship Id="rId40" Type="http://schemas.openxmlformats.org/officeDocument/2006/relationships/hyperlink" Target="http://www.ncbi.nlm.nih.gov/pubmed?term=Chung%20M%5BAuthor%5D&amp;cauthor=true&amp;cauthor_uid=20629479" TargetMode="External"/><Relationship Id="rId45" Type="http://schemas.openxmlformats.org/officeDocument/2006/relationships/hyperlink" Target="http://www.ncbi.nlm.nih.gov/pubmed?term=Lee%20J%5BAuthor%5D&amp;cauthor=true&amp;cauthor_uid=20629479" TargetMode="External"/><Relationship Id="rId66" Type="http://schemas.openxmlformats.org/officeDocument/2006/relationships/hyperlink" Target="http://www.ncbi.nlm.nih.gov/pubmed?term=Kanwar%20JR%5BAuthor%5D&amp;cauthor=true&amp;cauthor_uid=22292789" TargetMode="External"/><Relationship Id="rId87" Type="http://schemas.openxmlformats.org/officeDocument/2006/relationships/hyperlink" Target="http://www.ncbi.nlm.nih.gov/pubmed?term=Vidlar%20A%5BAuthor%5D&amp;cauthor=true&amp;cauthor_uid=21048810" TargetMode="External"/><Relationship Id="rId110" Type="http://schemas.openxmlformats.org/officeDocument/2006/relationships/hyperlink" Target="http://www.ncbi.nlm.nih.gov/pubmed?term=Schoop%20R%5BAuthor%5D&amp;cauthor=true&amp;cauthor_uid=16678640" TargetMode="External"/><Relationship Id="rId115" Type="http://schemas.openxmlformats.org/officeDocument/2006/relationships/hyperlink" Target="http://www.ncbi.nlm.nih.gov/pubmed?term=Mazzari%20AL%5BAuthor%5D&amp;cauthor=true&amp;cauthor_uid=25071580" TargetMode="External"/><Relationship Id="rId131" Type="http://schemas.openxmlformats.org/officeDocument/2006/relationships/hyperlink" Target="http://www.ncbi.nlm.nih.gov/pubmed/24072635" TargetMode="External"/><Relationship Id="rId136" Type="http://schemas.openxmlformats.org/officeDocument/2006/relationships/hyperlink" Target="http://www.ncbi.nlm.nih.gov/pubmed?term=von%20Richter%20O%5BAuthor%5D&amp;cauthor=true&amp;cauthor_uid=22855269" TargetMode="External"/><Relationship Id="rId157" Type="http://schemas.openxmlformats.org/officeDocument/2006/relationships/hyperlink" Target="http://www.ncbi.nlm.nih.gov/pubmed?term=de%20Bock%20M%5BAuthor%5D&amp;cauthor=true&amp;cauthor_uid=22848584" TargetMode="External"/><Relationship Id="rId61" Type="http://schemas.openxmlformats.org/officeDocument/2006/relationships/hyperlink" Target="http://www.ncbi.nlm.nih.gov/pubmed/22292789" TargetMode="External"/><Relationship Id="rId82" Type="http://schemas.openxmlformats.org/officeDocument/2006/relationships/hyperlink" Target="http://www.ncbi.nlm.nih.gov/pubmed?term=Ashraf%20R%5BAuthor%5D&amp;cauthor=true&amp;cauthor_uid=24035939" TargetMode="External"/><Relationship Id="rId152" Type="http://schemas.openxmlformats.org/officeDocument/2006/relationships/hyperlink" Target="http://www.ncbi.nlm.nih.gov/pubmed?term=Khossousi%20A%5BAuthor%5D&amp;cauthor=true&amp;cauthor_uid=20727237" TargetMode="External"/><Relationship Id="rId173" Type="http://schemas.openxmlformats.org/officeDocument/2006/relationships/footer" Target="footer2.xml"/><Relationship Id="rId19" Type="http://schemas.openxmlformats.org/officeDocument/2006/relationships/hyperlink" Target="http://www.ncbi.nlm.nih.gov/pubmed?term=Gigante%20G%5BAuthor%5D&amp;cauthor=true&amp;cauthor_uid=20391953" TargetMode="External"/><Relationship Id="rId14" Type="http://schemas.openxmlformats.org/officeDocument/2006/relationships/hyperlink" Target="http://www.ncbi.nlm.nih.gov/pubmed?term=Drzyma%C5%82a-Czy%C5%BC%20S%5BAuthor%5D&amp;cauthor=true&amp;cauthor_uid=21152447" TargetMode="External"/><Relationship Id="rId30" Type="http://schemas.openxmlformats.org/officeDocument/2006/relationships/hyperlink" Target="http://www.ncbi.nlm.nih.gov/pubmed?term=Kneepkens%20CM%5BAuthor%5D&amp;cauthor=true&amp;cauthor_uid=20522486" TargetMode="External"/><Relationship Id="rId35" Type="http://schemas.openxmlformats.org/officeDocument/2006/relationships/hyperlink" Target="http://www.ncbi.nlm.nih.gov/pubmed?term=Vacca%20M%5BAuthor%5D&amp;cauthor=true&amp;cauthor_uid=19021701" TargetMode="External"/><Relationship Id="rId56" Type="http://schemas.openxmlformats.org/officeDocument/2006/relationships/hyperlink" Target="http://bvsalud.org/portal/?lang=en&amp;q=au:%22Formiga,%20Laura%20Maria%20Feitosa%22" TargetMode="External"/><Relationship Id="rId77" Type="http://schemas.openxmlformats.org/officeDocument/2006/relationships/hyperlink" Target="http://www.ncbi.nlm.nih.gov/pubmed?term=Parker%20R%5BAuthor%5D&amp;cauthor=true&amp;cauthor_uid=24072635" TargetMode="External"/><Relationship Id="rId100" Type="http://schemas.openxmlformats.org/officeDocument/2006/relationships/hyperlink" Target="http://www.ncbi.nlm.nih.gov/pubmed/22848584" TargetMode="External"/><Relationship Id="rId105" Type="http://schemas.openxmlformats.org/officeDocument/2006/relationships/hyperlink" Target="http://www.ncbi.nlm.nih.gov/pubmed?term=Smith%20GC%5BAuthor%5D&amp;cauthor=true&amp;cauthor_uid=22848584" TargetMode="External"/><Relationship Id="rId126" Type="http://schemas.openxmlformats.org/officeDocument/2006/relationships/hyperlink" Target="http://www.ncbi.nlm.nih.gov/pubmed?term=Hermann%20R%5BAuthor%5D&amp;cauthor=true&amp;cauthor_uid=22855269" TargetMode="External"/><Relationship Id="rId147" Type="http://schemas.openxmlformats.org/officeDocument/2006/relationships/hyperlink" Target="http://www.ncbi.nlm.nih.gov/pubmed?term=Krajicek%20M%5BAuthor%5D&amp;cauthor=true&amp;cauthor_uid=21048810" TargetMode="External"/><Relationship Id="rId168" Type="http://schemas.openxmlformats.org/officeDocument/2006/relationships/hyperlink" Target="http://www.ncbi.nlm.nih.gov/pubmed?term=Suter%20A%5BAuthor%5D&amp;cauthor=true&amp;cauthor_uid=16678640" TargetMode="External"/><Relationship Id="rId8" Type="http://schemas.openxmlformats.org/officeDocument/2006/relationships/hyperlink" Target="http://www.ncbi.nlm.nih.gov/pubmed/21152447" TargetMode="External"/><Relationship Id="rId51" Type="http://schemas.openxmlformats.org/officeDocument/2006/relationships/hyperlink" Target="http://www.ncbi.nlm.nih.gov/pubmed?term=Trikalinos%20TA%5BAuthor%5D&amp;cauthor=true&amp;cauthor_uid=20629479" TargetMode="External"/><Relationship Id="rId72" Type="http://schemas.openxmlformats.org/officeDocument/2006/relationships/hyperlink" Target="http://www.ncbi.nlm.nih.gov/pubmed/?term=The+Therapeutic+Potential+of+Medicinal+Foods+Nelvana+Ramalingum" TargetMode="External"/><Relationship Id="rId93" Type="http://schemas.openxmlformats.org/officeDocument/2006/relationships/hyperlink" Target="http://www.ncbi.nlm.nih.gov/pubmed?term=Simanek%20V%5BAuthor%5D&amp;cauthor=true&amp;cauthor_uid=21048810" TargetMode="External"/><Relationship Id="rId98" Type="http://schemas.openxmlformats.org/officeDocument/2006/relationships/hyperlink" Target="http://www.ncbi.nlm.nih.gov/pubmed?term=Dhaliwal%20S%5BAuthor%5D&amp;cauthor=true&amp;cauthor_uid=20727237" TargetMode="External"/><Relationship Id="rId121" Type="http://schemas.openxmlformats.org/officeDocument/2006/relationships/hyperlink" Target="http://www.ncbi.nlm.nih.gov/pubmed?term=Cao%20C%5BAuthor%5D&amp;cauthor=true&amp;cauthor_uid=22292789" TargetMode="External"/><Relationship Id="rId142" Type="http://schemas.openxmlformats.org/officeDocument/2006/relationships/hyperlink" Target="http://www.ncbi.nlm.nih.gov/pubmed/21048810" TargetMode="External"/><Relationship Id="rId163" Type="http://schemas.openxmlformats.org/officeDocument/2006/relationships/hyperlink" Target="http://www.ncbi.nlm.nih.gov/pubmed?term=Wall%20CR%5BAuthor%5D&amp;cauthor=true&amp;cauthor_uid=22848584" TargetMode="External"/><Relationship Id="rId3" Type="http://schemas.microsoft.com/office/2007/relationships/stylesWithEffects" Target="stylesWithEffects.xml"/><Relationship Id="rId25" Type="http://schemas.openxmlformats.org/officeDocument/2006/relationships/hyperlink" Target="http://www.ncbi.nlm.nih.gov/pubmed?term=Gasbarrini%20A%5BAuthor%5D&amp;cauthor=true&amp;cauthor_uid=20391953" TargetMode="External"/><Relationship Id="rId46" Type="http://schemas.openxmlformats.org/officeDocument/2006/relationships/hyperlink" Target="http://www.ncbi.nlm.nih.gov/pubmed?term=Lichtenstein%20A%5BAuthor%5D&amp;cauthor=true&amp;cauthor_uid=20629479" TargetMode="External"/><Relationship Id="rId67" Type="http://schemas.openxmlformats.org/officeDocument/2006/relationships/hyperlink" Target="http://www.ncbi.nlm.nih.gov/pubmed?term=Chew%20H%5BAuthor%5D&amp;cauthor=true&amp;cauthor_uid=22292789" TargetMode="External"/><Relationship Id="rId116" Type="http://schemas.openxmlformats.org/officeDocument/2006/relationships/hyperlink" Target="http://www.ncbi.nlm.nih.gov/pubmed?term=Prieto%20JM%5BAuthor%5D&amp;cauthor=true&amp;cauthor_uid=25071580" TargetMode="External"/><Relationship Id="rId137" Type="http://schemas.openxmlformats.org/officeDocument/2006/relationships/hyperlink" Target="http://www.ncbi.nlm.nih.gov/pubmed/24035939" TargetMode="External"/><Relationship Id="rId158" Type="http://schemas.openxmlformats.org/officeDocument/2006/relationships/hyperlink" Target="http://www.ncbi.nlm.nih.gov/pubmed?term=Derraik%20JG%5BAuthor%5D&amp;cauthor=true&amp;cauthor_uid=22848584" TargetMode="External"/><Relationship Id="rId20" Type="http://schemas.openxmlformats.org/officeDocument/2006/relationships/hyperlink" Target="http://www.ncbi.nlm.nih.gov/pubmed?term=Gabrielli%20M%5BAuthor%5D&amp;cauthor=true&amp;cauthor_uid=20391953" TargetMode="External"/><Relationship Id="rId41" Type="http://schemas.openxmlformats.org/officeDocument/2006/relationships/hyperlink" Target="http://www.ncbi.nlm.nih.gov/pubmed?term=Balk%20EM%5BAuthor%5D&amp;cauthor=true&amp;cauthor_uid=20629479" TargetMode="External"/><Relationship Id="rId62" Type="http://schemas.openxmlformats.org/officeDocument/2006/relationships/hyperlink" Target="http://www.ncbi.nlm.nih.gov/pubmed?term=Chen%20XW%5BAuthor%5D&amp;cauthor=true&amp;cauthor_uid=22292789" TargetMode="External"/><Relationship Id="rId83" Type="http://schemas.openxmlformats.org/officeDocument/2006/relationships/hyperlink" Target="http://www.ncbi.nlm.nih.gov/pubmed?term=Khan%20RA%5BAuthor%5D&amp;cauthor=true&amp;cauthor_uid=24035939" TargetMode="External"/><Relationship Id="rId88" Type="http://schemas.openxmlformats.org/officeDocument/2006/relationships/hyperlink" Target="http://www.ncbi.nlm.nih.gov/pubmed?term=Vostalova%20J%5BAuthor%5D&amp;cauthor=true&amp;cauthor_uid=21048810" TargetMode="External"/><Relationship Id="rId111" Type="http://schemas.openxmlformats.org/officeDocument/2006/relationships/hyperlink" Target="http://www.ncbi.nlm.nih.gov/pubmed?term=Klein%20P%5BAuthor%5D&amp;cauthor=true&amp;cauthor_uid=16678640" TargetMode="External"/><Relationship Id="rId132" Type="http://schemas.openxmlformats.org/officeDocument/2006/relationships/hyperlink" Target="http://www.ncbi.nlm.nih.gov/pubmed?term=Orr%20A%5BAuthor%5D&amp;cauthor=true&amp;cauthor_uid=24072635" TargetMode="External"/><Relationship Id="rId153" Type="http://schemas.openxmlformats.org/officeDocument/2006/relationships/hyperlink" Target="http://www.ncbi.nlm.nih.gov/pubmed?term=Binns%20C%5BAuthor%5D&amp;cauthor=true&amp;cauthor_uid=20727237" TargetMode="External"/><Relationship Id="rId174" Type="http://schemas.openxmlformats.org/officeDocument/2006/relationships/header" Target="header3.xml"/><Relationship Id="rId15" Type="http://schemas.openxmlformats.org/officeDocument/2006/relationships/hyperlink" Target="http://www.ncbi.nlm.nih.gov/pubmed?term=Mojs%20E%5BAuthor%5D&amp;cauthor=true&amp;cauthor_uid=21152447" TargetMode="External"/><Relationship Id="rId36" Type="http://schemas.openxmlformats.org/officeDocument/2006/relationships/hyperlink" Target="http://www.ncbi.nlm.nih.gov/pubmed?term=Montelli%20R%5BAuthor%5D&amp;cauthor=true&amp;cauthor_uid=19021701" TargetMode="External"/><Relationship Id="rId57" Type="http://schemas.openxmlformats.org/officeDocument/2006/relationships/hyperlink" Target="http://bvsalud.org/portal/?lang=en&amp;q=au:%22Freitas,%20Rivelilson%20Mendes%20de%22" TargetMode="External"/><Relationship Id="rId106" Type="http://schemas.openxmlformats.org/officeDocument/2006/relationships/hyperlink" Target="http://www.ncbi.nlm.nih.gov/pubmed?term=Cameron-Smith%20D%5BAuthor%5D&amp;cauthor=true&amp;cauthor_uid=22848584" TargetMode="External"/><Relationship Id="rId127" Type="http://schemas.openxmlformats.org/officeDocument/2006/relationships/hyperlink" Target="http://www.ncbi.nlm.nih.gov/pubmed?term=von%20Richter%20O%5BAuthor%5D&amp;cauthor=true&amp;cauthor_uid=22855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ala de Cinz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Referencia titulo">
      <a:majorFont>
        <a:latin typeface="Arial"/>
        <a:ea typeface=""/>
        <a:cs typeface=""/>
      </a:majorFont>
      <a:minorFont>
        <a:latin typeface="Arial"/>
        <a:ea typeface=""/>
        <a:cs typeface=""/>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9C7F2-B84F-4D87-B1A0-5BEB996A3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22617</Words>
  <Characters>122137</Characters>
  <Application>Microsoft Office Word</Application>
  <DocSecurity>0</DocSecurity>
  <Lines>1017</Lines>
  <Paragraphs>288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thiago.mota</dc:creator>
  <cp:lastModifiedBy>Ana Rampazzo</cp:lastModifiedBy>
  <cp:revision>3</cp:revision>
  <cp:lastPrinted>2014-08-05T17:25:00Z</cp:lastPrinted>
  <dcterms:created xsi:type="dcterms:W3CDTF">2017-03-23T15:32:00Z</dcterms:created>
  <dcterms:modified xsi:type="dcterms:W3CDTF">2017-03-23T15:32:00Z</dcterms:modified>
</cp:coreProperties>
</file>